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193" w:rsidRDefault="00672193" w:rsidP="001F738F">
      <w:pPr>
        <w:spacing w:after="0" w:line="360" w:lineRule="auto"/>
        <w:ind w:left="1701" w:right="1701" w:firstLine="1251"/>
      </w:pPr>
      <w:bookmarkStart w:id="0" w:name="_Toc519167255"/>
      <w:r w:rsidRPr="00083519">
        <w:rPr>
          <w:noProof/>
        </w:rPr>
        <w:drawing>
          <wp:inline distT="0" distB="0" distL="0" distR="0">
            <wp:extent cx="1554773" cy="1107831"/>
            <wp:effectExtent l="19050" t="0" r="7327"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27906" t="36467" r="40821" b="11396"/>
                    <a:stretch>
                      <a:fillRect/>
                    </a:stretch>
                  </pic:blipFill>
                  <pic:spPr bwMode="auto">
                    <a:xfrm>
                      <a:off x="0" y="0"/>
                      <a:ext cx="1554040" cy="1107309"/>
                    </a:xfrm>
                    <a:prstGeom prst="rect">
                      <a:avLst/>
                    </a:prstGeom>
                    <a:noFill/>
                    <a:ln w="9525">
                      <a:noFill/>
                      <a:miter lim="800000"/>
                      <a:headEnd/>
                      <a:tailEnd/>
                    </a:ln>
                  </pic:spPr>
                </pic:pic>
              </a:graphicData>
            </a:graphic>
          </wp:inline>
        </w:drawing>
      </w:r>
    </w:p>
    <w:sdt>
      <w:sdtPr>
        <w:id w:val="817892407"/>
        <w:docPartObj>
          <w:docPartGallery w:val="Cover Pages"/>
          <w:docPartUnique/>
        </w:docPartObj>
      </w:sdtPr>
      <w:sdtEndPr>
        <w:rPr>
          <w:b/>
          <w:color w:val="000000"/>
          <w:sz w:val="36"/>
          <w:szCs w:val="28"/>
        </w:rPr>
      </w:sdtEndPr>
      <w:sdtContent>
        <w:bookmarkStart w:id="1" w:name="_GoBack" w:displacedByCustomXml="prev"/>
        <w:bookmarkEnd w:id="1" w:displacedByCustomXml="prev"/>
        <w:p w:rsidR="00672193" w:rsidRDefault="00672193" w:rsidP="00672193">
          <w:pPr>
            <w:spacing w:after="0" w:line="360" w:lineRule="auto"/>
            <w:jc w:val="center"/>
          </w:pPr>
          <w:r>
            <w:t xml:space="preserve">           </w:t>
          </w:r>
        </w:p>
        <w:p w:rsidR="0094334F" w:rsidRDefault="0094334F" w:rsidP="00672193">
          <w:pPr>
            <w:spacing w:after="0" w:line="360" w:lineRule="auto"/>
            <w:jc w:val="center"/>
          </w:pPr>
        </w:p>
        <w:p w:rsidR="0094334F" w:rsidRPr="00604B31" w:rsidRDefault="0094334F" w:rsidP="00672193">
          <w:pPr>
            <w:spacing w:after="0" w:line="360" w:lineRule="auto"/>
            <w:jc w:val="center"/>
          </w:pPr>
        </w:p>
        <w:p w:rsidR="00672193" w:rsidRPr="002720D6" w:rsidRDefault="00672193" w:rsidP="00672193">
          <w:pPr>
            <w:pStyle w:val="Title"/>
            <w:rPr>
              <w:rFonts w:ascii="Times New Roman" w:hAnsi="Times New Roman"/>
              <w:sz w:val="32"/>
              <w:szCs w:val="32"/>
            </w:rPr>
          </w:pPr>
          <w:r w:rsidRPr="002720D6">
            <w:rPr>
              <w:rFonts w:ascii="Times New Roman" w:hAnsi="Times New Roman"/>
              <w:sz w:val="32"/>
              <w:szCs w:val="32"/>
            </w:rPr>
            <w:t>DEPARTMENT OF ACCOUNTING AND FINANCE</w:t>
          </w:r>
        </w:p>
        <w:p w:rsidR="00672193" w:rsidRPr="002720D6" w:rsidRDefault="00672193" w:rsidP="00672193">
          <w:pPr>
            <w:pStyle w:val="Title"/>
            <w:rPr>
              <w:sz w:val="32"/>
              <w:szCs w:val="32"/>
            </w:rPr>
          </w:pPr>
          <w:r w:rsidRPr="002720D6">
            <w:rPr>
              <w:rFonts w:ascii="Times New Roman" w:hAnsi="Times New Roman"/>
              <w:sz w:val="32"/>
              <w:szCs w:val="32"/>
            </w:rPr>
            <w:t>POST-GRADUATE PROGRAM</w:t>
          </w:r>
        </w:p>
        <w:p w:rsidR="00672193" w:rsidRDefault="00672193" w:rsidP="00672193">
          <w:pPr>
            <w:pStyle w:val="Title"/>
            <w:rPr>
              <w:rFonts w:ascii="Times New Roman" w:hAnsi="Times New Roman"/>
              <w:sz w:val="32"/>
              <w:szCs w:val="32"/>
            </w:rPr>
          </w:pPr>
        </w:p>
        <w:p w:rsidR="0094334F" w:rsidRPr="002720D6" w:rsidRDefault="0094334F" w:rsidP="00672193">
          <w:pPr>
            <w:pStyle w:val="Title"/>
            <w:rPr>
              <w:rFonts w:ascii="Times New Roman" w:hAnsi="Times New Roman"/>
              <w:sz w:val="32"/>
              <w:szCs w:val="32"/>
            </w:rPr>
          </w:pPr>
        </w:p>
        <w:p w:rsidR="00672193" w:rsidRPr="002720D6" w:rsidRDefault="00672193" w:rsidP="0094334F">
          <w:pPr>
            <w:pStyle w:val="Title"/>
            <w:rPr>
              <w:rFonts w:ascii="Times New Roman" w:hAnsi="Times New Roman"/>
              <w:sz w:val="32"/>
              <w:szCs w:val="32"/>
            </w:rPr>
          </w:pPr>
          <w:r w:rsidRPr="002720D6">
            <w:rPr>
              <w:rFonts w:ascii="Times New Roman" w:hAnsi="Times New Roman"/>
              <w:sz w:val="32"/>
              <w:szCs w:val="32"/>
            </w:rPr>
            <w:t>ANALYSIS OF THE FIN</w:t>
          </w:r>
          <w:r w:rsidR="00951E91">
            <w:rPr>
              <w:rFonts w:ascii="Times New Roman" w:hAnsi="Times New Roman"/>
              <w:sz w:val="32"/>
              <w:szCs w:val="32"/>
            </w:rPr>
            <w:t>ANCIAL</w:t>
          </w:r>
          <w:r w:rsidRPr="002720D6">
            <w:rPr>
              <w:rFonts w:ascii="Times New Roman" w:hAnsi="Times New Roman"/>
              <w:sz w:val="32"/>
              <w:szCs w:val="32"/>
            </w:rPr>
            <w:t xml:space="preserve"> PERFORMANCE OF COMMERCIAL BANK OF ETHIOPIA USING CAMEL RATING APPROACH</w:t>
          </w:r>
        </w:p>
        <w:p w:rsidR="00672193" w:rsidRDefault="00672193" w:rsidP="00672193">
          <w:pPr>
            <w:spacing w:after="0" w:line="360" w:lineRule="auto"/>
            <w:jc w:val="center"/>
            <w:rPr>
              <w:b/>
              <w:color w:val="000000"/>
              <w:sz w:val="28"/>
              <w:szCs w:val="28"/>
            </w:rPr>
          </w:pPr>
        </w:p>
        <w:p w:rsidR="00672193" w:rsidRDefault="00672193" w:rsidP="00672193">
          <w:pPr>
            <w:spacing w:after="0" w:line="360" w:lineRule="auto"/>
            <w:rPr>
              <w:b/>
              <w:color w:val="000000"/>
              <w:sz w:val="36"/>
              <w:szCs w:val="28"/>
            </w:rPr>
          </w:pPr>
        </w:p>
        <w:p w:rsidR="00A96A41" w:rsidRDefault="00A96A41" w:rsidP="00672193">
          <w:pPr>
            <w:pStyle w:val="Title"/>
            <w:spacing w:line="276" w:lineRule="auto"/>
            <w:rPr>
              <w:rFonts w:ascii="Times New Roman" w:hAnsi="Times New Roman"/>
              <w:sz w:val="28"/>
              <w:szCs w:val="28"/>
            </w:rPr>
          </w:pPr>
        </w:p>
        <w:p w:rsidR="00672193" w:rsidRPr="003D7DF2" w:rsidRDefault="00672193" w:rsidP="00672193">
          <w:pPr>
            <w:pStyle w:val="Title"/>
            <w:spacing w:line="276" w:lineRule="auto"/>
            <w:rPr>
              <w:rFonts w:ascii="Times New Roman" w:hAnsi="Times New Roman"/>
              <w:sz w:val="28"/>
              <w:szCs w:val="28"/>
            </w:rPr>
          </w:pPr>
          <w:r>
            <w:rPr>
              <w:rFonts w:ascii="Times New Roman" w:hAnsi="Times New Roman"/>
              <w:sz w:val="28"/>
              <w:szCs w:val="28"/>
            </w:rPr>
            <w:t>Prepared b</w:t>
          </w:r>
          <w:r w:rsidRPr="003D7DF2">
            <w:rPr>
              <w:rFonts w:ascii="Times New Roman" w:hAnsi="Times New Roman"/>
              <w:sz w:val="28"/>
              <w:szCs w:val="28"/>
            </w:rPr>
            <w:t>y: BEREKET KEBEDE</w:t>
          </w:r>
        </w:p>
        <w:p w:rsidR="00672193" w:rsidRDefault="00672193" w:rsidP="00672193">
          <w:pPr>
            <w:pStyle w:val="Title"/>
            <w:spacing w:line="276" w:lineRule="auto"/>
            <w:jc w:val="left"/>
            <w:rPr>
              <w:rFonts w:ascii="Times New Roman" w:hAnsi="Times New Roman"/>
              <w:b w:val="0"/>
              <w:bCs/>
              <w:sz w:val="32"/>
              <w:szCs w:val="32"/>
            </w:rPr>
          </w:pPr>
          <w:r>
            <w:rPr>
              <w:rFonts w:ascii="Times New Roman" w:hAnsi="Times New Roman"/>
              <w:b w:val="0"/>
              <w:bCs/>
              <w:sz w:val="32"/>
              <w:szCs w:val="32"/>
            </w:rPr>
            <w:t xml:space="preserve">                       </w:t>
          </w:r>
        </w:p>
        <w:p w:rsidR="00672193" w:rsidRDefault="00672193" w:rsidP="00672193">
          <w:pPr>
            <w:pStyle w:val="Title"/>
            <w:spacing w:line="276" w:lineRule="auto"/>
            <w:rPr>
              <w:rFonts w:ascii="Times New Roman" w:hAnsi="Times New Roman"/>
              <w:b w:val="0"/>
              <w:bCs/>
              <w:sz w:val="32"/>
              <w:szCs w:val="32"/>
            </w:rPr>
          </w:pPr>
        </w:p>
        <w:p w:rsidR="00672193" w:rsidRPr="00604B31" w:rsidRDefault="00672193" w:rsidP="00672193">
          <w:pPr>
            <w:pStyle w:val="Title"/>
            <w:spacing w:line="276" w:lineRule="auto"/>
            <w:rPr>
              <w:rFonts w:ascii="Times New Roman" w:hAnsi="Times New Roman"/>
              <w:b w:val="0"/>
              <w:sz w:val="32"/>
              <w:szCs w:val="32"/>
            </w:rPr>
          </w:pPr>
        </w:p>
        <w:p w:rsidR="00672193" w:rsidRPr="00597636" w:rsidRDefault="00672193" w:rsidP="00597636">
          <w:pPr>
            <w:pStyle w:val="Title"/>
            <w:rPr>
              <w:rFonts w:ascii="Times New Roman" w:hAnsi="Times New Roman"/>
              <w:sz w:val="28"/>
              <w:szCs w:val="28"/>
            </w:rPr>
          </w:pPr>
          <w:r w:rsidRPr="003D7DF2">
            <w:rPr>
              <w:rFonts w:ascii="Times New Roman" w:hAnsi="Times New Roman"/>
              <w:sz w:val="28"/>
              <w:szCs w:val="28"/>
            </w:rPr>
            <w:t xml:space="preserve">                 </w:t>
          </w:r>
          <w:r w:rsidR="00597636">
            <w:rPr>
              <w:rFonts w:ascii="Times New Roman" w:hAnsi="Times New Roman"/>
              <w:sz w:val="28"/>
              <w:szCs w:val="28"/>
            </w:rPr>
            <w:t xml:space="preserve">                              </w:t>
          </w:r>
        </w:p>
        <w:p w:rsidR="00672193" w:rsidRDefault="00672193" w:rsidP="00672193">
          <w:pPr>
            <w:spacing w:after="0" w:line="240" w:lineRule="auto"/>
            <w:rPr>
              <w:b/>
              <w:color w:val="000000"/>
              <w:sz w:val="28"/>
              <w:szCs w:val="28"/>
            </w:rPr>
          </w:pPr>
        </w:p>
        <w:p w:rsidR="00672193" w:rsidRDefault="00672193" w:rsidP="00672193">
          <w:pPr>
            <w:spacing w:after="0" w:line="240" w:lineRule="auto"/>
            <w:rPr>
              <w:b/>
              <w:color w:val="000000"/>
              <w:sz w:val="28"/>
              <w:szCs w:val="28"/>
            </w:rPr>
          </w:pPr>
        </w:p>
        <w:p w:rsidR="00672193" w:rsidRDefault="00672193" w:rsidP="00672193">
          <w:pPr>
            <w:spacing w:after="0" w:line="240" w:lineRule="auto"/>
            <w:rPr>
              <w:b/>
              <w:color w:val="000000"/>
              <w:sz w:val="28"/>
              <w:szCs w:val="28"/>
            </w:rPr>
          </w:pPr>
        </w:p>
        <w:p w:rsidR="00672193" w:rsidRDefault="00672193" w:rsidP="00672193">
          <w:pPr>
            <w:spacing w:after="0" w:line="240" w:lineRule="auto"/>
            <w:rPr>
              <w:b/>
              <w:color w:val="000000"/>
              <w:sz w:val="28"/>
              <w:szCs w:val="28"/>
            </w:rPr>
          </w:pPr>
        </w:p>
        <w:p w:rsidR="0094334F" w:rsidRDefault="0094334F" w:rsidP="00672193">
          <w:pPr>
            <w:spacing w:after="0" w:line="240" w:lineRule="auto"/>
            <w:jc w:val="center"/>
            <w:rPr>
              <w:b/>
              <w:color w:val="000000"/>
              <w:sz w:val="28"/>
              <w:szCs w:val="28"/>
            </w:rPr>
          </w:pPr>
        </w:p>
        <w:p w:rsidR="0094334F" w:rsidRDefault="0094334F" w:rsidP="00672193">
          <w:pPr>
            <w:spacing w:after="0" w:line="240" w:lineRule="auto"/>
            <w:jc w:val="center"/>
            <w:rPr>
              <w:b/>
              <w:color w:val="000000"/>
              <w:sz w:val="28"/>
              <w:szCs w:val="28"/>
            </w:rPr>
          </w:pPr>
        </w:p>
        <w:p w:rsidR="00672193" w:rsidRDefault="00672193" w:rsidP="00672193">
          <w:pPr>
            <w:tabs>
              <w:tab w:val="left" w:pos="7200"/>
              <w:tab w:val="left" w:pos="7290"/>
            </w:tabs>
            <w:spacing w:after="0" w:line="240" w:lineRule="auto"/>
            <w:ind w:left="2835"/>
            <w:jc w:val="center"/>
            <w:rPr>
              <w:b/>
              <w:color w:val="000000"/>
              <w:sz w:val="28"/>
              <w:szCs w:val="28"/>
            </w:rPr>
          </w:pPr>
          <w:r>
            <w:rPr>
              <w:b/>
              <w:color w:val="000000"/>
              <w:sz w:val="28"/>
              <w:szCs w:val="28"/>
            </w:rPr>
            <w:t xml:space="preserve">                                     </w:t>
          </w:r>
          <w:r w:rsidR="0094334F">
            <w:rPr>
              <w:b/>
              <w:color w:val="000000"/>
              <w:sz w:val="28"/>
              <w:szCs w:val="28"/>
            </w:rPr>
            <w:t xml:space="preserve">                           </w:t>
          </w:r>
          <w:r>
            <w:rPr>
              <w:b/>
              <w:color w:val="000000"/>
              <w:sz w:val="28"/>
              <w:szCs w:val="28"/>
            </w:rPr>
            <w:t xml:space="preserve">   May, 2021</w:t>
          </w:r>
        </w:p>
        <w:p w:rsidR="00672193" w:rsidRDefault="00786789" w:rsidP="007A5907">
          <w:pPr>
            <w:tabs>
              <w:tab w:val="left" w:pos="7200"/>
              <w:tab w:val="left" w:pos="7290"/>
            </w:tabs>
            <w:ind w:left="2835"/>
          </w:pPr>
          <w:r>
            <w:rPr>
              <w:b/>
              <w:color w:val="000000"/>
              <w:sz w:val="28"/>
              <w:szCs w:val="28"/>
            </w:rPr>
            <w:t xml:space="preserve">                                     </w:t>
          </w:r>
          <w:r w:rsidR="007A5907">
            <w:rPr>
              <w:b/>
              <w:color w:val="000000"/>
              <w:sz w:val="28"/>
              <w:szCs w:val="28"/>
            </w:rPr>
            <w:t xml:space="preserve">                         </w:t>
          </w:r>
          <w:r>
            <w:rPr>
              <w:b/>
              <w:color w:val="000000"/>
              <w:sz w:val="28"/>
              <w:szCs w:val="28"/>
            </w:rPr>
            <w:t xml:space="preserve">  ADDIS </w:t>
          </w:r>
          <w:r w:rsidR="00672193">
            <w:rPr>
              <w:b/>
              <w:color w:val="000000"/>
              <w:sz w:val="28"/>
              <w:szCs w:val="28"/>
            </w:rPr>
            <w:t>ABABA</w:t>
          </w:r>
        </w:p>
        <w:p w:rsidR="00672193" w:rsidRPr="00B375BA" w:rsidRDefault="00ED70D5" w:rsidP="00672193">
          <w:pPr>
            <w:rPr>
              <w:b/>
              <w:color w:val="000000"/>
              <w:sz w:val="36"/>
              <w:szCs w:val="28"/>
            </w:rPr>
            <w:sectPr w:rsidR="00672193" w:rsidRPr="00B375BA" w:rsidSect="0094334F">
              <w:footerReference w:type="default" r:id="rId9"/>
              <w:pgSz w:w="12240" w:h="15840" w:code="1"/>
              <w:pgMar w:top="1125" w:right="1440" w:bottom="2837" w:left="1440" w:header="720" w:footer="72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fmt="lowerRoman" w:start="1"/>
              <w:cols w:space="720"/>
              <w:vAlign w:val="center"/>
              <w:titlePg/>
              <w:docGrid w:linePitch="360"/>
            </w:sectPr>
          </w:pPr>
        </w:p>
      </w:sdtContent>
    </w:sdt>
    <w:p w:rsidR="00672193" w:rsidRDefault="00672193" w:rsidP="00672193">
      <w:pPr>
        <w:spacing w:after="100" w:line="360" w:lineRule="auto"/>
        <w:rPr>
          <w:b/>
          <w:sz w:val="28"/>
          <w:szCs w:val="28"/>
        </w:rPr>
      </w:pPr>
    </w:p>
    <w:p w:rsidR="00672193" w:rsidRPr="00A41FF5" w:rsidRDefault="00672193" w:rsidP="00672193">
      <w:pPr>
        <w:pStyle w:val="Title"/>
        <w:rPr>
          <w:rFonts w:ascii="Times New Roman" w:hAnsi="Times New Roman"/>
          <w:sz w:val="32"/>
          <w:szCs w:val="32"/>
        </w:rPr>
      </w:pPr>
      <w:r w:rsidRPr="00A41FF5">
        <w:rPr>
          <w:rFonts w:ascii="Times New Roman" w:hAnsi="Times New Roman"/>
          <w:sz w:val="32"/>
          <w:szCs w:val="32"/>
        </w:rPr>
        <w:t>KOTEBE METROPOLITAN UNIVERSITY</w:t>
      </w:r>
    </w:p>
    <w:p w:rsidR="00672193" w:rsidRPr="00A41FF5" w:rsidRDefault="00672193" w:rsidP="00672193">
      <w:pPr>
        <w:pStyle w:val="Title"/>
        <w:rPr>
          <w:rFonts w:ascii="Times New Roman" w:hAnsi="Times New Roman"/>
          <w:sz w:val="32"/>
          <w:szCs w:val="32"/>
        </w:rPr>
      </w:pPr>
      <w:r w:rsidRPr="00A41FF5">
        <w:rPr>
          <w:rFonts w:ascii="Times New Roman" w:hAnsi="Times New Roman"/>
          <w:sz w:val="32"/>
          <w:szCs w:val="32"/>
        </w:rPr>
        <w:t>DEPARTMENT OF ACCOUNTING AND FINANCE</w:t>
      </w:r>
    </w:p>
    <w:p w:rsidR="00672193" w:rsidRPr="00A41FF5" w:rsidRDefault="00672193" w:rsidP="00672193">
      <w:pPr>
        <w:pStyle w:val="Title"/>
        <w:rPr>
          <w:rFonts w:ascii="Times New Roman" w:hAnsi="Times New Roman"/>
          <w:sz w:val="32"/>
          <w:szCs w:val="32"/>
        </w:rPr>
      </w:pPr>
      <w:r w:rsidRPr="00A41FF5">
        <w:rPr>
          <w:rFonts w:ascii="Times New Roman" w:hAnsi="Times New Roman"/>
          <w:sz w:val="32"/>
          <w:szCs w:val="32"/>
        </w:rPr>
        <w:t>FACULTY OF BUSSINESS AND ECONOMICS</w:t>
      </w:r>
    </w:p>
    <w:p w:rsidR="00672193" w:rsidRPr="00A41FF5" w:rsidRDefault="00672193" w:rsidP="00672193">
      <w:pPr>
        <w:pStyle w:val="Title"/>
        <w:rPr>
          <w:rFonts w:ascii="Times New Roman" w:hAnsi="Times New Roman"/>
          <w:sz w:val="32"/>
          <w:szCs w:val="32"/>
        </w:rPr>
      </w:pPr>
    </w:p>
    <w:p w:rsidR="00672193" w:rsidRPr="00A41FF5" w:rsidRDefault="00672193" w:rsidP="00672193">
      <w:pPr>
        <w:spacing w:after="100" w:line="240" w:lineRule="auto"/>
        <w:jc w:val="center"/>
        <w:rPr>
          <w:b/>
          <w:sz w:val="28"/>
          <w:szCs w:val="28"/>
        </w:rPr>
      </w:pPr>
    </w:p>
    <w:p w:rsidR="00672193" w:rsidRPr="00A41FF5" w:rsidRDefault="00672193" w:rsidP="00672193">
      <w:pPr>
        <w:pStyle w:val="Title"/>
        <w:rPr>
          <w:rFonts w:ascii="Times New Roman" w:hAnsi="Times New Roman"/>
          <w:sz w:val="32"/>
          <w:szCs w:val="32"/>
        </w:rPr>
      </w:pPr>
      <w:r w:rsidRPr="00A41FF5">
        <w:rPr>
          <w:rFonts w:ascii="Times New Roman" w:hAnsi="Times New Roman"/>
          <w:sz w:val="32"/>
          <w:szCs w:val="32"/>
        </w:rPr>
        <w:t xml:space="preserve">ANALYSIS OF THE </w:t>
      </w:r>
      <w:r w:rsidR="00AB7731" w:rsidRPr="002720D6">
        <w:rPr>
          <w:rFonts w:ascii="Times New Roman" w:hAnsi="Times New Roman"/>
          <w:sz w:val="32"/>
          <w:szCs w:val="32"/>
        </w:rPr>
        <w:t>FIN</w:t>
      </w:r>
      <w:r w:rsidR="00AB7731">
        <w:rPr>
          <w:rFonts w:ascii="Times New Roman" w:hAnsi="Times New Roman"/>
          <w:sz w:val="32"/>
          <w:szCs w:val="32"/>
        </w:rPr>
        <w:t>ANCIAL</w:t>
      </w:r>
      <w:r w:rsidRPr="00A41FF5">
        <w:rPr>
          <w:rFonts w:ascii="Times New Roman" w:hAnsi="Times New Roman"/>
          <w:sz w:val="32"/>
          <w:szCs w:val="32"/>
        </w:rPr>
        <w:t xml:space="preserve"> PERFORMANCE OF COMMERCIAL BANK OF ETHIOPIA USING CAMEL RATING APPROACH</w:t>
      </w:r>
    </w:p>
    <w:p w:rsidR="00672193" w:rsidRPr="00A41FF5" w:rsidRDefault="00672193" w:rsidP="00672193">
      <w:pPr>
        <w:spacing w:after="100" w:line="240" w:lineRule="auto"/>
        <w:jc w:val="center"/>
        <w:rPr>
          <w:b/>
          <w:sz w:val="36"/>
          <w:szCs w:val="36"/>
        </w:rPr>
      </w:pPr>
    </w:p>
    <w:p w:rsidR="00672193" w:rsidRPr="00A41FF5" w:rsidRDefault="00672193" w:rsidP="00672193">
      <w:pPr>
        <w:spacing w:after="100" w:line="360" w:lineRule="auto"/>
        <w:rPr>
          <w:b/>
          <w:sz w:val="28"/>
          <w:szCs w:val="28"/>
        </w:rPr>
      </w:pPr>
    </w:p>
    <w:p w:rsidR="00672193" w:rsidRPr="001F738F" w:rsidRDefault="00672193" w:rsidP="001F738F">
      <w:pPr>
        <w:spacing w:after="100" w:line="360" w:lineRule="auto"/>
        <w:jc w:val="center"/>
        <w:rPr>
          <w:b/>
          <w:sz w:val="32"/>
          <w:szCs w:val="32"/>
        </w:rPr>
      </w:pPr>
      <w:r w:rsidRPr="001F738F">
        <w:rPr>
          <w:b/>
          <w:sz w:val="32"/>
          <w:szCs w:val="32"/>
        </w:rPr>
        <w:t xml:space="preserve">A Thesis Submitted to the Accounting and Finance </w:t>
      </w:r>
      <w:proofErr w:type="spellStart"/>
      <w:r w:rsidRPr="001F738F">
        <w:rPr>
          <w:b/>
          <w:sz w:val="32"/>
          <w:szCs w:val="32"/>
        </w:rPr>
        <w:t>Kotebe</w:t>
      </w:r>
      <w:proofErr w:type="spellEnd"/>
      <w:r w:rsidRPr="001F738F">
        <w:rPr>
          <w:b/>
          <w:sz w:val="32"/>
          <w:szCs w:val="32"/>
        </w:rPr>
        <w:t xml:space="preserve"> Metropolitan University in Partial Fulfillment of the Requirements for the Masters of</w:t>
      </w:r>
    </w:p>
    <w:p w:rsidR="00672193" w:rsidRPr="001F738F" w:rsidRDefault="00672193" w:rsidP="00672193">
      <w:pPr>
        <w:spacing w:after="100" w:line="360" w:lineRule="auto"/>
        <w:jc w:val="center"/>
        <w:rPr>
          <w:b/>
          <w:sz w:val="32"/>
          <w:szCs w:val="32"/>
        </w:rPr>
      </w:pPr>
      <w:proofErr w:type="gramStart"/>
      <w:r w:rsidRPr="001F738F">
        <w:rPr>
          <w:b/>
          <w:sz w:val="32"/>
          <w:szCs w:val="32"/>
        </w:rPr>
        <w:t>Science in Accounting and Finance.</w:t>
      </w:r>
      <w:proofErr w:type="gramEnd"/>
    </w:p>
    <w:p w:rsidR="00672193" w:rsidRPr="00EE3EAA" w:rsidRDefault="00672193" w:rsidP="00672193">
      <w:pPr>
        <w:spacing w:after="100" w:line="360" w:lineRule="auto"/>
        <w:rPr>
          <w:b/>
          <w:sz w:val="28"/>
          <w:szCs w:val="28"/>
        </w:rPr>
      </w:pPr>
    </w:p>
    <w:p w:rsidR="00672193" w:rsidRPr="00A41FF5" w:rsidRDefault="00672193" w:rsidP="00672193">
      <w:pPr>
        <w:spacing w:after="100" w:line="360" w:lineRule="auto"/>
        <w:jc w:val="center"/>
        <w:rPr>
          <w:b/>
          <w:sz w:val="32"/>
          <w:szCs w:val="32"/>
        </w:rPr>
      </w:pPr>
      <w:r w:rsidRPr="00A41FF5">
        <w:rPr>
          <w:b/>
          <w:sz w:val="32"/>
          <w:szCs w:val="32"/>
        </w:rPr>
        <w:t>Prepared by: BEREKET KEBEDE</w:t>
      </w:r>
    </w:p>
    <w:p w:rsidR="00672193" w:rsidRPr="00B20251" w:rsidRDefault="00672193" w:rsidP="00672193">
      <w:pPr>
        <w:spacing w:after="100" w:line="360" w:lineRule="auto"/>
        <w:rPr>
          <w:sz w:val="28"/>
          <w:szCs w:val="28"/>
        </w:rPr>
      </w:pPr>
      <w:r>
        <w:rPr>
          <w:b/>
          <w:bCs/>
          <w:sz w:val="32"/>
          <w:szCs w:val="32"/>
        </w:rPr>
        <w:t xml:space="preserve">                    </w:t>
      </w:r>
      <w:r w:rsidRPr="00B20251">
        <w:rPr>
          <w:bCs/>
          <w:sz w:val="28"/>
          <w:szCs w:val="28"/>
        </w:rPr>
        <w:t>Supervisor:</w:t>
      </w:r>
      <w:r w:rsidRPr="00B20251">
        <w:rPr>
          <w:b/>
          <w:color w:val="000000"/>
          <w:sz w:val="28"/>
          <w:szCs w:val="28"/>
        </w:rPr>
        <w:t xml:space="preserve"> </w:t>
      </w:r>
      <w:proofErr w:type="spellStart"/>
      <w:r w:rsidRPr="00B20251">
        <w:rPr>
          <w:b/>
          <w:color w:val="000000"/>
          <w:sz w:val="28"/>
          <w:szCs w:val="28"/>
        </w:rPr>
        <w:t>Giday</w:t>
      </w:r>
      <w:proofErr w:type="spellEnd"/>
      <w:r w:rsidRPr="00B20251">
        <w:rPr>
          <w:b/>
          <w:color w:val="000000"/>
          <w:sz w:val="28"/>
          <w:szCs w:val="28"/>
        </w:rPr>
        <w:t xml:space="preserve"> G. (Ph.D.)</w:t>
      </w:r>
    </w:p>
    <w:p w:rsidR="00672193" w:rsidRPr="00EE3EAA" w:rsidRDefault="00672193" w:rsidP="00672193">
      <w:pPr>
        <w:spacing w:after="100" w:line="360" w:lineRule="auto"/>
        <w:rPr>
          <w:b/>
          <w:sz w:val="28"/>
          <w:szCs w:val="28"/>
        </w:rPr>
      </w:pPr>
    </w:p>
    <w:p w:rsidR="0094334F" w:rsidRDefault="0094334F" w:rsidP="00672193">
      <w:pPr>
        <w:spacing w:after="100" w:line="360" w:lineRule="auto"/>
        <w:jc w:val="right"/>
        <w:rPr>
          <w:b/>
          <w:sz w:val="28"/>
          <w:szCs w:val="28"/>
        </w:rPr>
      </w:pPr>
    </w:p>
    <w:p w:rsidR="0094334F" w:rsidRDefault="0094334F" w:rsidP="00672193">
      <w:pPr>
        <w:spacing w:after="100" w:line="360" w:lineRule="auto"/>
        <w:jc w:val="right"/>
        <w:rPr>
          <w:b/>
          <w:sz w:val="28"/>
          <w:szCs w:val="28"/>
        </w:rPr>
      </w:pPr>
    </w:p>
    <w:p w:rsidR="0094334F" w:rsidRDefault="0094334F" w:rsidP="00672193">
      <w:pPr>
        <w:spacing w:after="100" w:line="360" w:lineRule="auto"/>
        <w:jc w:val="right"/>
        <w:rPr>
          <w:b/>
          <w:sz w:val="28"/>
          <w:szCs w:val="28"/>
        </w:rPr>
      </w:pPr>
    </w:p>
    <w:p w:rsidR="00672193" w:rsidRDefault="00672193" w:rsidP="00672193">
      <w:pPr>
        <w:spacing w:after="100" w:line="360" w:lineRule="auto"/>
        <w:jc w:val="right"/>
        <w:rPr>
          <w:b/>
          <w:sz w:val="28"/>
          <w:szCs w:val="28"/>
        </w:rPr>
      </w:pPr>
      <w:r>
        <w:rPr>
          <w:b/>
          <w:sz w:val="28"/>
          <w:szCs w:val="28"/>
        </w:rPr>
        <w:t xml:space="preserve">                                  </w:t>
      </w:r>
    </w:p>
    <w:p w:rsidR="00672193" w:rsidRDefault="00672193" w:rsidP="00672193">
      <w:pPr>
        <w:spacing w:after="100" w:line="360" w:lineRule="auto"/>
        <w:jc w:val="right"/>
        <w:rPr>
          <w:b/>
          <w:sz w:val="28"/>
          <w:szCs w:val="28"/>
        </w:rPr>
      </w:pPr>
      <w:r>
        <w:rPr>
          <w:b/>
          <w:sz w:val="28"/>
          <w:szCs w:val="28"/>
        </w:rPr>
        <w:t xml:space="preserve"> </w:t>
      </w:r>
      <w:r w:rsidRPr="00EE3EAA">
        <w:rPr>
          <w:b/>
          <w:sz w:val="28"/>
          <w:szCs w:val="28"/>
        </w:rPr>
        <w:t>Addis Ababa, Ethiopia</w:t>
      </w:r>
    </w:p>
    <w:p w:rsidR="00672193" w:rsidRDefault="00672193" w:rsidP="00672193">
      <w:pPr>
        <w:spacing w:after="100" w:line="360" w:lineRule="auto"/>
        <w:jc w:val="right"/>
        <w:rPr>
          <w:b/>
          <w:sz w:val="28"/>
          <w:szCs w:val="28"/>
        </w:rPr>
      </w:pPr>
      <w:r>
        <w:rPr>
          <w:b/>
          <w:sz w:val="28"/>
          <w:szCs w:val="28"/>
        </w:rPr>
        <w:t xml:space="preserve">                                                              May-2021</w:t>
      </w:r>
    </w:p>
    <w:p w:rsidR="00672193" w:rsidRDefault="00672193" w:rsidP="00672193">
      <w:pPr>
        <w:spacing w:after="100" w:line="360" w:lineRule="auto"/>
        <w:jc w:val="center"/>
        <w:rPr>
          <w:b/>
          <w:sz w:val="28"/>
          <w:szCs w:val="28"/>
        </w:rPr>
      </w:pPr>
    </w:p>
    <w:p w:rsidR="007A5907" w:rsidRDefault="007A5907" w:rsidP="00672193">
      <w:pPr>
        <w:spacing w:after="100" w:line="360" w:lineRule="auto"/>
        <w:jc w:val="center"/>
        <w:rPr>
          <w:b/>
          <w:sz w:val="28"/>
          <w:szCs w:val="28"/>
        </w:rPr>
      </w:pPr>
    </w:p>
    <w:p w:rsidR="00672193" w:rsidRPr="003663CA" w:rsidRDefault="00672193" w:rsidP="00672193">
      <w:pPr>
        <w:spacing w:after="100" w:line="360" w:lineRule="auto"/>
        <w:jc w:val="center"/>
        <w:rPr>
          <w:b/>
          <w:sz w:val="28"/>
          <w:szCs w:val="28"/>
        </w:rPr>
      </w:pPr>
      <w:r w:rsidRPr="003663CA">
        <w:rPr>
          <w:b/>
          <w:sz w:val="28"/>
          <w:szCs w:val="28"/>
        </w:rPr>
        <w:lastRenderedPageBreak/>
        <w:t>Declaration</w:t>
      </w:r>
    </w:p>
    <w:p w:rsidR="00672193" w:rsidRPr="002152BF" w:rsidRDefault="00672193" w:rsidP="00672193">
      <w:pPr>
        <w:spacing w:after="0" w:line="360" w:lineRule="auto"/>
        <w:jc w:val="both"/>
        <w:rPr>
          <w:color w:val="000000"/>
          <w:szCs w:val="24"/>
        </w:rPr>
      </w:pPr>
      <w:r w:rsidRPr="002152BF">
        <w:rPr>
          <w:szCs w:val="24"/>
        </w:rPr>
        <w:t xml:space="preserve">I, </w:t>
      </w:r>
      <w:proofErr w:type="spellStart"/>
      <w:r w:rsidRPr="002152BF">
        <w:rPr>
          <w:szCs w:val="24"/>
        </w:rPr>
        <w:t>Bereket</w:t>
      </w:r>
      <w:proofErr w:type="spellEnd"/>
      <w:r w:rsidRPr="002152BF">
        <w:rPr>
          <w:szCs w:val="24"/>
        </w:rPr>
        <w:t xml:space="preserve"> </w:t>
      </w:r>
      <w:proofErr w:type="spellStart"/>
      <w:r w:rsidRPr="002152BF">
        <w:rPr>
          <w:szCs w:val="24"/>
        </w:rPr>
        <w:t>Kebede</w:t>
      </w:r>
      <w:proofErr w:type="spellEnd"/>
      <w:r w:rsidRPr="002152BF">
        <w:rPr>
          <w:szCs w:val="24"/>
        </w:rPr>
        <w:t>, the under signed, declare that this thesis entitled: “Analysis of the Financial Performance of Commercial Bank of Ethiopia using CAMEL rating approach” is my</w:t>
      </w:r>
      <w:r w:rsidRPr="002152BF">
        <w:rPr>
          <w:color w:val="000000"/>
          <w:szCs w:val="24"/>
        </w:rPr>
        <w:t xml:space="preserve"> </w:t>
      </w:r>
      <w:r w:rsidRPr="002152BF">
        <w:rPr>
          <w:szCs w:val="24"/>
        </w:rPr>
        <w:t>original work. I have undertaken the research work independently with the guidance and support of the</w:t>
      </w:r>
      <w:r w:rsidRPr="002152BF">
        <w:rPr>
          <w:color w:val="000000"/>
          <w:szCs w:val="24"/>
        </w:rPr>
        <w:t xml:space="preserve"> </w:t>
      </w:r>
      <w:r w:rsidRPr="002152BF">
        <w:rPr>
          <w:szCs w:val="24"/>
        </w:rPr>
        <w:t>research advisor. This study has not been submitted for any degree or diploma program in this or any other institutions and that all sources of materials used for the thesis has been duly acknowledged.</w:t>
      </w:r>
    </w:p>
    <w:p w:rsidR="00672193" w:rsidRPr="00496CA0" w:rsidRDefault="00672193" w:rsidP="00672193">
      <w:pPr>
        <w:spacing w:after="100" w:line="360" w:lineRule="auto"/>
        <w:rPr>
          <w:szCs w:val="24"/>
          <w:u w:val="single"/>
        </w:rPr>
      </w:pPr>
      <w:r w:rsidRPr="00496CA0">
        <w:rPr>
          <w:szCs w:val="24"/>
          <w:u w:val="single"/>
        </w:rPr>
        <w:t>Declared by</w:t>
      </w:r>
    </w:p>
    <w:p w:rsidR="00672193" w:rsidRPr="00496CA0" w:rsidRDefault="00672193" w:rsidP="00672193">
      <w:pPr>
        <w:spacing w:after="100" w:line="360" w:lineRule="auto"/>
        <w:rPr>
          <w:szCs w:val="24"/>
        </w:rPr>
      </w:pPr>
      <w:r w:rsidRPr="00496CA0">
        <w:rPr>
          <w:szCs w:val="24"/>
        </w:rPr>
        <w:t>Name_________</w:t>
      </w:r>
      <w:r>
        <w:rPr>
          <w:szCs w:val="24"/>
        </w:rPr>
        <w:t>_______________</w:t>
      </w:r>
    </w:p>
    <w:p w:rsidR="00672193" w:rsidRPr="00496CA0" w:rsidRDefault="00672193" w:rsidP="00672193">
      <w:pPr>
        <w:spacing w:after="100" w:line="360" w:lineRule="auto"/>
        <w:rPr>
          <w:szCs w:val="24"/>
        </w:rPr>
      </w:pPr>
      <w:r w:rsidRPr="00496CA0">
        <w:rPr>
          <w:szCs w:val="24"/>
        </w:rPr>
        <w:t>Signature: ____________________</w:t>
      </w:r>
    </w:p>
    <w:p w:rsidR="00672193" w:rsidRPr="00496CA0" w:rsidRDefault="00672193" w:rsidP="00672193">
      <w:pPr>
        <w:spacing w:after="100" w:line="360" w:lineRule="auto"/>
        <w:rPr>
          <w:szCs w:val="24"/>
        </w:rPr>
      </w:pPr>
      <w:r>
        <w:rPr>
          <w:szCs w:val="24"/>
        </w:rPr>
        <w:t>Department ___________________</w:t>
      </w:r>
    </w:p>
    <w:p w:rsidR="00672193" w:rsidRPr="00496CA0" w:rsidRDefault="00672193" w:rsidP="00672193">
      <w:pPr>
        <w:spacing w:after="100" w:line="360" w:lineRule="auto"/>
        <w:rPr>
          <w:szCs w:val="24"/>
        </w:rPr>
      </w:pPr>
      <w:r>
        <w:rPr>
          <w:szCs w:val="24"/>
        </w:rPr>
        <w:t>Date _________________________</w:t>
      </w:r>
    </w:p>
    <w:p w:rsidR="00672193" w:rsidRPr="00CE0C10" w:rsidRDefault="00672193" w:rsidP="00672193">
      <w:pPr>
        <w:spacing w:after="100" w:line="360" w:lineRule="auto"/>
        <w:rPr>
          <w:sz w:val="28"/>
          <w:szCs w:val="28"/>
        </w:rPr>
      </w:pPr>
    </w:p>
    <w:p w:rsidR="00672193" w:rsidRPr="00CE0C10" w:rsidRDefault="00672193" w:rsidP="00672193">
      <w:pPr>
        <w:spacing w:after="100" w:line="360" w:lineRule="auto"/>
        <w:rPr>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Pr="001A7043" w:rsidRDefault="00672193" w:rsidP="00672193">
      <w:pPr>
        <w:spacing w:after="100" w:line="360" w:lineRule="auto"/>
        <w:rPr>
          <w:b/>
          <w:sz w:val="28"/>
          <w:szCs w:val="28"/>
        </w:rPr>
      </w:pPr>
    </w:p>
    <w:p w:rsidR="00672193" w:rsidRPr="003663CA" w:rsidRDefault="00672193" w:rsidP="00672193">
      <w:pPr>
        <w:spacing w:after="100" w:line="360" w:lineRule="auto"/>
        <w:jc w:val="center"/>
        <w:rPr>
          <w:b/>
          <w:szCs w:val="24"/>
        </w:rPr>
      </w:pPr>
      <w:r w:rsidRPr="003663CA">
        <w:rPr>
          <w:b/>
          <w:szCs w:val="24"/>
        </w:rPr>
        <w:t>Certification</w:t>
      </w:r>
    </w:p>
    <w:p w:rsidR="00672193" w:rsidRPr="003663CA" w:rsidRDefault="00672193" w:rsidP="00672193">
      <w:pPr>
        <w:spacing w:after="100" w:line="360" w:lineRule="auto"/>
        <w:jc w:val="both"/>
        <w:rPr>
          <w:szCs w:val="24"/>
        </w:rPr>
      </w:pPr>
      <w:r w:rsidRPr="003663CA">
        <w:rPr>
          <w:szCs w:val="24"/>
        </w:rPr>
        <w:t xml:space="preserve">This is to certify that the thesis prepared by </w:t>
      </w:r>
      <w:proofErr w:type="spellStart"/>
      <w:r w:rsidRPr="003663CA">
        <w:rPr>
          <w:szCs w:val="24"/>
        </w:rPr>
        <w:t>Bereket</w:t>
      </w:r>
      <w:proofErr w:type="spellEnd"/>
      <w:r w:rsidRPr="003663CA">
        <w:rPr>
          <w:szCs w:val="24"/>
        </w:rPr>
        <w:t xml:space="preserve"> </w:t>
      </w:r>
      <w:proofErr w:type="spellStart"/>
      <w:r w:rsidRPr="003663CA">
        <w:rPr>
          <w:szCs w:val="24"/>
        </w:rPr>
        <w:t>Kebede</w:t>
      </w:r>
      <w:proofErr w:type="spellEnd"/>
      <w:r w:rsidRPr="003663CA">
        <w:rPr>
          <w:szCs w:val="24"/>
        </w:rPr>
        <w:t xml:space="preserve"> entitled “Analysis of the Financial Performance of Commercial Bank of Ethiopia using CAMEL rating approach” and submitted in partial fulfillment of the requirements f</w:t>
      </w:r>
      <w:r>
        <w:rPr>
          <w:szCs w:val="24"/>
        </w:rPr>
        <w:t xml:space="preserve">or </w:t>
      </w:r>
      <w:proofErr w:type="spellStart"/>
      <w:r w:rsidRPr="003663CA">
        <w:rPr>
          <w:szCs w:val="24"/>
        </w:rPr>
        <w:t>MSc</w:t>
      </w:r>
      <w:proofErr w:type="spellEnd"/>
      <w:r>
        <w:rPr>
          <w:szCs w:val="24"/>
        </w:rPr>
        <w:t>.</w:t>
      </w:r>
      <w:r w:rsidRPr="003663CA">
        <w:rPr>
          <w:szCs w:val="24"/>
        </w:rPr>
        <w:t xml:space="preserve"> in accounting and finance complies with the regulations of the University and meets the accepted standards with respect to originality and quality.</w:t>
      </w:r>
    </w:p>
    <w:p w:rsidR="00672193" w:rsidRPr="003663CA" w:rsidRDefault="00672193" w:rsidP="00672193">
      <w:pPr>
        <w:spacing w:after="100" w:line="360" w:lineRule="auto"/>
        <w:jc w:val="both"/>
        <w:rPr>
          <w:szCs w:val="24"/>
        </w:rPr>
      </w:pPr>
      <w:r w:rsidRPr="003663CA">
        <w:rPr>
          <w:szCs w:val="24"/>
        </w:rPr>
        <w:t xml:space="preserve">Name of Candidate: </w:t>
      </w:r>
      <w:proofErr w:type="spellStart"/>
      <w:r w:rsidRPr="003663CA">
        <w:rPr>
          <w:szCs w:val="24"/>
          <w:u w:val="single"/>
        </w:rPr>
        <w:t>Bereket</w:t>
      </w:r>
      <w:proofErr w:type="spellEnd"/>
      <w:r w:rsidRPr="003663CA">
        <w:rPr>
          <w:szCs w:val="24"/>
          <w:u w:val="single"/>
        </w:rPr>
        <w:t xml:space="preserve"> </w:t>
      </w:r>
      <w:proofErr w:type="spellStart"/>
      <w:r w:rsidRPr="003663CA">
        <w:rPr>
          <w:szCs w:val="24"/>
          <w:u w:val="single"/>
        </w:rPr>
        <w:t>Kebede</w:t>
      </w:r>
      <w:proofErr w:type="spellEnd"/>
      <w:proofErr w:type="gramStart"/>
      <w:r w:rsidRPr="003663CA">
        <w:rPr>
          <w:szCs w:val="24"/>
        </w:rPr>
        <w:t xml:space="preserve">; </w:t>
      </w:r>
      <w:r>
        <w:rPr>
          <w:szCs w:val="24"/>
        </w:rPr>
        <w:t xml:space="preserve"> </w:t>
      </w:r>
      <w:r w:rsidRPr="003663CA">
        <w:rPr>
          <w:szCs w:val="24"/>
        </w:rPr>
        <w:t>Signature</w:t>
      </w:r>
      <w:proofErr w:type="gramEnd"/>
      <w:r w:rsidRPr="003663CA">
        <w:rPr>
          <w:szCs w:val="24"/>
        </w:rPr>
        <w:t xml:space="preserve">: _________ </w:t>
      </w:r>
      <w:r w:rsidR="00BA3F97">
        <w:rPr>
          <w:szCs w:val="24"/>
        </w:rPr>
        <w:t xml:space="preserve"> </w:t>
      </w:r>
      <w:r w:rsidRPr="003663CA">
        <w:rPr>
          <w:szCs w:val="24"/>
        </w:rPr>
        <w:t xml:space="preserve">Date: ____ </w:t>
      </w:r>
      <w:r>
        <w:rPr>
          <w:szCs w:val="24"/>
        </w:rPr>
        <w:t xml:space="preserve">   </w:t>
      </w:r>
      <w:r w:rsidRPr="003663CA">
        <w:rPr>
          <w:szCs w:val="24"/>
        </w:rPr>
        <w:t>.</w:t>
      </w:r>
    </w:p>
    <w:p w:rsidR="00672193" w:rsidRPr="003663CA" w:rsidRDefault="00BA3F97" w:rsidP="00672193">
      <w:pPr>
        <w:spacing w:after="100" w:line="360" w:lineRule="auto"/>
        <w:jc w:val="both"/>
        <w:rPr>
          <w:szCs w:val="24"/>
        </w:rPr>
      </w:pPr>
      <w:r>
        <w:rPr>
          <w:szCs w:val="24"/>
        </w:rPr>
        <w:t xml:space="preserve">Name of Advisor: </w:t>
      </w:r>
      <w:proofErr w:type="spellStart"/>
      <w:r w:rsidR="00672193" w:rsidRPr="003663CA">
        <w:rPr>
          <w:szCs w:val="24"/>
          <w:u w:val="single"/>
        </w:rPr>
        <w:t>Giday</w:t>
      </w:r>
      <w:proofErr w:type="spellEnd"/>
      <w:r w:rsidR="00672193" w:rsidRPr="003663CA">
        <w:rPr>
          <w:szCs w:val="24"/>
          <w:u w:val="single"/>
        </w:rPr>
        <w:t xml:space="preserve"> G. (Ph.D.)</w:t>
      </w:r>
      <w:r w:rsidR="00672193" w:rsidRPr="003663CA">
        <w:rPr>
          <w:szCs w:val="24"/>
        </w:rPr>
        <w:t xml:space="preserve"> </w:t>
      </w:r>
      <w:r>
        <w:rPr>
          <w:szCs w:val="24"/>
        </w:rPr>
        <w:t xml:space="preserve">Signature: </w:t>
      </w:r>
      <w:r w:rsidRPr="00BA3F97">
        <w:rPr>
          <w:szCs w:val="24"/>
          <w:u w:val="single"/>
        </w:rPr>
        <w:drawing>
          <wp:inline distT="0" distB="0" distL="0" distR="0">
            <wp:extent cx="942975" cy="156210"/>
            <wp:effectExtent l="0" t="0" r="0" b="0"/>
            <wp:docPr id="3" name="Picture 3" descr="C:\Users\user\Pictures\Saved Pictures\Signatu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Signature (5).pn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42975" cy="156210"/>
                    </a:xfrm>
                    <a:prstGeom prst="rect">
                      <a:avLst/>
                    </a:prstGeom>
                    <a:noFill/>
                    <a:ln>
                      <a:noFill/>
                    </a:ln>
                  </pic:spPr>
                </pic:pic>
              </a:graphicData>
            </a:graphic>
          </wp:inline>
        </w:drawing>
      </w:r>
      <w:r w:rsidR="00672193" w:rsidRPr="003663CA">
        <w:rPr>
          <w:szCs w:val="24"/>
        </w:rPr>
        <w:t xml:space="preserve">Date: </w:t>
      </w:r>
      <w:r w:rsidRPr="00BA3F97">
        <w:rPr>
          <w:szCs w:val="24"/>
          <w:u w:val="single"/>
        </w:rPr>
        <w:t>MAY/2021</w:t>
      </w:r>
    </w:p>
    <w:p w:rsidR="00672193" w:rsidRPr="003663CA" w:rsidRDefault="00672193" w:rsidP="00672193">
      <w:pPr>
        <w:spacing w:after="100" w:line="360" w:lineRule="auto"/>
        <w:jc w:val="both"/>
        <w:rPr>
          <w:b/>
          <w:szCs w:val="24"/>
        </w:rPr>
      </w:pPr>
    </w:p>
    <w:p w:rsidR="00672193" w:rsidRPr="003663CA" w:rsidRDefault="00672193" w:rsidP="00672193">
      <w:pPr>
        <w:spacing w:after="100" w:line="360" w:lineRule="auto"/>
        <w:jc w:val="both"/>
        <w:rPr>
          <w:b/>
          <w:szCs w:val="24"/>
        </w:rPr>
      </w:pPr>
      <w:r w:rsidRPr="003663CA">
        <w:rPr>
          <w:b/>
          <w:szCs w:val="24"/>
        </w:rPr>
        <w:t>Signature of Board of Examiner`s:</w:t>
      </w:r>
    </w:p>
    <w:p w:rsidR="00672193" w:rsidRPr="003663CA" w:rsidRDefault="00672193" w:rsidP="00672193">
      <w:pPr>
        <w:spacing w:after="100" w:line="360" w:lineRule="auto"/>
        <w:jc w:val="both"/>
        <w:rPr>
          <w:szCs w:val="24"/>
        </w:rPr>
      </w:pPr>
      <w:r w:rsidRPr="003663CA">
        <w:rPr>
          <w:szCs w:val="24"/>
        </w:rPr>
        <w:t>External examiner: ____________________Signature: _______Date: _______.</w:t>
      </w:r>
    </w:p>
    <w:p w:rsidR="00672193" w:rsidRPr="003663CA" w:rsidRDefault="00672193" w:rsidP="00672193">
      <w:pPr>
        <w:spacing w:after="100" w:line="360" w:lineRule="auto"/>
        <w:jc w:val="both"/>
        <w:rPr>
          <w:szCs w:val="24"/>
        </w:rPr>
      </w:pPr>
      <w:r w:rsidRPr="003663CA">
        <w:rPr>
          <w:szCs w:val="24"/>
        </w:rPr>
        <w:t>Internal examiner: ____________________Signature: ________Date: _______.</w:t>
      </w:r>
    </w:p>
    <w:p w:rsidR="00672193" w:rsidRPr="003663CA" w:rsidRDefault="00672193" w:rsidP="00672193">
      <w:pPr>
        <w:spacing w:after="100" w:line="360" w:lineRule="auto"/>
        <w:jc w:val="both"/>
        <w:rPr>
          <w:szCs w:val="24"/>
        </w:rPr>
      </w:pPr>
      <w:r w:rsidRPr="003663CA">
        <w:rPr>
          <w:szCs w:val="24"/>
        </w:rPr>
        <w:t>Dean, SGS: _________________________Signature: ________ Date: ______.</w:t>
      </w:r>
    </w:p>
    <w:p w:rsidR="00672193" w:rsidRPr="003663CA" w:rsidRDefault="00672193" w:rsidP="00672193">
      <w:pPr>
        <w:spacing w:after="100" w:line="360" w:lineRule="auto"/>
        <w:jc w:val="both"/>
        <w:rPr>
          <w:szCs w:val="24"/>
        </w:rPr>
      </w:pPr>
    </w:p>
    <w:p w:rsidR="00672193" w:rsidRPr="003663CA" w:rsidRDefault="00672193" w:rsidP="00672193">
      <w:pPr>
        <w:spacing w:after="100" w:line="360" w:lineRule="auto"/>
        <w:jc w:val="both"/>
        <w:rPr>
          <w:b/>
          <w:szCs w:val="24"/>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Pr="006B7DF4" w:rsidRDefault="00672193" w:rsidP="00672193">
      <w:pPr>
        <w:spacing w:after="100" w:line="360" w:lineRule="auto"/>
        <w:jc w:val="center"/>
        <w:rPr>
          <w:b/>
          <w:sz w:val="28"/>
          <w:szCs w:val="28"/>
        </w:rPr>
      </w:pPr>
      <w:r w:rsidRPr="006B7DF4">
        <w:rPr>
          <w:b/>
          <w:sz w:val="28"/>
          <w:szCs w:val="28"/>
        </w:rPr>
        <w:lastRenderedPageBreak/>
        <w:t>Acknowledgement</w:t>
      </w:r>
    </w:p>
    <w:p w:rsidR="00672193" w:rsidRPr="006B7DF4" w:rsidRDefault="00672193" w:rsidP="00672193">
      <w:pPr>
        <w:spacing w:after="100" w:line="360" w:lineRule="auto"/>
        <w:jc w:val="both"/>
        <w:rPr>
          <w:b/>
          <w:szCs w:val="24"/>
        </w:rPr>
      </w:pPr>
      <w:r w:rsidRPr="006B7DF4">
        <w:rPr>
          <w:szCs w:val="24"/>
        </w:rPr>
        <w:t xml:space="preserve">The completion of this thesis involved kindly contribution, support and encouragement of many people. First of all I wish to express my sincere gratitude to my supervisor </w:t>
      </w:r>
      <w:proofErr w:type="spellStart"/>
      <w:r w:rsidRPr="006B7DF4">
        <w:rPr>
          <w:szCs w:val="24"/>
        </w:rPr>
        <w:t>Gidey</w:t>
      </w:r>
      <w:proofErr w:type="spellEnd"/>
      <w:r w:rsidRPr="006B7DF4">
        <w:rPr>
          <w:szCs w:val="24"/>
        </w:rPr>
        <w:t xml:space="preserve"> G. (Ph.D.) without his understanding, patience and useful supervision; it could be more challenging for me to complete this thesis. I am also very thankful to all my friends especially </w:t>
      </w:r>
      <w:proofErr w:type="spellStart"/>
      <w:r w:rsidRPr="006B7DF4">
        <w:rPr>
          <w:szCs w:val="24"/>
        </w:rPr>
        <w:t>Sirak</w:t>
      </w:r>
      <w:proofErr w:type="spellEnd"/>
      <w:r w:rsidRPr="006B7DF4">
        <w:rPr>
          <w:szCs w:val="24"/>
        </w:rPr>
        <w:t xml:space="preserve"> </w:t>
      </w:r>
      <w:proofErr w:type="spellStart"/>
      <w:r w:rsidRPr="006B7DF4">
        <w:rPr>
          <w:szCs w:val="24"/>
        </w:rPr>
        <w:t>Aynalem</w:t>
      </w:r>
      <w:proofErr w:type="spellEnd"/>
      <w:r w:rsidRPr="006B7DF4">
        <w:rPr>
          <w:szCs w:val="24"/>
        </w:rPr>
        <w:t xml:space="preserve"> for his unforgettable support. </w:t>
      </w:r>
    </w:p>
    <w:p w:rsidR="00672193" w:rsidRDefault="00672193" w:rsidP="00672193">
      <w:pPr>
        <w:spacing w:after="100" w:line="360" w:lineRule="auto"/>
        <w:jc w:val="both"/>
        <w:rPr>
          <w:b/>
          <w:sz w:val="28"/>
          <w:szCs w:val="28"/>
        </w:rPr>
      </w:pPr>
      <w:r w:rsidRPr="006B7DF4">
        <w:rPr>
          <w:szCs w:val="24"/>
        </w:rPr>
        <w:t>Lastly but not least, I wish to acknowledge the support of my family during my study time. To all the above group of individuals, I will forever remain indebted</w:t>
      </w:r>
      <w:r>
        <w:t>.</w:t>
      </w: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p w:rsidR="00672193" w:rsidRDefault="00672193" w:rsidP="00672193">
      <w:pPr>
        <w:spacing w:after="100" w:line="360" w:lineRule="auto"/>
        <w:rPr>
          <w:b/>
          <w:sz w:val="28"/>
          <w:szCs w:val="28"/>
        </w:rPr>
      </w:pPr>
    </w:p>
    <w:sdt>
      <w:sdtPr>
        <w:rPr>
          <w:rFonts w:eastAsia="Calibri" w:cs="Times New Roman"/>
          <w:b w:val="0"/>
          <w:bCs w:val="0"/>
          <w:noProof/>
          <w:color w:val="auto"/>
          <w:sz w:val="24"/>
          <w:szCs w:val="24"/>
        </w:rPr>
        <w:id w:val="77132856"/>
        <w:docPartObj>
          <w:docPartGallery w:val="Table of Contents"/>
          <w:docPartUnique/>
        </w:docPartObj>
      </w:sdtPr>
      <w:sdtContent>
        <w:p w:rsidR="00672193" w:rsidRPr="00F554BE" w:rsidRDefault="00672193" w:rsidP="00672193">
          <w:pPr>
            <w:pStyle w:val="TOCHeading"/>
            <w:spacing w:before="0" w:after="100" w:line="360" w:lineRule="auto"/>
            <w:jc w:val="center"/>
            <w:rPr>
              <w:rFonts w:cs="Times New Roman"/>
              <w:b w:val="0"/>
              <w:color w:val="auto"/>
              <w:sz w:val="24"/>
              <w:szCs w:val="24"/>
            </w:rPr>
          </w:pPr>
          <w:r w:rsidRPr="00F554BE">
            <w:rPr>
              <w:rFonts w:cs="Times New Roman"/>
              <w:b w:val="0"/>
              <w:color w:val="auto"/>
              <w:sz w:val="24"/>
              <w:szCs w:val="24"/>
            </w:rPr>
            <w:t>Table of Contents</w:t>
          </w:r>
        </w:p>
        <w:p w:rsidR="00F75F7F" w:rsidRDefault="00ED70D5" w:rsidP="00F75F7F">
          <w:pPr>
            <w:pStyle w:val="TOC1"/>
            <w:jc w:val="center"/>
            <w:rPr>
              <w:rFonts w:asciiTheme="minorHAnsi" w:eastAsiaTheme="minorEastAsia" w:hAnsiTheme="minorHAnsi" w:cstheme="minorBidi"/>
              <w:b w:val="0"/>
              <w:sz w:val="22"/>
            </w:rPr>
          </w:pPr>
          <w:r w:rsidRPr="00F554BE">
            <w:rPr>
              <w:b w:val="0"/>
              <w:szCs w:val="24"/>
            </w:rPr>
            <w:fldChar w:fldCharType="begin"/>
          </w:r>
          <w:r w:rsidR="00672193" w:rsidRPr="00F554BE">
            <w:rPr>
              <w:b w:val="0"/>
              <w:szCs w:val="24"/>
            </w:rPr>
            <w:instrText xml:space="preserve"> TOC \o "1-3" \h \z \u </w:instrText>
          </w:r>
          <w:r w:rsidRPr="00F554BE">
            <w:rPr>
              <w:b w:val="0"/>
              <w:szCs w:val="24"/>
            </w:rPr>
            <w:fldChar w:fldCharType="separate"/>
          </w:r>
          <w:hyperlink w:anchor="_Toc73104259" w:history="1">
            <w:r w:rsidR="00F75F7F" w:rsidRPr="00E779EC">
              <w:rPr>
                <w:rStyle w:val="Hyperlink"/>
              </w:rPr>
              <w:t>LIST OF TABLES</w:t>
            </w:r>
            <w:r w:rsidR="00F75F7F">
              <w:rPr>
                <w:webHidden/>
              </w:rPr>
              <w:tab/>
            </w:r>
            <w:r>
              <w:rPr>
                <w:webHidden/>
              </w:rPr>
              <w:fldChar w:fldCharType="begin"/>
            </w:r>
            <w:r w:rsidR="00F75F7F">
              <w:rPr>
                <w:webHidden/>
              </w:rPr>
              <w:instrText xml:space="preserve"> PAGEREF _Toc73104259 \h </w:instrText>
            </w:r>
            <w:r>
              <w:rPr>
                <w:webHidden/>
              </w:rPr>
            </w:r>
            <w:r>
              <w:rPr>
                <w:webHidden/>
              </w:rPr>
              <w:fldChar w:fldCharType="separate"/>
            </w:r>
            <w:r w:rsidR="00CA7139">
              <w:rPr>
                <w:webHidden/>
              </w:rPr>
              <w:t>vii</w:t>
            </w:r>
            <w:r>
              <w:rPr>
                <w:webHidden/>
              </w:rPr>
              <w:fldChar w:fldCharType="end"/>
            </w:r>
          </w:hyperlink>
        </w:p>
        <w:p w:rsidR="00F75F7F" w:rsidRDefault="00ED70D5" w:rsidP="00F75F7F">
          <w:pPr>
            <w:pStyle w:val="TOC1"/>
            <w:jc w:val="center"/>
            <w:rPr>
              <w:rFonts w:asciiTheme="minorHAnsi" w:eastAsiaTheme="minorEastAsia" w:hAnsiTheme="minorHAnsi" w:cstheme="minorBidi"/>
              <w:b w:val="0"/>
              <w:sz w:val="22"/>
            </w:rPr>
          </w:pPr>
          <w:hyperlink w:anchor="_Toc73104260" w:history="1">
            <w:r w:rsidR="00F75F7F" w:rsidRPr="00E779EC">
              <w:rPr>
                <w:rStyle w:val="Hyperlink"/>
              </w:rPr>
              <w:t>LIST OF FIGURES</w:t>
            </w:r>
            <w:r w:rsidR="00F75F7F">
              <w:rPr>
                <w:webHidden/>
              </w:rPr>
              <w:tab/>
            </w:r>
            <w:r>
              <w:rPr>
                <w:webHidden/>
              </w:rPr>
              <w:fldChar w:fldCharType="begin"/>
            </w:r>
            <w:r w:rsidR="00F75F7F">
              <w:rPr>
                <w:webHidden/>
              </w:rPr>
              <w:instrText xml:space="preserve"> PAGEREF _Toc73104260 \h </w:instrText>
            </w:r>
            <w:r>
              <w:rPr>
                <w:webHidden/>
              </w:rPr>
            </w:r>
            <w:r>
              <w:rPr>
                <w:webHidden/>
              </w:rPr>
              <w:fldChar w:fldCharType="separate"/>
            </w:r>
            <w:r w:rsidR="00CA7139">
              <w:rPr>
                <w:webHidden/>
              </w:rPr>
              <w:t>viii</w:t>
            </w:r>
            <w:r>
              <w:rPr>
                <w:webHidden/>
              </w:rPr>
              <w:fldChar w:fldCharType="end"/>
            </w:r>
          </w:hyperlink>
        </w:p>
        <w:p w:rsidR="00F75F7F" w:rsidRDefault="00ED70D5" w:rsidP="00F75F7F">
          <w:pPr>
            <w:pStyle w:val="TOC1"/>
            <w:jc w:val="center"/>
            <w:rPr>
              <w:rFonts w:asciiTheme="minorHAnsi" w:eastAsiaTheme="minorEastAsia" w:hAnsiTheme="minorHAnsi" w:cstheme="minorBidi"/>
              <w:b w:val="0"/>
              <w:sz w:val="22"/>
            </w:rPr>
          </w:pPr>
          <w:hyperlink w:anchor="_Toc73104261" w:history="1">
            <w:r w:rsidR="00F75F7F" w:rsidRPr="00E779EC">
              <w:rPr>
                <w:rStyle w:val="Hyperlink"/>
              </w:rPr>
              <w:t>LIST OF ACRONYMS/ABBREVIATIONS</w:t>
            </w:r>
            <w:r w:rsidR="00F75F7F">
              <w:rPr>
                <w:webHidden/>
              </w:rPr>
              <w:tab/>
            </w:r>
            <w:r>
              <w:rPr>
                <w:webHidden/>
              </w:rPr>
              <w:fldChar w:fldCharType="begin"/>
            </w:r>
            <w:r w:rsidR="00F75F7F">
              <w:rPr>
                <w:webHidden/>
              </w:rPr>
              <w:instrText xml:space="preserve"> PAGEREF _Toc73104261 \h </w:instrText>
            </w:r>
            <w:r>
              <w:rPr>
                <w:webHidden/>
              </w:rPr>
            </w:r>
            <w:r>
              <w:rPr>
                <w:webHidden/>
              </w:rPr>
              <w:fldChar w:fldCharType="separate"/>
            </w:r>
            <w:r w:rsidR="00CA7139">
              <w:rPr>
                <w:webHidden/>
              </w:rPr>
              <w:t>ix</w:t>
            </w:r>
            <w:r>
              <w:rPr>
                <w:webHidden/>
              </w:rPr>
              <w:fldChar w:fldCharType="end"/>
            </w:r>
          </w:hyperlink>
        </w:p>
        <w:p w:rsidR="00F75F7F" w:rsidRDefault="00ED70D5" w:rsidP="00F75F7F">
          <w:pPr>
            <w:pStyle w:val="TOC1"/>
            <w:jc w:val="center"/>
            <w:rPr>
              <w:rFonts w:asciiTheme="minorHAnsi" w:eastAsiaTheme="minorEastAsia" w:hAnsiTheme="minorHAnsi" w:cstheme="minorBidi"/>
              <w:b w:val="0"/>
              <w:sz w:val="22"/>
            </w:rPr>
          </w:pPr>
          <w:hyperlink w:anchor="_Toc73104262" w:history="1">
            <w:r w:rsidR="00F75F7F" w:rsidRPr="00E779EC">
              <w:rPr>
                <w:rStyle w:val="Hyperlink"/>
                <w:i/>
              </w:rPr>
              <w:t>ABSTRACT</w:t>
            </w:r>
            <w:r w:rsidR="00F75F7F">
              <w:rPr>
                <w:webHidden/>
              </w:rPr>
              <w:tab/>
            </w:r>
            <w:r>
              <w:rPr>
                <w:webHidden/>
              </w:rPr>
              <w:fldChar w:fldCharType="begin"/>
            </w:r>
            <w:r w:rsidR="00F75F7F">
              <w:rPr>
                <w:webHidden/>
              </w:rPr>
              <w:instrText xml:space="preserve"> PAGEREF _Toc73104262 \h </w:instrText>
            </w:r>
            <w:r>
              <w:rPr>
                <w:webHidden/>
              </w:rPr>
            </w:r>
            <w:r>
              <w:rPr>
                <w:webHidden/>
              </w:rPr>
              <w:fldChar w:fldCharType="separate"/>
            </w:r>
            <w:r w:rsidR="00CA7139">
              <w:rPr>
                <w:webHidden/>
              </w:rPr>
              <w:t>x</w:t>
            </w:r>
            <w:r>
              <w:rPr>
                <w:webHidden/>
              </w:rPr>
              <w:fldChar w:fldCharType="end"/>
            </w:r>
          </w:hyperlink>
        </w:p>
        <w:p w:rsidR="00F75F7F" w:rsidRDefault="00ED70D5" w:rsidP="00F75F7F">
          <w:pPr>
            <w:pStyle w:val="TOC1"/>
            <w:jc w:val="center"/>
            <w:rPr>
              <w:rFonts w:asciiTheme="minorHAnsi" w:eastAsiaTheme="minorEastAsia" w:hAnsiTheme="minorHAnsi" w:cstheme="minorBidi"/>
              <w:b w:val="0"/>
              <w:sz w:val="22"/>
            </w:rPr>
          </w:pPr>
          <w:hyperlink w:anchor="_Toc73104263" w:history="1">
            <w:r w:rsidR="00F75F7F" w:rsidRPr="00E779EC">
              <w:rPr>
                <w:rStyle w:val="Hyperlink"/>
              </w:rPr>
              <w:t>CHAPTER ONE: - INTRODUCTION</w:t>
            </w:r>
            <w:r w:rsidR="00F75F7F">
              <w:rPr>
                <w:webHidden/>
              </w:rPr>
              <w:tab/>
            </w:r>
            <w:r>
              <w:rPr>
                <w:webHidden/>
              </w:rPr>
              <w:fldChar w:fldCharType="begin"/>
            </w:r>
            <w:r w:rsidR="00F75F7F">
              <w:rPr>
                <w:webHidden/>
              </w:rPr>
              <w:instrText xml:space="preserve"> PAGEREF _Toc73104263 \h </w:instrText>
            </w:r>
            <w:r>
              <w:rPr>
                <w:webHidden/>
              </w:rPr>
            </w:r>
            <w:r>
              <w:rPr>
                <w:webHidden/>
              </w:rPr>
              <w:fldChar w:fldCharType="separate"/>
            </w:r>
            <w:r w:rsidR="00CA7139">
              <w:rPr>
                <w:webHidden/>
              </w:rPr>
              <w:t>1</w:t>
            </w:r>
            <w:r>
              <w:rPr>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64" w:history="1">
            <w:r w:rsidR="00F75F7F" w:rsidRPr="00E779EC">
              <w:rPr>
                <w:rStyle w:val="Hyperlink"/>
                <w:noProof/>
              </w:rPr>
              <w:t>1.3.</w:t>
            </w:r>
            <w:r w:rsidR="00F75F7F">
              <w:rPr>
                <w:rFonts w:asciiTheme="minorHAnsi" w:eastAsiaTheme="minorEastAsia" w:hAnsiTheme="minorHAnsi" w:cstheme="minorBidi"/>
                <w:noProof/>
                <w:sz w:val="22"/>
              </w:rPr>
              <w:tab/>
            </w:r>
            <w:r w:rsidR="00F75F7F" w:rsidRPr="00E779EC">
              <w:rPr>
                <w:rStyle w:val="Hyperlink"/>
                <w:noProof/>
              </w:rPr>
              <w:t>Statements of the Problem</w:t>
            </w:r>
            <w:r w:rsidR="00F75F7F">
              <w:rPr>
                <w:noProof/>
                <w:webHidden/>
              </w:rPr>
              <w:tab/>
            </w:r>
            <w:r>
              <w:rPr>
                <w:noProof/>
                <w:webHidden/>
              </w:rPr>
              <w:fldChar w:fldCharType="begin"/>
            </w:r>
            <w:r w:rsidR="00F75F7F">
              <w:rPr>
                <w:noProof/>
                <w:webHidden/>
              </w:rPr>
              <w:instrText xml:space="preserve"> PAGEREF _Toc73104264 \h </w:instrText>
            </w:r>
            <w:r>
              <w:rPr>
                <w:noProof/>
                <w:webHidden/>
              </w:rPr>
            </w:r>
            <w:r>
              <w:rPr>
                <w:noProof/>
                <w:webHidden/>
              </w:rPr>
              <w:fldChar w:fldCharType="separate"/>
            </w:r>
            <w:r w:rsidR="00CA7139">
              <w:rPr>
                <w:noProof/>
                <w:webHidden/>
              </w:rPr>
              <w:t>3</w:t>
            </w:r>
            <w:r>
              <w:rPr>
                <w:noProof/>
                <w:webHidden/>
              </w:rPr>
              <w:fldChar w:fldCharType="end"/>
            </w:r>
          </w:hyperlink>
        </w:p>
        <w:p w:rsidR="00F75F7F" w:rsidRDefault="00ED70D5" w:rsidP="00F75F7F">
          <w:pPr>
            <w:pStyle w:val="TOC2"/>
            <w:tabs>
              <w:tab w:val="right" w:leader="dot" w:pos="8657"/>
            </w:tabs>
            <w:jc w:val="center"/>
            <w:rPr>
              <w:rFonts w:asciiTheme="minorHAnsi" w:eastAsiaTheme="minorEastAsia" w:hAnsiTheme="minorHAnsi" w:cstheme="minorBidi"/>
              <w:noProof/>
              <w:sz w:val="22"/>
            </w:rPr>
          </w:pPr>
          <w:hyperlink w:anchor="_Toc73104265" w:history="1">
            <w:r w:rsidR="00F75F7F" w:rsidRPr="00E779EC">
              <w:rPr>
                <w:rStyle w:val="Hyperlink"/>
                <w:noProof/>
              </w:rPr>
              <w:t>1.4. Research Questions</w:t>
            </w:r>
            <w:r w:rsidR="00F75F7F">
              <w:rPr>
                <w:noProof/>
                <w:webHidden/>
              </w:rPr>
              <w:tab/>
            </w:r>
            <w:r>
              <w:rPr>
                <w:noProof/>
                <w:webHidden/>
              </w:rPr>
              <w:fldChar w:fldCharType="begin"/>
            </w:r>
            <w:r w:rsidR="00F75F7F">
              <w:rPr>
                <w:noProof/>
                <w:webHidden/>
              </w:rPr>
              <w:instrText xml:space="preserve"> PAGEREF _Toc73104265 \h </w:instrText>
            </w:r>
            <w:r>
              <w:rPr>
                <w:noProof/>
                <w:webHidden/>
              </w:rPr>
            </w:r>
            <w:r>
              <w:rPr>
                <w:noProof/>
                <w:webHidden/>
              </w:rPr>
              <w:fldChar w:fldCharType="separate"/>
            </w:r>
            <w:r w:rsidR="00CA7139">
              <w:rPr>
                <w:noProof/>
                <w:webHidden/>
              </w:rPr>
              <w:t>5</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66" w:history="1">
            <w:r w:rsidR="00F75F7F" w:rsidRPr="00E779EC">
              <w:rPr>
                <w:rStyle w:val="Hyperlink"/>
                <w:noProof/>
              </w:rPr>
              <w:t>1.5.</w:t>
            </w:r>
            <w:r w:rsidR="00F75F7F">
              <w:rPr>
                <w:rFonts w:asciiTheme="minorHAnsi" w:eastAsiaTheme="minorEastAsia" w:hAnsiTheme="minorHAnsi" w:cstheme="minorBidi"/>
                <w:noProof/>
                <w:sz w:val="22"/>
              </w:rPr>
              <w:tab/>
            </w:r>
            <w:r w:rsidR="00F75F7F" w:rsidRPr="00E779EC">
              <w:rPr>
                <w:rStyle w:val="Hyperlink"/>
                <w:noProof/>
              </w:rPr>
              <w:t>Research Objective(s)</w:t>
            </w:r>
            <w:r w:rsidR="00F75F7F">
              <w:rPr>
                <w:noProof/>
                <w:webHidden/>
              </w:rPr>
              <w:tab/>
            </w:r>
            <w:r>
              <w:rPr>
                <w:noProof/>
                <w:webHidden/>
              </w:rPr>
              <w:fldChar w:fldCharType="begin"/>
            </w:r>
            <w:r w:rsidR="00F75F7F">
              <w:rPr>
                <w:noProof/>
                <w:webHidden/>
              </w:rPr>
              <w:instrText xml:space="preserve"> PAGEREF _Toc73104266 \h </w:instrText>
            </w:r>
            <w:r>
              <w:rPr>
                <w:noProof/>
                <w:webHidden/>
              </w:rPr>
            </w:r>
            <w:r>
              <w:rPr>
                <w:noProof/>
                <w:webHidden/>
              </w:rPr>
              <w:fldChar w:fldCharType="separate"/>
            </w:r>
            <w:r w:rsidR="00CA7139">
              <w:rPr>
                <w:noProof/>
                <w:webHidden/>
              </w:rPr>
              <w:t>5</w:t>
            </w:r>
            <w:r>
              <w:rPr>
                <w:noProof/>
                <w:webHidden/>
              </w:rPr>
              <w:fldChar w:fldCharType="end"/>
            </w:r>
          </w:hyperlink>
        </w:p>
        <w:p w:rsidR="00F75F7F" w:rsidRDefault="00ED70D5" w:rsidP="00F75F7F">
          <w:pPr>
            <w:pStyle w:val="TOC3"/>
            <w:tabs>
              <w:tab w:val="right" w:leader="dot" w:pos="8657"/>
            </w:tabs>
            <w:jc w:val="center"/>
            <w:rPr>
              <w:noProof/>
              <w:sz w:val="22"/>
            </w:rPr>
          </w:pPr>
          <w:hyperlink w:anchor="_Toc73104267" w:history="1">
            <w:r w:rsidR="00F75F7F" w:rsidRPr="00E779EC">
              <w:rPr>
                <w:rStyle w:val="Hyperlink"/>
                <w:rFonts w:cs="Times New Roman"/>
                <w:noProof/>
              </w:rPr>
              <w:t>1.5.1 General Objective</w:t>
            </w:r>
            <w:r w:rsidR="00F75F7F">
              <w:rPr>
                <w:noProof/>
                <w:webHidden/>
              </w:rPr>
              <w:tab/>
            </w:r>
            <w:r>
              <w:rPr>
                <w:noProof/>
                <w:webHidden/>
              </w:rPr>
              <w:fldChar w:fldCharType="begin"/>
            </w:r>
            <w:r w:rsidR="00F75F7F">
              <w:rPr>
                <w:noProof/>
                <w:webHidden/>
              </w:rPr>
              <w:instrText xml:space="preserve"> PAGEREF _Toc73104267 \h </w:instrText>
            </w:r>
            <w:r>
              <w:rPr>
                <w:noProof/>
                <w:webHidden/>
              </w:rPr>
            </w:r>
            <w:r>
              <w:rPr>
                <w:noProof/>
                <w:webHidden/>
              </w:rPr>
              <w:fldChar w:fldCharType="separate"/>
            </w:r>
            <w:r w:rsidR="00CA7139">
              <w:rPr>
                <w:noProof/>
                <w:webHidden/>
              </w:rPr>
              <w:t>5</w:t>
            </w:r>
            <w:r>
              <w:rPr>
                <w:noProof/>
                <w:webHidden/>
              </w:rPr>
              <w:fldChar w:fldCharType="end"/>
            </w:r>
          </w:hyperlink>
        </w:p>
        <w:p w:rsidR="00F75F7F" w:rsidRDefault="00ED70D5" w:rsidP="00F75F7F">
          <w:pPr>
            <w:pStyle w:val="TOC3"/>
            <w:tabs>
              <w:tab w:val="left" w:pos="880"/>
              <w:tab w:val="right" w:leader="dot" w:pos="8657"/>
            </w:tabs>
            <w:jc w:val="center"/>
            <w:rPr>
              <w:noProof/>
              <w:sz w:val="22"/>
            </w:rPr>
          </w:pPr>
          <w:hyperlink w:anchor="_Toc73104268" w:history="1">
            <w:r w:rsidR="00F75F7F" w:rsidRPr="00E779EC">
              <w:rPr>
                <w:rStyle w:val="Hyperlink"/>
                <w:rFonts w:cs="Times New Roman"/>
                <w:noProof/>
              </w:rPr>
              <w:t>i.</w:t>
            </w:r>
            <w:r w:rsidR="00F75F7F">
              <w:rPr>
                <w:noProof/>
                <w:sz w:val="22"/>
              </w:rPr>
              <w:tab/>
            </w:r>
            <w:r w:rsidR="00F75F7F" w:rsidRPr="00E779EC">
              <w:rPr>
                <w:rStyle w:val="Hyperlink"/>
                <w:rFonts w:cs="Times New Roman"/>
                <w:noProof/>
              </w:rPr>
              <w:t>Specific Objectives</w:t>
            </w:r>
            <w:r w:rsidR="00F75F7F">
              <w:rPr>
                <w:noProof/>
                <w:webHidden/>
              </w:rPr>
              <w:tab/>
            </w:r>
            <w:r>
              <w:rPr>
                <w:noProof/>
                <w:webHidden/>
              </w:rPr>
              <w:fldChar w:fldCharType="begin"/>
            </w:r>
            <w:r w:rsidR="00F75F7F">
              <w:rPr>
                <w:noProof/>
                <w:webHidden/>
              </w:rPr>
              <w:instrText xml:space="preserve"> PAGEREF _Toc73104268 \h </w:instrText>
            </w:r>
            <w:r>
              <w:rPr>
                <w:noProof/>
                <w:webHidden/>
              </w:rPr>
            </w:r>
            <w:r>
              <w:rPr>
                <w:noProof/>
                <w:webHidden/>
              </w:rPr>
              <w:fldChar w:fldCharType="separate"/>
            </w:r>
            <w:r w:rsidR="00CA7139">
              <w:rPr>
                <w:noProof/>
                <w:webHidden/>
              </w:rPr>
              <w:t>5</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69" w:history="1">
            <w:r w:rsidR="00F75F7F" w:rsidRPr="00E779EC">
              <w:rPr>
                <w:rStyle w:val="Hyperlink"/>
                <w:noProof/>
              </w:rPr>
              <w:t>1.6.</w:t>
            </w:r>
            <w:r w:rsidR="00F75F7F">
              <w:rPr>
                <w:rFonts w:asciiTheme="minorHAnsi" w:eastAsiaTheme="minorEastAsia" w:hAnsiTheme="minorHAnsi" w:cstheme="minorBidi"/>
                <w:noProof/>
                <w:sz w:val="22"/>
              </w:rPr>
              <w:tab/>
            </w:r>
            <w:r w:rsidR="00F75F7F" w:rsidRPr="00E779EC">
              <w:rPr>
                <w:rStyle w:val="Hyperlink"/>
                <w:noProof/>
              </w:rPr>
              <w:t>Significance of the Study</w:t>
            </w:r>
            <w:r w:rsidR="00F75F7F">
              <w:rPr>
                <w:noProof/>
                <w:webHidden/>
              </w:rPr>
              <w:tab/>
            </w:r>
            <w:r>
              <w:rPr>
                <w:noProof/>
                <w:webHidden/>
              </w:rPr>
              <w:fldChar w:fldCharType="begin"/>
            </w:r>
            <w:r w:rsidR="00F75F7F">
              <w:rPr>
                <w:noProof/>
                <w:webHidden/>
              </w:rPr>
              <w:instrText xml:space="preserve"> PAGEREF _Toc73104269 \h </w:instrText>
            </w:r>
            <w:r>
              <w:rPr>
                <w:noProof/>
                <w:webHidden/>
              </w:rPr>
            </w:r>
            <w:r>
              <w:rPr>
                <w:noProof/>
                <w:webHidden/>
              </w:rPr>
              <w:fldChar w:fldCharType="separate"/>
            </w:r>
            <w:r w:rsidR="00CA7139">
              <w:rPr>
                <w:noProof/>
                <w:webHidden/>
              </w:rPr>
              <w:t>6</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70" w:history="1">
            <w:r w:rsidR="00F75F7F" w:rsidRPr="00E779EC">
              <w:rPr>
                <w:rStyle w:val="Hyperlink"/>
                <w:noProof/>
              </w:rPr>
              <w:t>1.7.</w:t>
            </w:r>
            <w:r w:rsidR="00F75F7F">
              <w:rPr>
                <w:rFonts w:asciiTheme="minorHAnsi" w:eastAsiaTheme="minorEastAsia" w:hAnsiTheme="minorHAnsi" w:cstheme="minorBidi"/>
                <w:noProof/>
                <w:sz w:val="22"/>
              </w:rPr>
              <w:tab/>
            </w:r>
            <w:r w:rsidR="00F75F7F" w:rsidRPr="00E779EC">
              <w:rPr>
                <w:rStyle w:val="Hyperlink"/>
                <w:noProof/>
              </w:rPr>
              <w:t>Scope of the Study</w:t>
            </w:r>
            <w:r w:rsidR="00F75F7F">
              <w:rPr>
                <w:noProof/>
                <w:webHidden/>
              </w:rPr>
              <w:tab/>
            </w:r>
            <w:r>
              <w:rPr>
                <w:noProof/>
                <w:webHidden/>
              </w:rPr>
              <w:fldChar w:fldCharType="begin"/>
            </w:r>
            <w:r w:rsidR="00F75F7F">
              <w:rPr>
                <w:noProof/>
                <w:webHidden/>
              </w:rPr>
              <w:instrText xml:space="preserve"> PAGEREF _Toc73104270 \h </w:instrText>
            </w:r>
            <w:r>
              <w:rPr>
                <w:noProof/>
                <w:webHidden/>
              </w:rPr>
            </w:r>
            <w:r>
              <w:rPr>
                <w:noProof/>
                <w:webHidden/>
              </w:rPr>
              <w:fldChar w:fldCharType="separate"/>
            </w:r>
            <w:r w:rsidR="00CA7139">
              <w:rPr>
                <w:noProof/>
                <w:webHidden/>
              </w:rPr>
              <w:t>6</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71" w:history="1">
            <w:r w:rsidR="00F75F7F" w:rsidRPr="00E779EC">
              <w:rPr>
                <w:rStyle w:val="Hyperlink"/>
                <w:noProof/>
              </w:rPr>
              <w:t>1.8.</w:t>
            </w:r>
            <w:r w:rsidR="00F75F7F">
              <w:rPr>
                <w:rFonts w:asciiTheme="minorHAnsi" w:eastAsiaTheme="minorEastAsia" w:hAnsiTheme="minorHAnsi" w:cstheme="minorBidi"/>
                <w:noProof/>
                <w:sz w:val="22"/>
              </w:rPr>
              <w:tab/>
            </w:r>
            <w:r w:rsidR="00F75F7F" w:rsidRPr="00E779EC">
              <w:rPr>
                <w:rStyle w:val="Hyperlink"/>
                <w:noProof/>
              </w:rPr>
              <w:t>Limitations of the Study</w:t>
            </w:r>
            <w:r w:rsidR="00F75F7F">
              <w:rPr>
                <w:noProof/>
                <w:webHidden/>
              </w:rPr>
              <w:tab/>
            </w:r>
            <w:r>
              <w:rPr>
                <w:noProof/>
                <w:webHidden/>
              </w:rPr>
              <w:fldChar w:fldCharType="begin"/>
            </w:r>
            <w:r w:rsidR="00F75F7F">
              <w:rPr>
                <w:noProof/>
                <w:webHidden/>
              </w:rPr>
              <w:instrText xml:space="preserve"> PAGEREF _Toc73104271 \h </w:instrText>
            </w:r>
            <w:r>
              <w:rPr>
                <w:noProof/>
                <w:webHidden/>
              </w:rPr>
            </w:r>
            <w:r>
              <w:rPr>
                <w:noProof/>
                <w:webHidden/>
              </w:rPr>
              <w:fldChar w:fldCharType="separate"/>
            </w:r>
            <w:r w:rsidR="00CA7139">
              <w:rPr>
                <w:noProof/>
                <w:webHidden/>
              </w:rPr>
              <w:t>7</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72" w:history="1">
            <w:r w:rsidR="00F75F7F" w:rsidRPr="00E779EC">
              <w:rPr>
                <w:rStyle w:val="Hyperlink"/>
                <w:noProof/>
              </w:rPr>
              <w:t>1.9.</w:t>
            </w:r>
            <w:r w:rsidR="00F75F7F">
              <w:rPr>
                <w:rFonts w:asciiTheme="minorHAnsi" w:eastAsiaTheme="minorEastAsia" w:hAnsiTheme="minorHAnsi" w:cstheme="minorBidi"/>
                <w:noProof/>
                <w:sz w:val="22"/>
              </w:rPr>
              <w:tab/>
            </w:r>
            <w:r w:rsidR="00F75F7F" w:rsidRPr="00E779EC">
              <w:rPr>
                <w:rStyle w:val="Hyperlink"/>
                <w:noProof/>
              </w:rPr>
              <w:t>Organization of the Study</w:t>
            </w:r>
            <w:r w:rsidR="00F75F7F">
              <w:rPr>
                <w:noProof/>
                <w:webHidden/>
              </w:rPr>
              <w:tab/>
            </w:r>
            <w:r>
              <w:rPr>
                <w:noProof/>
                <w:webHidden/>
              </w:rPr>
              <w:fldChar w:fldCharType="begin"/>
            </w:r>
            <w:r w:rsidR="00F75F7F">
              <w:rPr>
                <w:noProof/>
                <w:webHidden/>
              </w:rPr>
              <w:instrText xml:space="preserve"> PAGEREF _Toc73104272 \h </w:instrText>
            </w:r>
            <w:r>
              <w:rPr>
                <w:noProof/>
                <w:webHidden/>
              </w:rPr>
            </w:r>
            <w:r>
              <w:rPr>
                <w:noProof/>
                <w:webHidden/>
              </w:rPr>
              <w:fldChar w:fldCharType="separate"/>
            </w:r>
            <w:r w:rsidR="00CA7139">
              <w:rPr>
                <w:noProof/>
                <w:webHidden/>
              </w:rPr>
              <w:t>7</w:t>
            </w:r>
            <w:r>
              <w:rPr>
                <w:noProof/>
                <w:webHidden/>
              </w:rPr>
              <w:fldChar w:fldCharType="end"/>
            </w:r>
          </w:hyperlink>
        </w:p>
        <w:p w:rsidR="00F75F7F" w:rsidRDefault="00ED70D5" w:rsidP="00F75F7F">
          <w:pPr>
            <w:pStyle w:val="TOC1"/>
            <w:jc w:val="center"/>
            <w:rPr>
              <w:rFonts w:asciiTheme="minorHAnsi" w:eastAsiaTheme="minorEastAsia" w:hAnsiTheme="minorHAnsi" w:cstheme="minorBidi"/>
              <w:b w:val="0"/>
              <w:sz w:val="22"/>
            </w:rPr>
          </w:pPr>
          <w:hyperlink w:anchor="_Toc73104273" w:history="1">
            <w:r w:rsidR="00F75F7F" w:rsidRPr="00E779EC">
              <w:rPr>
                <w:rStyle w:val="Hyperlink"/>
              </w:rPr>
              <w:t>CHAPTER TWO: - LITERATURE REVIEW</w:t>
            </w:r>
            <w:r w:rsidR="00F75F7F">
              <w:rPr>
                <w:webHidden/>
              </w:rPr>
              <w:tab/>
            </w:r>
            <w:r>
              <w:rPr>
                <w:webHidden/>
              </w:rPr>
              <w:fldChar w:fldCharType="begin"/>
            </w:r>
            <w:r w:rsidR="00F75F7F">
              <w:rPr>
                <w:webHidden/>
              </w:rPr>
              <w:instrText xml:space="preserve"> PAGEREF _Toc73104273 \h </w:instrText>
            </w:r>
            <w:r>
              <w:rPr>
                <w:webHidden/>
              </w:rPr>
            </w:r>
            <w:r>
              <w:rPr>
                <w:webHidden/>
              </w:rPr>
              <w:fldChar w:fldCharType="separate"/>
            </w:r>
            <w:r w:rsidR="00CA7139">
              <w:rPr>
                <w:webHidden/>
              </w:rPr>
              <w:t>8</w:t>
            </w:r>
            <w:r>
              <w:rPr>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74" w:history="1">
            <w:r w:rsidR="00F75F7F" w:rsidRPr="00E779EC">
              <w:rPr>
                <w:rStyle w:val="Hyperlink"/>
                <w:noProof/>
              </w:rPr>
              <w:t>2.1.</w:t>
            </w:r>
            <w:r w:rsidR="00F75F7F">
              <w:rPr>
                <w:rFonts w:asciiTheme="minorHAnsi" w:eastAsiaTheme="minorEastAsia" w:hAnsiTheme="minorHAnsi" w:cstheme="minorBidi"/>
                <w:noProof/>
                <w:sz w:val="22"/>
              </w:rPr>
              <w:tab/>
            </w:r>
            <w:r w:rsidR="00F75F7F" w:rsidRPr="00E779EC">
              <w:rPr>
                <w:rStyle w:val="Hyperlink"/>
                <w:noProof/>
              </w:rPr>
              <w:t>Theoretical Literature</w:t>
            </w:r>
            <w:r w:rsidR="00F75F7F">
              <w:rPr>
                <w:noProof/>
                <w:webHidden/>
              </w:rPr>
              <w:tab/>
            </w:r>
            <w:r>
              <w:rPr>
                <w:noProof/>
                <w:webHidden/>
              </w:rPr>
              <w:fldChar w:fldCharType="begin"/>
            </w:r>
            <w:r w:rsidR="00F75F7F">
              <w:rPr>
                <w:noProof/>
                <w:webHidden/>
              </w:rPr>
              <w:instrText xml:space="preserve"> PAGEREF _Toc73104274 \h </w:instrText>
            </w:r>
            <w:r>
              <w:rPr>
                <w:noProof/>
                <w:webHidden/>
              </w:rPr>
            </w:r>
            <w:r>
              <w:rPr>
                <w:noProof/>
                <w:webHidden/>
              </w:rPr>
              <w:fldChar w:fldCharType="separate"/>
            </w:r>
            <w:r w:rsidR="00CA7139">
              <w:rPr>
                <w:noProof/>
                <w:webHidden/>
              </w:rPr>
              <w:t>8</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275" w:history="1">
            <w:r w:rsidR="00F75F7F" w:rsidRPr="00E779EC">
              <w:rPr>
                <w:rStyle w:val="Hyperlink"/>
                <w:rFonts w:cs="Times New Roman"/>
                <w:noProof/>
              </w:rPr>
              <w:t>2.1.1.</w:t>
            </w:r>
            <w:r w:rsidR="00F75F7F">
              <w:rPr>
                <w:noProof/>
                <w:sz w:val="22"/>
              </w:rPr>
              <w:tab/>
            </w:r>
            <w:r w:rsidR="00F75F7F" w:rsidRPr="00E779EC">
              <w:rPr>
                <w:rStyle w:val="Hyperlink"/>
                <w:rFonts w:cs="Times New Roman"/>
                <w:noProof/>
              </w:rPr>
              <w:t>Overview</w:t>
            </w:r>
            <w:r w:rsidR="00F75F7F">
              <w:rPr>
                <w:noProof/>
                <w:webHidden/>
              </w:rPr>
              <w:tab/>
            </w:r>
            <w:r>
              <w:rPr>
                <w:noProof/>
                <w:webHidden/>
              </w:rPr>
              <w:fldChar w:fldCharType="begin"/>
            </w:r>
            <w:r w:rsidR="00F75F7F">
              <w:rPr>
                <w:noProof/>
                <w:webHidden/>
              </w:rPr>
              <w:instrText xml:space="preserve"> PAGEREF _Toc73104275 \h </w:instrText>
            </w:r>
            <w:r>
              <w:rPr>
                <w:noProof/>
                <w:webHidden/>
              </w:rPr>
            </w:r>
            <w:r>
              <w:rPr>
                <w:noProof/>
                <w:webHidden/>
              </w:rPr>
              <w:fldChar w:fldCharType="separate"/>
            </w:r>
            <w:r w:rsidR="00CA7139">
              <w:rPr>
                <w:noProof/>
                <w:webHidden/>
              </w:rPr>
              <w:t>8</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276" w:history="1">
            <w:r w:rsidR="00F75F7F" w:rsidRPr="00E779EC">
              <w:rPr>
                <w:rStyle w:val="Hyperlink"/>
                <w:rFonts w:cs="Times New Roman"/>
                <w:noProof/>
              </w:rPr>
              <w:t>2.1.2.</w:t>
            </w:r>
            <w:r w:rsidR="00F75F7F">
              <w:rPr>
                <w:noProof/>
                <w:sz w:val="22"/>
              </w:rPr>
              <w:tab/>
            </w:r>
            <w:r w:rsidR="00F75F7F" w:rsidRPr="00E779EC">
              <w:rPr>
                <w:rStyle w:val="Hyperlink"/>
                <w:rFonts w:cs="Times New Roman"/>
                <w:noProof/>
              </w:rPr>
              <w:t>Financial Performance and Financial Performance Analysis</w:t>
            </w:r>
            <w:r w:rsidR="00F75F7F">
              <w:rPr>
                <w:noProof/>
                <w:webHidden/>
              </w:rPr>
              <w:tab/>
            </w:r>
            <w:r>
              <w:rPr>
                <w:noProof/>
                <w:webHidden/>
              </w:rPr>
              <w:fldChar w:fldCharType="begin"/>
            </w:r>
            <w:r w:rsidR="00F75F7F">
              <w:rPr>
                <w:noProof/>
                <w:webHidden/>
              </w:rPr>
              <w:instrText xml:space="preserve"> PAGEREF _Toc73104276 \h </w:instrText>
            </w:r>
            <w:r>
              <w:rPr>
                <w:noProof/>
                <w:webHidden/>
              </w:rPr>
            </w:r>
            <w:r>
              <w:rPr>
                <w:noProof/>
                <w:webHidden/>
              </w:rPr>
              <w:fldChar w:fldCharType="separate"/>
            </w:r>
            <w:r w:rsidR="00CA7139">
              <w:rPr>
                <w:noProof/>
                <w:webHidden/>
              </w:rPr>
              <w:t>9</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277" w:history="1">
            <w:r w:rsidR="00F75F7F" w:rsidRPr="00E779EC">
              <w:rPr>
                <w:rStyle w:val="Hyperlink"/>
                <w:rFonts w:cs="Times New Roman"/>
                <w:noProof/>
              </w:rPr>
              <w:t>2.1.3.</w:t>
            </w:r>
            <w:r w:rsidR="00F75F7F">
              <w:rPr>
                <w:noProof/>
                <w:sz w:val="22"/>
              </w:rPr>
              <w:tab/>
            </w:r>
            <w:r w:rsidR="00F75F7F" w:rsidRPr="00E779EC">
              <w:rPr>
                <w:rStyle w:val="Hyperlink"/>
                <w:rFonts w:cs="Times New Roman"/>
                <w:noProof/>
              </w:rPr>
              <w:t>The Need for Banking Sector Performance Measurement</w:t>
            </w:r>
            <w:r w:rsidR="00F75F7F">
              <w:rPr>
                <w:noProof/>
                <w:webHidden/>
              </w:rPr>
              <w:tab/>
            </w:r>
            <w:r>
              <w:rPr>
                <w:noProof/>
                <w:webHidden/>
              </w:rPr>
              <w:fldChar w:fldCharType="begin"/>
            </w:r>
            <w:r w:rsidR="00F75F7F">
              <w:rPr>
                <w:noProof/>
                <w:webHidden/>
              </w:rPr>
              <w:instrText xml:space="preserve"> PAGEREF _Toc73104277 \h </w:instrText>
            </w:r>
            <w:r>
              <w:rPr>
                <w:noProof/>
                <w:webHidden/>
              </w:rPr>
            </w:r>
            <w:r>
              <w:rPr>
                <w:noProof/>
                <w:webHidden/>
              </w:rPr>
              <w:fldChar w:fldCharType="separate"/>
            </w:r>
            <w:r w:rsidR="00CA7139">
              <w:rPr>
                <w:noProof/>
                <w:webHidden/>
              </w:rPr>
              <w:t>11</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278" w:history="1">
            <w:r w:rsidR="00F75F7F" w:rsidRPr="00E779EC">
              <w:rPr>
                <w:rStyle w:val="Hyperlink"/>
                <w:rFonts w:cs="Times New Roman"/>
                <w:noProof/>
              </w:rPr>
              <w:t>2.1.4.</w:t>
            </w:r>
            <w:r w:rsidR="00F75F7F">
              <w:rPr>
                <w:noProof/>
                <w:sz w:val="22"/>
              </w:rPr>
              <w:tab/>
            </w:r>
            <w:r w:rsidR="00F75F7F" w:rsidRPr="00E779EC">
              <w:rPr>
                <w:rStyle w:val="Hyperlink"/>
                <w:rFonts w:cs="Times New Roman"/>
                <w:noProof/>
              </w:rPr>
              <w:t>Fundamentals of CAMELS Rating Approach</w:t>
            </w:r>
            <w:r w:rsidR="00F75F7F">
              <w:rPr>
                <w:noProof/>
                <w:webHidden/>
              </w:rPr>
              <w:tab/>
            </w:r>
            <w:r>
              <w:rPr>
                <w:noProof/>
                <w:webHidden/>
              </w:rPr>
              <w:fldChar w:fldCharType="begin"/>
            </w:r>
            <w:r w:rsidR="00F75F7F">
              <w:rPr>
                <w:noProof/>
                <w:webHidden/>
              </w:rPr>
              <w:instrText xml:space="preserve"> PAGEREF _Toc73104278 \h </w:instrText>
            </w:r>
            <w:r>
              <w:rPr>
                <w:noProof/>
                <w:webHidden/>
              </w:rPr>
            </w:r>
            <w:r>
              <w:rPr>
                <w:noProof/>
                <w:webHidden/>
              </w:rPr>
              <w:fldChar w:fldCharType="separate"/>
            </w:r>
            <w:r w:rsidR="00CA7139">
              <w:rPr>
                <w:noProof/>
                <w:webHidden/>
              </w:rPr>
              <w:t>11</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279" w:history="1">
            <w:r w:rsidR="00F75F7F" w:rsidRPr="00E779EC">
              <w:rPr>
                <w:rStyle w:val="Hyperlink"/>
                <w:rFonts w:cs="Times New Roman"/>
                <w:noProof/>
              </w:rPr>
              <w:t>2.1.5.</w:t>
            </w:r>
            <w:r w:rsidR="00F75F7F">
              <w:rPr>
                <w:noProof/>
                <w:sz w:val="22"/>
              </w:rPr>
              <w:tab/>
            </w:r>
            <w:r w:rsidR="00F75F7F" w:rsidRPr="00E779EC">
              <w:rPr>
                <w:rStyle w:val="Hyperlink"/>
                <w:rFonts w:cs="Times New Roman"/>
                <w:noProof/>
              </w:rPr>
              <w:t>Components of CAMEL Rating System</w:t>
            </w:r>
            <w:r w:rsidR="00F75F7F">
              <w:rPr>
                <w:noProof/>
                <w:webHidden/>
              </w:rPr>
              <w:tab/>
            </w:r>
            <w:r>
              <w:rPr>
                <w:noProof/>
                <w:webHidden/>
              </w:rPr>
              <w:fldChar w:fldCharType="begin"/>
            </w:r>
            <w:r w:rsidR="00F75F7F">
              <w:rPr>
                <w:noProof/>
                <w:webHidden/>
              </w:rPr>
              <w:instrText xml:space="preserve"> PAGEREF _Toc73104279 \h </w:instrText>
            </w:r>
            <w:r>
              <w:rPr>
                <w:noProof/>
                <w:webHidden/>
              </w:rPr>
            </w:r>
            <w:r>
              <w:rPr>
                <w:noProof/>
                <w:webHidden/>
              </w:rPr>
              <w:fldChar w:fldCharType="separate"/>
            </w:r>
            <w:r w:rsidR="00CA7139">
              <w:rPr>
                <w:noProof/>
                <w:webHidden/>
              </w:rPr>
              <w:t>13</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280" w:history="1">
            <w:r w:rsidR="00F75F7F" w:rsidRPr="00E779EC">
              <w:rPr>
                <w:rStyle w:val="Hyperlink"/>
                <w:rFonts w:cs="Times New Roman"/>
                <w:noProof/>
              </w:rPr>
              <w:t>2.1.6.</w:t>
            </w:r>
            <w:r w:rsidR="00F75F7F">
              <w:rPr>
                <w:noProof/>
                <w:sz w:val="22"/>
              </w:rPr>
              <w:tab/>
            </w:r>
            <w:r w:rsidR="00F75F7F" w:rsidRPr="00E779EC">
              <w:rPr>
                <w:rStyle w:val="Hyperlink"/>
                <w:rFonts w:cs="Times New Roman"/>
                <w:noProof/>
              </w:rPr>
              <w:t>Importance of CAMEL Rating Framework to the Banking Supervision</w:t>
            </w:r>
            <w:r w:rsidR="00F75F7F">
              <w:rPr>
                <w:noProof/>
                <w:webHidden/>
              </w:rPr>
              <w:tab/>
            </w:r>
            <w:r>
              <w:rPr>
                <w:noProof/>
                <w:webHidden/>
              </w:rPr>
              <w:fldChar w:fldCharType="begin"/>
            </w:r>
            <w:r w:rsidR="00F75F7F">
              <w:rPr>
                <w:noProof/>
                <w:webHidden/>
              </w:rPr>
              <w:instrText xml:space="preserve"> PAGEREF _Toc73104280 \h </w:instrText>
            </w:r>
            <w:r>
              <w:rPr>
                <w:noProof/>
                <w:webHidden/>
              </w:rPr>
            </w:r>
            <w:r>
              <w:rPr>
                <w:noProof/>
                <w:webHidden/>
              </w:rPr>
              <w:fldChar w:fldCharType="separate"/>
            </w:r>
            <w:r w:rsidR="00CA7139">
              <w:rPr>
                <w:noProof/>
                <w:webHidden/>
              </w:rPr>
              <w:t>21</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281" w:history="1">
            <w:r w:rsidR="00F75F7F" w:rsidRPr="00E779EC">
              <w:rPr>
                <w:rStyle w:val="Hyperlink"/>
                <w:rFonts w:cs="Times New Roman"/>
                <w:noProof/>
              </w:rPr>
              <w:t>2.1.7.</w:t>
            </w:r>
            <w:r w:rsidR="00F75F7F">
              <w:rPr>
                <w:noProof/>
                <w:sz w:val="22"/>
              </w:rPr>
              <w:tab/>
            </w:r>
            <w:r w:rsidR="00F75F7F" w:rsidRPr="00E779EC">
              <w:rPr>
                <w:rStyle w:val="Hyperlink"/>
                <w:rFonts w:cs="Times New Roman"/>
                <w:noProof/>
              </w:rPr>
              <w:t>CAMEL Rating in Ethiopia</w:t>
            </w:r>
            <w:r w:rsidR="00F75F7F">
              <w:rPr>
                <w:noProof/>
                <w:webHidden/>
              </w:rPr>
              <w:tab/>
            </w:r>
            <w:r>
              <w:rPr>
                <w:noProof/>
                <w:webHidden/>
              </w:rPr>
              <w:fldChar w:fldCharType="begin"/>
            </w:r>
            <w:r w:rsidR="00F75F7F">
              <w:rPr>
                <w:noProof/>
                <w:webHidden/>
              </w:rPr>
              <w:instrText xml:space="preserve"> PAGEREF _Toc73104281 \h </w:instrText>
            </w:r>
            <w:r>
              <w:rPr>
                <w:noProof/>
                <w:webHidden/>
              </w:rPr>
            </w:r>
            <w:r>
              <w:rPr>
                <w:noProof/>
                <w:webHidden/>
              </w:rPr>
              <w:fldChar w:fldCharType="separate"/>
            </w:r>
            <w:r w:rsidR="00CA7139">
              <w:rPr>
                <w:noProof/>
                <w:webHidden/>
              </w:rPr>
              <w:t>22</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82" w:history="1">
            <w:r w:rsidR="00F75F7F" w:rsidRPr="00E779EC">
              <w:rPr>
                <w:rStyle w:val="Hyperlink"/>
                <w:noProof/>
              </w:rPr>
              <w:t>2.2.</w:t>
            </w:r>
            <w:r w:rsidR="00F75F7F">
              <w:rPr>
                <w:rFonts w:asciiTheme="minorHAnsi" w:eastAsiaTheme="minorEastAsia" w:hAnsiTheme="minorHAnsi" w:cstheme="minorBidi"/>
                <w:noProof/>
                <w:sz w:val="22"/>
              </w:rPr>
              <w:tab/>
            </w:r>
            <w:r w:rsidR="00F75F7F" w:rsidRPr="00E779EC">
              <w:rPr>
                <w:rStyle w:val="Hyperlink"/>
                <w:noProof/>
              </w:rPr>
              <w:t>Empirical Literature</w:t>
            </w:r>
            <w:r w:rsidR="00F75F7F">
              <w:rPr>
                <w:noProof/>
                <w:webHidden/>
              </w:rPr>
              <w:tab/>
            </w:r>
            <w:r>
              <w:rPr>
                <w:noProof/>
                <w:webHidden/>
              </w:rPr>
              <w:fldChar w:fldCharType="begin"/>
            </w:r>
            <w:r w:rsidR="00F75F7F">
              <w:rPr>
                <w:noProof/>
                <w:webHidden/>
              </w:rPr>
              <w:instrText xml:space="preserve"> PAGEREF _Toc73104282 \h </w:instrText>
            </w:r>
            <w:r>
              <w:rPr>
                <w:noProof/>
                <w:webHidden/>
              </w:rPr>
            </w:r>
            <w:r>
              <w:rPr>
                <w:noProof/>
                <w:webHidden/>
              </w:rPr>
              <w:fldChar w:fldCharType="separate"/>
            </w:r>
            <w:r w:rsidR="00CA7139">
              <w:rPr>
                <w:noProof/>
                <w:webHidden/>
              </w:rPr>
              <w:t>23</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83" w:history="1">
            <w:r w:rsidR="00F75F7F" w:rsidRPr="00E779EC">
              <w:rPr>
                <w:rStyle w:val="Hyperlink"/>
                <w:noProof/>
              </w:rPr>
              <w:t>2.3.</w:t>
            </w:r>
            <w:r w:rsidR="00F75F7F">
              <w:rPr>
                <w:rFonts w:asciiTheme="minorHAnsi" w:eastAsiaTheme="minorEastAsia" w:hAnsiTheme="minorHAnsi" w:cstheme="minorBidi"/>
                <w:noProof/>
                <w:sz w:val="22"/>
              </w:rPr>
              <w:tab/>
            </w:r>
            <w:r w:rsidR="00F75F7F" w:rsidRPr="00E779EC">
              <w:rPr>
                <w:rStyle w:val="Hyperlink"/>
                <w:noProof/>
              </w:rPr>
              <w:t>Research Gap</w:t>
            </w:r>
            <w:r w:rsidR="00F75F7F">
              <w:rPr>
                <w:noProof/>
                <w:webHidden/>
              </w:rPr>
              <w:tab/>
            </w:r>
            <w:r>
              <w:rPr>
                <w:noProof/>
                <w:webHidden/>
              </w:rPr>
              <w:fldChar w:fldCharType="begin"/>
            </w:r>
            <w:r w:rsidR="00F75F7F">
              <w:rPr>
                <w:noProof/>
                <w:webHidden/>
              </w:rPr>
              <w:instrText xml:space="preserve"> PAGEREF _Toc73104283 \h </w:instrText>
            </w:r>
            <w:r>
              <w:rPr>
                <w:noProof/>
                <w:webHidden/>
              </w:rPr>
            </w:r>
            <w:r>
              <w:rPr>
                <w:noProof/>
                <w:webHidden/>
              </w:rPr>
              <w:fldChar w:fldCharType="separate"/>
            </w:r>
            <w:r w:rsidR="00CA7139">
              <w:rPr>
                <w:noProof/>
                <w:webHidden/>
              </w:rPr>
              <w:t>26</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84" w:history="1">
            <w:r w:rsidR="00F75F7F" w:rsidRPr="00E779EC">
              <w:rPr>
                <w:rStyle w:val="Hyperlink"/>
                <w:noProof/>
              </w:rPr>
              <w:t>2.4.</w:t>
            </w:r>
            <w:r w:rsidR="00F75F7F">
              <w:rPr>
                <w:rFonts w:asciiTheme="minorHAnsi" w:eastAsiaTheme="minorEastAsia" w:hAnsiTheme="minorHAnsi" w:cstheme="minorBidi"/>
                <w:noProof/>
                <w:sz w:val="22"/>
              </w:rPr>
              <w:tab/>
            </w:r>
            <w:r w:rsidR="00F75F7F" w:rsidRPr="00E779EC">
              <w:rPr>
                <w:rStyle w:val="Hyperlink"/>
                <w:noProof/>
              </w:rPr>
              <w:t>Conceptual Framework</w:t>
            </w:r>
            <w:r w:rsidR="00F75F7F">
              <w:rPr>
                <w:noProof/>
                <w:webHidden/>
              </w:rPr>
              <w:tab/>
            </w:r>
            <w:r>
              <w:rPr>
                <w:noProof/>
                <w:webHidden/>
              </w:rPr>
              <w:fldChar w:fldCharType="begin"/>
            </w:r>
            <w:r w:rsidR="00F75F7F">
              <w:rPr>
                <w:noProof/>
                <w:webHidden/>
              </w:rPr>
              <w:instrText xml:space="preserve"> PAGEREF _Toc73104284 \h </w:instrText>
            </w:r>
            <w:r>
              <w:rPr>
                <w:noProof/>
                <w:webHidden/>
              </w:rPr>
            </w:r>
            <w:r>
              <w:rPr>
                <w:noProof/>
                <w:webHidden/>
              </w:rPr>
              <w:fldChar w:fldCharType="separate"/>
            </w:r>
            <w:r w:rsidR="00CA7139">
              <w:rPr>
                <w:noProof/>
                <w:webHidden/>
              </w:rPr>
              <w:t>27</w:t>
            </w:r>
            <w:r>
              <w:rPr>
                <w:noProof/>
                <w:webHidden/>
              </w:rPr>
              <w:fldChar w:fldCharType="end"/>
            </w:r>
          </w:hyperlink>
        </w:p>
        <w:p w:rsidR="00F75F7F" w:rsidRDefault="00ED70D5" w:rsidP="00F75F7F">
          <w:pPr>
            <w:pStyle w:val="TOC1"/>
            <w:jc w:val="center"/>
            <w:rPr>
              <w:rFonts w:asciiTheme="minorHAnsi" w:eastAsiaTheme="minorEastAsia" w:hAnsiTheme="minorHAnsi" w:cstheme="minorBidi"/>
              <w:b w:val="0"/>
              <w:sz w:val="22"/>
            </w:rPr>
          </w:pPr>
          <w:hyperlink w:anchor="_Toc73104285" w:history="1">
            <w:r w:rsidR="00F75F7F" w:rsidRPr="00E779EC">
              <w:rPr>
                <w:rStyle w:val="Hyperlink"/>
              </w:rPr>
              <w:t>CHAPTER THREE: RESEARCH METHODS</w:t>
            </w:r>
            <w:r w:rsidR="00F75F7F">
              <w:rPr>
                <w:webHidden/>
              </w:rPr>
              <w:tab/>
            </w:r>
            <w:r>
              <w:rPr>
                <w:webHidden/>
              </w:rPr>
              <w:fldChar w:fldCharType="begin"/>
            </w:r>
            <w:r w:rsidR="00F75F7F">
              <w:rPr>
                <w:webHidden/>
              </w:rPr>
              <w:instrText xml:space="preserve"> PAGEREF _Toc73104285 \h </w:instrText>
            </w:r>
            <w:r>
              <w:rPr>
                <w:webHidden/>
              </w:rPr>
            </w:r>
            <w:r>
              <w:rPr>
                <w:webHidden/>
              </w:rPr>
              <w:fldChar w:fldCharType="separate"/>
            </w:r>
            <w:r w:rsidR="00CA7139">
              <w:rPr>
                <w:webHidden/>
              </w:rPr>
              <w:t>28</w:t>
            </w:r>
            <w:r>
              <w:rPr>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86" w:history="1">
            <w:r w:rsidR="00F75F7F" w:rsidRPr="00E779EC">
              <w:rPr>
                <w:rStyle w:val="Hyperlink"/>
                <w:noProof/>
              </w:rPr>
              <w:t>3.1.</w:t>
            </w:r>
            <w:r w:rsidR="00F75F7F">
              <w:rPr>
                <w:rFonts w:asciiTheme="minorHAnsi" w:eastAsiaTheme="minorEastAsia" w:hAnsiTheme="minorHAnsi" w:cstheme="minorBidi"/>
                <w:noProof/>
                <w:sz w:val="22"/>
              </w:rPr>
              <w:tab/>
            </w:r>
            <w:r w:rsidR="00F75F7F" w:rsidRPr="00E779EC">
              <w:rPr>
                <w:rStyle w:val="Hyperlink"/>
                <w:noProof/>
              </w:rPr>
              <w:t>Research Approach</w:t>
            </w:r>
            <w:r w:rsidR="00F75F7F">
              <w:rPr>
                <w:noProof/>
                <w:webHidden/>
              </w:rPr>
              <w:tab/>
            </w:r>
            <w:r>
              <w:rPr>
                <w:noProof/>
                <w:webHidden/>
              </w:rPr>
              <w:fldChar w:fldCharType="begin"/>
            </w:r>
            <w:r w:rsidR="00F75F7F">
              <w:rPr>
                <w:noProof/>
                <w:webHidden/>
              </w:rPr>
              <w:instrText xml:space="preserve"> PAGEREF _Toc73104286 \h </w:instrText>
            </w:r>
            <w:r>
              <w:rPr>
                <w:noProof/>
                <w:webHidden/>
              </w:rPr>
            </w:r>
            <w:r>
              <w:rPr>
                <w:noProof/>
                <w:webHidden/>
              </w:rPr>
              <w:fldChar w:fldCharType="separate"/>
            </w:r>
            <w:r w:rsidR="00CA7139">
              <w:rPr>
                <w:noProof/>
                <w:webHidden/>
              </w:rPr>
              <w:t>28</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87" w:history="1">
            <w:r w:rsidR="00F75F7F" w:rsidRPr="00E779EC">
              <w:rPr>
                <w:rStyle w:val="Hyperlink"/>
                <w:noProof/>
              </w:rPr>
              <w:t>3.2.</w:t>
            </w:r>
            <w:r w:rsidR="00F75F7F">
              <w:rPr>
                <w:rFonts w:asciiTheme="minorHAnsi" w:eastAsiaTheme="minorEastAsia" w:hAnsiTheme="minorHAnsi" w:cstheme="minorBidi"/>
                <w:noProof/>
                <w:sz w:val="22"/>
              </w:rPr>
              <w:tab/>
            </w:r>
            <w:r w:rsidR="00F75F7F" w:rsidRPr="00E779EC">
              <w:rPr>
                <w:rStyle w:val="Hyperlink"/>
                <w:noProof/>
              </w:rPr>
              <w:t>Research Design</w:t>
            </w:r>
            <w:r w:rsidR="00F75F7F">
              <w:rPr>
                <w:noProof/>
                <w:webHidden/>
              </w:rPr>
              <w:tab/>
            </w:r>
            <w:r>
              <w:rPr>
                <w:noProof/>
                <w:webHidden/>
              </w:rPr>
              <w:fldChar w:fldCharType="begin"/>
            </w:r>
            <w:r w:rsidR="00F75F7F">
              <w:rPr>
                <w:noProof/>
                <w:webHidden/>
              </w:rPr>
              <w:instrText xml:space="preserve"> PAGEREF _Toc73104287 \h </w:instrText>
            </w:r>
            <w:r>
              <w:rPr>
                <w:noProof/>
                <w:webHidden/>
              </w:rPr>
            </w:r>
            <w:r>
              <w:rPr>
                <w:noProof/>
                <w:webHidden/>
              </w:rPr>
              <w:fldChar w:fldCharType="separate"/>
            </w:r>
            <w:r w:rsidR="00CA7139">
              <w:rPr>
                <w:noProof/>
                <w:webHidden/>
              </w:rPr>
              <w:t>28</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88" w:history="1">
            <w:r w:rsidR="00F75F7F" w:rsidRPr="00E779EC">
              <w:rPr>
                <w:rStyle w:val="Hyperlink"/>
                <w:noProof/>
              </w:rPr>
              <w:t>3.3.</w:t>
            </w:r>
            <w:r w:rsidR="00F75F7F">
              <w:rPr>
                <w:rFonts w:asciiTheme="minorHAnsi" w:eastAsiaTheme="minorEastAsia" w:hAnsiTheme="minorHAnsi" w:cstheme="minorBidi"/>
                <w:noProof/>
                <w:sz w:val="22"/>
              </w:rPr>
              <w:tab/>
            </w:r>
            <w:r w:rsidR="00F75F7F" w:rsidRPr="00E779EC">
              <w:rPr>
                <w:rStyle w:val="Hyperlink"/>
                <w:noProof/>
              </w:rPr>
              <w:t>Data Type and Source</w:t>
            </w:r>
            <w:r w:rsidR="00F75F7F">
              <w:rPr>
                <w:noProof/>
                <w:webHidden/>
              </w:rPr>
              <w:tab/>
            </w:r>
            <w:r>
              <w:rPr>
                <w:noProof/>
                <w:webHidden/>
              </w:rPr>
              <w:fldChar w:fldCharType="begin"/>
            </w:r>
            <w:r w:rsidR="00F75F7F">
              <w:rPr>
                <w:noProof/>
                <w:webHidden/>
              </w:rPr>
              <w:instrText xml:space="preserve"> PAGEREF _Toc73104288 \h </w:instrText>
            </w:r>
            <w:r>
              <w:rPr>
                <w:noProof/>
                <w:webHidden/>
              </w:rPr>
            </w:r>
            <w:r>
              <w:rPr>
                <w:noProof/>
                <w:webHidden/>
              </w:rPr>
              <w:fldChar w:fldCharType="separate"/>
            </w:r>
            <w:r w:rsidR="00CA7139">
              <w:rPr>
                <w:noProof/>
                <w:webHidden/>
              </w:rPr>
              <w:t>28</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89" w:history="1">
            <w:r w:rsidR="00F75F7F" w:rsidRPr="00E779EC">
              <w:rPr>
                <w:rStyle w:val="Hyperlink"/>
                <w:noProof/>
              </w:rPr>
              <w:t>3.4.</w:t>
            </w:r>
            <w:r w:rsidR="00F75F7F">
              <w:rPr>
                <w:rFonts w:asciiTheme="minorHAnsi" w:eastAsiaTheme="minorEastAsia" w:hAnsiTheme="minorHAnsi" w:cstheme="minorBidi"/>
                <w:noProof/>
                <w:sz w:val="22"/>
              </w:rPr>
              <w:tab/>
            </w:r>
            <w:r w:rsidR="00F75F7F" w:rsidRPr="00E779EC">
              <w:rPr>
                <w:rStyle w:val="Hyperlink"/>
                <w:noProof/>
              </w:rPr>
              <w:t>Data Collection Methods and Procedures</w:t>
            </w:r>
            <w:r w:rsidR="00F75F7F">
              <w:rPr>
                <w:noProof/>
                <w:webHidden/>
              </w:rPr>
              <w:tab/>
            </w:r>
            <w:r>
              <w:rPr>
                <w:noProof/>
                <w:webHidden/>
              </w:rPr>
              <w:fldChar w:fldCharType="begin"/>
            </w:r>
            <w:r w:rsidR="00F75F7F">
              <w:rPr>
                <w:noProof/>
                <w:webHidden/>
              </w:rPr>
              <w:instrText xml:space="preserve"> PAGEREF _Toc73104289 \h </w:instrText>
            </w:r>
            <w:r>
              <w:rPr>
                <w:noProof/>
                <w:webHidden/>
              </w:rPr>
            </w:r>
            <w:r>
              <w:rPr>
                <w:noProof/>
                <w:webHidden/>
              </w:rPr>
              <w:fldChar w:fldCharType="separate"/>
            </w:r>
            <w:r w:rsidR="00CA7139">
              <w:rPr>
                <w:noProof/>
                <w:webHidden/>
              </w:rPr>
              <w:t>28</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90" w:history="1">
            <w:r w:rsidR="00F75F7F" w:rsidRPr="00E779EC">
              <w:rPr>
                <w:rStyle w:val="Hyperlink"/>
                <w:noProof/>
              </w:rPr>
              <w:t>3.5.</w:t>
            </w:r>
            <w:r w:rsidR="00F75F7F">
              <w:rPr>
                <w:rFonts w:asciiTheme="minorHAnsi" w:eastAsiaTheme="minorEastAsia" w:hAnsiTheme="minorHAnsi" w:cstheme="minorBidi"/>
                <w:noProof/>
                <w:sz w:val="22"/>
              </w:rPr>
              <w:tab/>
            </w:r>
            <w:r w:rsidR="00F75F7F" w:rsidRPr="00E779EC">
              <w:rPr>
                <w:rStyle w:val="Hyperlink"/>
                <w:noProof/>
              </w:rPr>
              <w:t>Data Processing and Analysis</w:t>
            </w:r>
            <w:r w:rsidR="00F75F7F">
              <w:rPr>
                <w:noProof/>
                <w:webHidden/>
              </w:rPr>
              <w:tab/>
            </w:r>
            <w:r>
              <w:rPr>
                <w:noProof/>
                <w:webHidden/>
              </w:rPr>
              <w:fldChar w:fldCharType="begin"/>
            </w:r>
            <w:r w:rsidR="00F75F7F">
              <w:rPr>
                <w:noProof/>
                <w:webHidden/>
              </w:rPr>
              <w:instrText xml:space="preserve"> PAGEREF _Toc73104290 \h </w:instrText>
            </w:r>
            <w:r>
              <w:rPr>
                <w:noProof/>
                <w:webHidden/>
              </w:rPr>
            </w:r>
            <w:r>
              <w:rPr>
                <w:noProof/>
                <w:webHidden/>
              </w:rPr>
              <w:fldChar w:fldCharType="separate"/>
            </w:r>
            <w:r w:rsidR="00CA7139">
              <w:rPr>
                <w:noProof/>
                <w:webHidden/>
              </w:rPr>
              <w:t>28</w:t>
            </w:r>
            <w:r>
              <w:rPr>
                <w:noProof/>
                <w:webHidden/>
              </w:rPr>
              <w:fldChar w:fldCharType="end"/>
            </w:r>
          </w:hyperlink>
        </w:p>
        <w:p w:rsidR="00F75F7F" w:rsidRDefault="00ED70D5" w:rsidP="00F75F7F">
          <w:pPr>
            <w:pStyle w:val="TOC1"/>
            <w:jc w:val="center"/>
            <w:rPr>
              <w:rFonts w:asciiTheme="minorHAnsi" w:eastAsiaTheme="minorEastAsia" w:hAnsiTheme="minorHAnsi" w:cstheme="minorBidi"/>
              <w:b w:val="0"/>
              <w:sz w:val="22"/>
            </w:rPr>
          </w:pPr>
          <w:hyperlink w:anchor="_Toc73104291" w:history="1">
            <w:r w:rsidR="00F75F7F" w:rsidRPr="00E779EC">
              <w:rPr>
                <w:rStyle w:val="Hyperlink"/>
              </w:rPr>
              <w:t>CHAPTER FOUR: DATA ANALAYSIS AND INTERPRETATION</w:t>
            </w:r>
            <w:r w:rsidR="00F75F7F">
              <w:rPr>
                <w:webHidden/>
              </w:rPr>
              <w:tab/>
            </w:r>
            <w:r>
              <w:rPr>
                <w:webHidden/>
              </w:rPr>
              <w:fldChar w:fldCharType="begin"/>
            </w:r>
            <w:r w:rsidR="00F75F7F">
              <w:rPr>
                <w:webHidden/>
              </w:rPr>
              <w:instrText xml:space="preserve"> PAGEREF _Toc73104291 \h </w:instrText>
            </w:r>
            <w:r>
              <w:rPr>
                <w:webHidden/>
              </w:rPr>
            </w:r>
            <w:r>
              <w:rPr>
                <w:webHidden/>
              </w:rPr>
              <w:fldChar w:fldCharType="separate"/>
            </w:r>
            <w:r w:rsidR="00CA7139">
              <w:rPr>
                <w:webHidden/>
              </w:rPr>
              <w:t>30</w:t>
            </w:r>
            <w:r>
              <w:rPr>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92" w:history="1">
            <w:r w:rsidR="00F75F7F" w:rsidRPr="00E779EC">
              <w:rPr>
                <w:rStyle w:val="Hyperlink"/>
                <w:rFonts w:eastAsia="TimesNewRoman"/>
                <w:noProof/>
              </w:rPr>
              <w:t>4.1.</w:t>
            </w:r>
            <w:r w:rsidR="00F75F7F">
              <w:rPr>
                <w:rFonts w:asciiTheme="minorHAnsi" w:eastAsiaTheme="minorEastAsia" w:hAnsiTheme="minorHAnsi" w:cstheme="minorBidi"/>
                <w:noProof/>
                <w:sz w:val="22"/>
              </w:rPr>
              <w:tab/>
            </w:r>
            <w:r w:rsidR="00F75F7F" w:rsidRPr="00E779EC">
              <w:rPr>
                <w:rStyle w:val="Hyperlink"/>
                <w:rFonts w:eastAsia="TimesNewRoman"/>
                <w:noProof/>
              </w:rPr>
              <w:t>Introduction</w:t>
            </w:r>
            <w:r w:rsidR="00F75F7F">
              <w:rPr>
                <w:noProof/>
                <w:webHidden/>
              </w:rPr>
              <w:tab/>
            </w:r>
            <w:r>
              <w:rPr>
                <w:noProof/>
                <w:webHidden/>
              </w:rPr>
              <w:fldChar w:fldCharType="begin"/>
            </w:r>
            <w:r w:rsidR="00F75F7F">
              <w:rPr>
                <w:noProof/>
                <w:webHidden/>
              </w:rPr>
              <w:instrText xml:space="preserve"> PAGEREF _Toc73104292 \h </w:instrText>
            </w:r>
            <w:r>
              <w:rPr>
                <w:noProof/>
                <w:webHidden/>
              </w:rPr>
            </w:r>
            <w:r>
              <w:rPr>
                <w:noProof/>
                <w:webHidden/>
              </w:rPr>
              <w:fldChar w:fldCharType="separate"/>
            </w:r>
            <w:r w:rsidR="00CA7139">
              <w:rPr>
                <w:noProof/>
                <w:webHidden/>
              </w:rPr>
              <w:t>30</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93" w:history="1">
            <w:r w:rsidR="00F75F7F" w:rsidRPr="00E779EC">
              <w:rPr>
                <w:rStyle w:val="Hyperlink"/>
                <w:rFonts w:eastAsia="TimesNewRoman"/>
                <w:noProof/>
              </w:rPr>
              <w:t>4.2.</w:t>
            </w:r>
            <w:r w:rsidR="00F75F7F">
              <w:rPr>
                <w:rFonts w:asciiTheme="minorHAnsi" w:eastAsiaTheme="minorEastAsia" w:hAnsiTheme="minorHAnsi" w:cstheme="minorBidi"/>
                <w:noProof/>
                <w:sz w:val="22"/>
              </w:rPr>
              <w:tab/>
            </w:r>
            <w:r w:rsidR="00F75F7F" w:rsidRPr="00E779EC">
              <w:rPr>
                <w:rStyle w:val="Hyperlink"/>
                <w:rFonts w:eastAsia="TimesNewRoman"/>
                <w:noProof/>
              </w:rPr>
              <w:t>Capital Adequacy Performance Analysis</w:t>
            </w:r>
            <w:r w:rsidR="00F75F7F">
              <w:rPr>
                <w:noProof/>
                <w:webHidden/>
              </w:rPr>
              <w:tab/>
            </w:r>
            <w:r>
              <w:rPr>
                <w:noProof/>
                <w:webHidden/>
              </w:rPr>
              <w:fldChar w:fldCharType="begin"/>
            </w:r>
            <w:r w:rsidR="00F75F7F">
              <w:rPr>
                <w:noProof/>
                <w:webHidden/>
              </w:rPr>
              <w:instrText xml:space="preserve"> PAGEREF _Toc73104293 \h </w:instrText>
            </w:r>
            <w:r>
              <w:rPr>
                <w:noProof/>
                <w:webHidden/>
              </w:rPr>
            </w:r>
            <w:r>
              <w:rPr>
                <w:noProof/>
                <w:webHidden/>
              </w:rPr>
              <w:fldChar w:fldCharType="separate"/>
            </w:r>
            <w:r w:rsidR="00CA7139">
              <w:rPr>
                <w:noProof/>
                <w:webHidden/>
              </w:rPr>
              <w:t>30</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94" w:history="1">
            <w:r w:rsidR="00F75F7F" w:rsidRPr="00E779EC">
              <w:rPr>
                <w:rStyle w:val="Hyperlink"/>
                <w:rFonts w:eastAsia="TimesNewRoman"/>
                <w:noProof/>
              </w:rPr>
              <w:t>4.3.</w:t>
            </w:r>
            <w:r w:rsidR="00F75F7F">
              <w:rPr>
                <w:rFonts w:asciiTheme="minorHAnsi" w:eastAsiaTheme="minorEastAsia" w:hAnsiTheme="minorHAnsi" w:cstheme="minorBidi"/>
                <w:noProof/>
                <w:sz w:val="22"/>
              </w:rPr>
              <w:tab/>
            </w:r>
            <w:r w:rsidR="00F75F7F" w:rsidRPr="00E779EC">
              <w:rPr>
                <w:rStyle w:val="Hyperlink"/>
                <w:rFonts w:eastAsia="TimesNewRoman"/>
                <w:noProof/>
              </w:rPr>
              <w:t>Asset Quality Performance Analysis</w:t>
            </w:r>
            <w:r w:rsidR="00F75F7F">
              <w:rPr>
                <w:noProof/>
                <w:webHidden/>
              </w:rPr>
              <w:tab/>
            </w:r>
            <w:r>
              <w:rPr>
                <w:noProof/>
                <w:webHidden/>
              </w:rPr>
              <w:fldChar w:fldCharType="begin"/>
            </w:r>
            <w:r w:rsidR="00F75F7F">
              <w:rPr>
                <w:noProof/>
                <w:webHidden/>
              </w:rPr>
              <w:instrText xml:space="preserve"> PAGEREF _Toc73104294 \h </w:instrText>
            </w:r>
            <w:r>
              <w:rPr>
                <w:noProof/>
                <w:webHidden/>
              </w:rPr>
            </w:r>
            <w:r>
              <w:rPr>
                <w:noProof/>
                <w:webHidden/>
              </w:rPr>
              <w:fldChar w:fldCharType="separate"/>
            </w:r>
            <w:r w:rsidR="00CA7139">
              <w:rPr>
                <w:noProof/>
                <w:webHidden/>
              </w:rPr>
              <w:t>31</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295" w:history="1">
            <w:r w:rsidR="00F75F7F" w:rsidRPr="00E779EC">
              <w:rPr>
                <w:rStyle w:val="Hyperlink"/>
                <w:rFonts w:eastAsiaTheme="minorHAnsi"/>
                <w:noProof/>
              </w:rPr>
              <w:t>4.3.1.</w:t>
            </w:r>
            <w:r w:rsidR="00F75F7F">
              <w:rPr>
                <w:noProof/>
                <w:sz w:val="22"/>
              </w:rPr>
              <w:tab/>
            </w:r>
            <w:r w:rsidR="00F75F7F" w:rsidRPr="00E779EC">
              <w:rPr>
                <w:rStyle w:val="Hyperlink"/>
                <w:rFonts w:eastAsiaTheme="minorHAnsi"/>
                <w:noProof/>
              </w:rPr>
              <w:t>Non Performing Loans to Total Loans Ratio</w:t>
            </w:r>
            <w:r w:rsidR="00F75F7F">
              <w:rPr>
                <w:noProof/>
                <w:webHidden/>
              </w:rPr>
              <w:tab/>
            </w:r>
            <w:r>
              <w:rPr>
                <w:noProof/>
                <w:webHidden/>
              </w:rPr>
              <w:fldChar w:fldCharType="begin"/>
            </w:r>
            <w:r w:rsidR="00F75F7F">
              <w:rPr>
                <w:noProof/>
                <w:webHidden/>
              </w:rPr>
              <w:instrText xml:space="preserve"> PAGEREF _Toc73104295 \h </w:instrText>
            </w:r>
            <w:r>
              <w:rPr>
                <w:noProof/>
                <w:webHidden/>
              </w:rPr>
            </w:r>
            <w:r>
              <w:rPr>
                <w:noProof/>
                <w:webHidden/>
              </w:rPr>
              <w:fldChar w:fldCharType="separate"/>
            </w:r>
            <w:r w:rsidR="00CA7139">
              <w:rPr>
                <w:noProof/>
                <w:webHidden/>
              </w:rPr>
              <w:t>33</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296" w:history="1">
            <w:r w:rsidR="00F75F7F" w:rsidRPr="00E779EC">
              <w:rPr>
                <w:rStyle w:val="Hyperlink"/>
                <w:rFonts w:eastAsiaTheme="minorHAnsi"/>
                <w:noProof/>
              </w:rPr>
              <w:t>4.3.2.</w:t>
            </w:r>
            <w:r w:rsidR="00F75F7F">
              <w:rPr>
                <w:noProof/>
                <w:sz w:val="22"/>
              </w:rPr>
              <w:tab/>
            </w:r>
            <w:r w:rsidR="00F75F7F" w:rsidRPr="00E779EC">
              <w:rPr>
                <w:rStyle w:val="Hyperlink"/>
                <w:rFonts w:eastAsiaTheme="minorHAnsi"/>
                <w:noProof/>
              </w:rPr>
              <w:t>Loan Loss Provision to Total Loan Ratio</w:t>
            </w:r>
            <w:r w:rsidR="00F75F7F">
              <w:rPr>
                <w:noProof/>
                <w:webHidden/>
              </w:rPr>
              <w:tab/>
            </w:r>
            <w:r>
              <w:rPr>
                <w:noProof/>
                <w:webHidden/>
              </w:rPr>
              <w:fldChar w:fldCharType="begin"/>
            </w:r>
            <w:r w:rsidR="00F75F7F">
              <w:rPr>
                <w:noProof/>
                <w:webHidden/>
              </w:rPr>
              <w:instrText xml:space="preserve"> PAGEREF _Toc73104296 \h </w:instrText>
            </w:r>
            <w:r>
              <w:rPr>
                <w:noProof/>
                <w:webHidden/>
              </w:rPr>
            </w:r>
            <w:r>
              <w:rPr>
                <w:noProof/>
                <w:webHidden/>
              </w:rPr>
              <w:fldChar w:fldCharType="separate"/>
            </w:r>
            <w:r w:rsidR="00CA7139">
              <w:rPr>
                <w:noProof/>
                <w:webHidden/>
              </w:rPr>
              <w:t>33</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297" w:history="1">
            <w:r w:rsidR="00F75F7F" w:rsidRPr="00E779EC">
              <w:rPr>
                <w:rStyle w:val="Hyperlink"/>
                <w:rFonts w:eastAsia="TimesNewRoman"/>
                <w:noProof/>
              </w:rPr>
              <w:t>4.4.</w:t>
            </w:r>
            <w:r w:rsidR="00F75F7F">
              <w:rPr>
                <w:rFonts w:asciiTheme="minorHAnsi" w:eastAsiaTheme="minorEastAsia" w:hAnsiTheme="minorHAnsi" w:cstheme="minorBidi"/>
                <w:noProof/>
                <w:sz w:val="22"/>
              </w:rPr>
              <w:tab/>
            </w:r>
            <w:r w:rsidR="00F75F7F" w:rsidRPr="00E779EC">
              <w:rPr>
                <w:rStyle w:val="Hyperlink"/>
                <w:rFonts w:eastAsia="TimesNewRoman"/>
                <w:noProof/>
              </w:rPr>
              <w:t>Management Quality Performance Analysis</w:t>
            </w:r>
            <w:r w:rsidR="00F75F7F">
              <w:rPr>
                <w:noProof/>
                <w:webHidden/>
              </w:rPr>
              <w:tab/>
            </w:r>
            <w:r>
              <w:rPr>
                <w:noProof/>
                <w:webHidden/>
              </w:rPr>
              <w:fldChar w:fldCharType="begin"/>
            </w:r>
            <w:r w:rsidR="00F75F7F">
              <w:rPr>
                <w:noProof/>
                <w:webHidden/>
              </w:rPr>
              <w:instrText xml:space="preserve"> PAGEREF _Toc73104297 \h </w:instrText>
            </w:r>
            <w:r>
              <w:rPr>
                <w:noProof/>
                <w:webHidden/>
              </w:rPr>
            </w:r>
            <w:r>
              <w:rPr>
                <w:noProof/>
                <w:webHidden/>
              </w:rPr>
              <w:fldChar w:fldCharType="separate"/>
            </w:r>
            <w:r w:rsidR="00CA7139">
              <w:rPr>
                <w:noProof/>
                <w:webHidden/>
              </w:rPr>
              <w:t>34</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298" w:history="1">
            <w:r w:rsidR="00F75F7F" w:rsidRPr="00E779EC">
              <w:rPr>
                <w:rStyle w:val="Hyperlink"/>
                <w:rFonts w:eastAsiaTheme="minorHAnsi"/>
                <w:noProof/>
              </w:rPr>
              <w:t>4.4.1.</w:t>
            </w:r>
            <w:r w:rsidR="00F75F7F">
              <w:rPr>
                <w:noProof/>
                <w:sz w:val="22"/>
              </w:rPr>
              <w:tab/>
            </w:r>
            <w:r w:rsidR="00F75F7F" w:rsidRPr="00E779EC">
              <w:rPr>
                <w:rStyle w:val="Hyperlink"/>
                <w:rFonts w:eastAsiaTheme="minorHAnsi"/>
                <w:noProof/>
              </w:rPr>
              <w:t>Total Asset Growth Rate</w:t>
            </w:r>
            <w:r w:rsidR="00F75F7F">
              <w:rPr>
                <w:noProof/>
                <w:webHidden/>
              </w:rPr>
              <w:tab/>
            </w:r>
            <w:r>
              <w:rPr>
                <w:noProof/>
                <w:webHidden/>
              </w:rPr>
              <w:fldChar w:fldCharType="begin"/>
            </w:r>
            <w:r w:rsidR="00F75F7F">
              <w:rPr>
                <w:noProof/>
                <w:webHidden/>
              </w:rPr>
              <w:instrText xml:space="preserve"> PAGEREF _Toc73104298 \h </w:instrText>
            </w:r>
            <w:r>
              <w:rPr>
                <w:noProof/>
                <w:webHidden/>
              </w:rPr>
            </w:r>
            <w:r>
              <w:rPr>
                <w:noProof/>
                <w:webHidden/>
              </w:rPr>
              <w:fldChar w:fldCharType="separate"/>
            </w:r>
            <w:r w:rsidR="00CA7139">
              <w:rPr>
                <w:noProof/>
                <w:webHidden/>
              </w:rPr>
              <w:t>36</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299" w:history="1">
            <w:r w:rsidR="00F75F7F" w:rsidRPr="00E779EC">
              <w:rPr>
                <w:rStyle w:val="Hyperlink"/>
                <w:rFonts w:eastAsiaTheme="minorHAnsi"/>
                <w:noProof/>
              </w:rPr>
              <w:t>4.4.2.</w:t>
            </w:r>
            <w:r w:rsidR="00F75F7F">
              <w:rPr>
                <w:noProof/>
                <w:sz w:val="22"/>
              </w:rPr>
              <w:tab/>
            </w:r>
            <w:r w:rsidR="00F75F7F" w:rsidRPr="00E779EC">
              <w:rPr>
                <w:rStyle w:val="Hyperlink"/>
                <w:rFonts w:eastAsiaTheme="minorHAnsi"/>
                <w:noProof/>
              </w:rPr>
              <w:t>Loan Growth Rate</w:t>
            </w:r>
            <w:r w:rsidR="00F75F7F">
              <w:rPr>
                <w:noProof/>
                <w:webHidden/>
              </w:rPr>
              <w:tab/>
            </w:r>
            <w:r>
              <w:rPr>
                <w:noProof/>
                <w:webHidden/>
              </w:rPr>
              <w:fldChar w:fldCharType="begin"/>
            </w:r>
            <w:r w:rsidR="00F75F7F">
              <w:rPr>
                <w:noProof/>
                <w:webHidden/>
              </w:rPr>
              <w:instrText xml:space="preserve"> PAGEREF _Toc73104299 \h </w:instrText>
            </w:r>
            <w:r>
              <w:rPr>
                <w:noProof/>
                <w:webHidden/>
              </w:rPr>
            </w:r>
            <w:r>
              <w:rPr>
                <w:noProof/>
                <w:webHidden/>
              </w:rPr>
              <w:fldChar w:fldCharType="separate"/>
            </w:r>
            <w:r w:rsidR="00CA7139">
              <w:rPr>
                <w:noProof/>
                <w:webHidden/>
              </w:rPr>
              <w:t>36</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300" w:history="1">
            <w:r w:rsidR="00F75F7F" w:rsidRPr="00E779EC">
              <w:rPr>
                <w:rStyle w:val="Hyperlink"/>
                <w:rFonts w:eastAsiaTheme="minorHAnsi"/>
                <w:noProof/>
              </w:rPr>
              <w:t>4.4.3.</w:t>
            </w:r>
            <w:r w:rsidR="00F75F7F">
              <w:rPr>
                <w:noProof/>
                <w:sz w:val="22"/>
              </w:rPr>
              <w:tab/>
            </w:r>
            <w:r w:rsidR="00F75F7F" w:rsidRPr="00E779EC">
              <w:rPr>
                <w:rStyle w:val="Hyperlink"/>
                <w:rFonts w:eastAsiaTheme="minorHAnsi"/>
                <w:noProof/>
              </w:rPr>
              <w:t>Earnings Growth Rate</w:t>
            </w:r>
            <w:r w:rsidR="00F75F7F">
              <w:rPr>
                <w:noProof/>
                <w:webHidden/>
              </w:rPr>
              <w:tab/>
            </w:r>
            <w:r>
              <w:rPr>
                <w:noProof/>
                <w:webHidden/>
              </w:rPr>
              <w:fldChar w:fldCharType="begin"/>
            </w:r>
            <w:r w:rsidR="00F75F7F">
              <w:rPr>
                <w:noProof/>
                <w:webHidden/>
              </w:rPr>
              <w:instrText xml:space="preserve"> PAGEREF _Toc73104300 \h </w:instrText>
            </w:r>
            <w:r>
              <w:rPr>
                <w:noProof/>
                <w:webHidden/>
              </w:rPr>
            </w:r>
            <w:r>
              <w:rPr>
                <w:noProof/>
                <w:webHidden/>
              </w:rPr>
              <w:fldChar w:fldCharType="separate"/>
            </w:r>
            <w:r w:rsidR="00CA7139">
              <w:rPr>
                <w:noProof/>
                <w:webHidden/>
              </w:rPr>
              <w:t>36</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301" w:history="1">
            <w:r w:rsidR="00F75F7F" w:rsidRPr="00E779EC">
              <w:rPr>
                <w:rStyle w:val="Hyperlink"/>
                <w:rFonts w:eastAsia="TimesNewRoman"/>
                <w:noProof/>
              </w:rPr>
              <w:t>4.5.</w:t>
            </w:r>
            <w:r w:rsidR="00F75F7F">
              <w:rPr>
                <w:rFonts w:asciiTheme="minorHAnsi" w:eastAsiaTheme="minorEastAsia" w:hAnsiTheme="minorHAnsi" w:cstheme="minorBidi"/>
                <w:noProof/>
                <w:sz w:val="22"/>
              </w:rPr>
              <w:tab/>
            </w:r>
            <w:r w:rsidR="00F75F7F" w:rsidRPr="00E779EC">
              <w:rPr>
                <w:rStyle w:val="Hyperlink"/>
                <w:rFonts w:eastAsia="TimesNewRoman"/>
                <w:noProof/>
              </w:rPr>
              <w:t>Earnings Ability Analysis</w:t>
            </w:r>
            <w:r w:rsidR="00F75F7F">
              <w:rPr>
                <w:noProof/>
                <w:webHidden/>
              </w:rPr>
              <w:tab/>
            </w:r>
            <w:r>
              <w:rPr>
                <w:noProof/>
                <w:webHidden/>
              </w:rPr>
              <w:fldChar w:fldCharType="begin"/>
            </w:r>
            <w:r w:rsidR="00F75F7F">
              <w:rPr>
                <w:noProof/>
                <w:webHidden/>
              </w:rPr>
              <w:instrText xml:space="preserve"> PAGEREF _Toc73104301 \h </w:instrText>
            </w:r>
            <w:r>
              <w:rPr>
                <w:noProof/>
                <w:webHidden/>
              </w:rPr>
            </w:r>
            <w:r>
              <w:rPr>
                <w:noProof/>
                <w:webHidden/>
              </w:rPr>
              <w:fldChar w:fldCharType="separate"/>
            </w:r>
            <w:r w:rsidR="00CA7139">
              <w:rPr>
                <w:noProof/>
                <w:webHidden/>
              </w:rPr>
              <w:t>37</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302" w:history="1">
            <w:r w:rsidR="00F75F7F" w:rsidRPr="00E779EC">
              <w:rPr>
                <w:rStyle w:val="Hyperlink"/>
                <w:rFonts w:eastAsiaTheme="minorHAnsi"/>
                <w:noProof/>
              </w:rPr>
              <w:t>4.5.1.</w:t>
            </w:r>
            <w:r w:rsidR="00F75F7F">
              <w:rPr>
                <w:noProof/>
                <w:sz w:val="22"/>
              </w:rPr>
              <w:tab/>
            </w:r>
            <w:r w:rsidR="00F75F7F" w:rsidRPr="00E779EC">
              <w:rPr>
                <w:rStyle w:val="Hyperlink"/>
                <w:rFonts w:eastAsiaTheme="minorHAnsi"/>
                <w:noProof/>
              </w:rPr>
              <w:t>Return on Asset</w:t>
            </w:r>
            <w:r w:rsidR="00F75F7F">
              <w:rPr>
                <w:noProof/>
                <w:webHidden/>
              </w:rPr>
              <w:tab/>
            </w:r>
            <w:r>
              <w:rPr>
                <w:noProof/>
                <w:webHidden/>
              </w:rPr>
              <w:fldChar w:fldCharType="begin"/>
            </w:r>
            <w:r w:rsidR="00F75F7F">
              <w:rPr>
                <w:noProof/>
                <w:webHidden/>
              </w:rPr>
              <w:instrText xml:space="preserve"> PAGEREF _Toc73104302 \h </w:instrText>
            </w:r>
            <w:r>
              <w:rPr>
                <w:noProof/>
                <w:webHidden/>
              </w:rPr>
            </w:r>
            <w:r>
              <w:rPr>
                <w:noProof/>
                <w:webHidden/>
              </w:rPr>
              <w:fldChar w:fldCharType="separate"/>
            </w:r>
            <w:r w:rsidR="00CA7139">
              <w:rPr>
                <w:noProof/>
                <w:webHidden/>
              </w:rPr>
              <w:t>38</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303" w:history="1">
            <w:r w:rsidR="00F75F7F" w:rsidRPr="00E779EC">
              <w:rPr>
                <w:rStyle w:val="Hyperlink"/>
                <w:rFonts w:eastAsiaTheme="minorHAnsi"/>
                <w:noProof/>
              </w:rPr>
              <w:t>4.5.2.</w:t>
            </w:r>
            <w:r w:rsidR="00F75F7F">
              <w:rPr>
                <w:noProof/>
                <w:sz w:val="22"/>
              </w:rPr>
              <w:tab/>
            </w:r>
            <w:r w:rsidR="00F75F7F" w:rsidRPr="00E779EC">
              <w:rPr>
                <w:rStyle w:val="Hyperlink"/>
                <w:rFonts w:eastAsiaTheme="minorHAnsi"/>
                <w:noProof/>
              </w:rPr>
              <w:t>Return on Equity</w:t>
            </w:r>
            <w:r w:rsidR="00F75F7F">
              <w:rPr>
                <w:noProof/>
                <w:webHidden/>
              </w:rPr>
              <w:tab/>
            </w:r>
            <w:r>
              <w:rPr>
                <w:noProof/>
                <w:webHidden/>
              </w:rPr>
              <w:fldChar w:fldCharType="begin"/>
            </w:r>
            <w:r w:rsidR="00F75F7F">
              <w:rPr>
                <w:noProof/>
                <w:webHidden/>
              </w:rPr>
              <w:instrText xml:space="preserve"> PAGEREF _Toc73104303 \h </w:instrText>
            </w:r>
            <w:r>
              <w:rPr>
                <w:noProof/>
                <w:webHidden/>
              </w:rPr>
            </w:r>
            <w:r>
              <w:rPr>
                <w:noProof/>
                <w:webHidden/>
              </w:rPr>
              <w:fldChar w:fldCharType="separate"/>
            </w:r>
            <w:r w:rsidR="00CA7139">
              <w:rPr>
                <w:noProof/>
                <w:webHidden/>
              </w:rPr>
              <w:t>38</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304" w:history="1">
            <w:r w:rsidR="00F75F7F" w:rsidRPr="00E779EC">
              <w:rPr>
                <w:rStyle w:val="Hyperlink"/>
                <w:rFonts w:eastAsia="TimesNewRoman"/>
                <w:noProof/>
              </w:rPr>
              <w:t>4.6.</w:t>
            </w:r>
            <w:r w:rsidR="00F75F7F">
              <w:rPr>
                <w:rFonts w:asciiTheme="minorHAnsi" w:eastAsiaTheme="minorEastAsia" w:hAnsiTheme="minorHAnsi" w:cstheme="minorBidi"/>
                <w:noProof/>
                <w:sz w:val="22"/>
              </w:rPr>
              <w:tab/>
            </w:r>
            <w:r w:rsidR="00F75F7F" w:rsidRPr="00E779EC">
              <w:rPr>
                <w:rStyle w:val="Hyperlink"/>
                <w:rFonts w:eastAsia="TimesNewRoman"/>
                <w:noProof/>
              </w:rPr>
              <w:t>Liquidity Performance Analysis</w:t>
            </w:r>
            <w:r w:rsidR="00F75F7F">
              <w:rPr>
                <w:noProof/>
                <w:webHidden/>
              </w:rPr>
              <w:tab/>
            </w:r>
            <w:r>
              <w:rPr>
                <w:noProof/>
                <w:webHidden/>
              </w:rPr>
              <w:fldChar w:fldCharType="begin"/>
            </w:r>
            <w:r w:rsidR="00F75F7F">
              <w:rPr>
                <w:noProof/>
                <w:webHidden/>
              </w:rPr>
              <w:instrText xml:space="preserve"> PAGEREF _Toc73104304 \h </w:instrText>
            </w:r>
            <w:r>
              <w:rPr>
                <w:noProof/>
                <w:webHidden/>
              </w:rPr>
            </w:r>
            <w:r>
              <w:rPr>
                <w:noProof/>
                <w:webHidden/>
              </w:rPr>
              <w:fldChar w:fldCharType="separate"/>
            </w:r>
            <w:r w:rsidR="00CA7139">
              <w:rPr>
                <w:noProof/>
                <w:webHidden/>
              </w:rPr>
              <w:t>39</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305" w:history="1">
            <w:r w:rsidR="00F75F7F" w:rsidRPr="00E779EC">
              <w:rPr>
                <w:rStyle w:val="Hyperlink"/>
                <w:rFonts w:eastAsiaTheme="minorHAnsi"/>
                <w:noProof/>
              </w:rPr>
              <w:t>4.6.1.</w:t>
            </w:r>
            <w:r w:rsidR="00F75F7F">
              <w:rPr>
                <w:noProof/>
                <w:sz w:val="22"/>
              </w:rPr>
              <w:tab/>
            </w:r>
            <w:r w:rsidR="00F75F7F" w:rsidRPr="00E779EC">
              <w:rPr>
                <w:rStyle w:val="Hyperlink"/>
                <w:rFonts w:eastAsiaTheme="minorHAnsi"/>
                <w:noProof/>
              </w:rPr>
              <w:t>Loan to Deposit Ratio</w:t>
            </w:r>
            <w:r w:rsidR="00F75F7F">
              <w:rPr>
                <w:noProof/>
                <w:webHidden/>
              </w:rPr>
              <w:tab/>
            </w:r>
            <w:r>
              <w:rPr>
                <w:noProof/>
                <w:webHidden/>
              </w:rPr>
              <w:fldChar w:fldCharType="begin"/>
            </w:r>
            <w:r w:rsidR="00F75F7F">
              <w:rPr>
                <w:noProof/>
                <w:webHidden/>
              </w:rPr>
              <w:instrText xml:space="preserve"> PAGEREF _Toc73104305 \h </w:instrText>
            </w:r>
            <w:r>
              <w:rPr>
                <w:noProof/>
                <w:webHidden/>
              </w:rPr>
            </w:r>
            <w:r>
              <w:rPr>
                <w:noProof/>
                <w:webHidden/>
              </w:rPr>
              <w:fldChar w:fldCharType="separate"/>
            </w:r>
            <w:r w:rsidR="00CA7139">
              <w:rPr>
                <w:noProof/>
                <w:webHidden/>
              </w:rPr>
              <w:t>40</w:t>
            </w:r>
            <w:r>
              <w:rPr>
                <w:noProof/>
                <w:webHidden/>
              </w:rPr>
              <w:fldChar w:fldCharType="end"/>
            </w:r>
          </w:hyperlink>
        </w:p>
        <w:p w:rsidR="00F75F7F" w:rsidRDefault="00ED70D5" w:rsidP="00F75F7F">
          <w:pPr>
            <w:pStyle w:val="TOC3"/>
            <w:tabs>
              <w:tab w:val="left" w:pos="1320"/>
              <w:tab w:val="right" w:leader="dot" w:pos="8657"/>
            </w:tabs>
            <w:jc w:val="center"/>
            <w:rPr>
              <w:noProof/>
              <w:sz w:val="22"/>
            </w:rPr>
          </w:pPr>
          <w:hyperlink w:anchor="_Toc73104306" w:history="1">
            <w:r w:rsidR="00F75F7F" w:rsidRPr="00E779EC">
              <w:rPr>
                <w:rStyle w:val="Hyperlink"/>
                <w:rFonts w:eastAsiaTheme="minorHAnsi"/>
                <w:noProof/>
              </w:rPr>
              <w:t>4.6.2.</w:t>
            </w:r>
            <w:r w:rsidR="00F75F7F">
              <w:rPr>
                <w:noProof/>
                <w:sz w:val="22"/>
              </w:rPr>
              <w:tab/>
            </w:r>
            <w:r w:rsidR="00F75F7F" w:rsidRPr="00E779EC">
              <w:rPr>
                <w:rStyle w:val="Hyperlink"/>
                <w:rFonts w:eastAsiaTheme="minorHAnsi"/>
                <w:noProof/>
              </w:rPr>
              <w:t>Deposits to Total Assets Ratio</w:t>
            </w:r>
            <w:r w:rsidR="00F75F7F">
              <w:rPr>
                <w:noProof/>
                <w:webHidden/>
              </w:rPr>
              <w:tab/>
            </w:r>
            <w:r>
              <w:rPr>
                <w:noProof/>
                <w:webHidden/>
              </w:rPr>
              <w:fldChar w:fldCharType="begin"/>
            </w:r>
            <w:r w:rsidR="00F75F7F">
              <w:rPr>
                <w:noProof/>
                <w:webHidden/>
              </w:rPr>
              <w:instrText xml:space="preserve"> PAGEREF _Toc73104306 \h </w:instrText>
            </w:r>
            <w:r>
              <w:rPr>
                <w:noProof/>
                <w:webHidden/>
              </w:rPr>
            </w:r>
            <w:r>
              <w:rPr>
                <w:noProof/>
                <w:webHidden/>
              </w:rPr>
              <w:fldChar w:fldCharType="separate"/>
            </w:r>
            <w:r w:rsidR="00CA7139">
              <w:rPr>
                <w:noProof/>
                <w:webHidden/>
              </w:rPr>
              <w:t>40</w:t>
            </w:r>
            <w:r>
              <w:rPr>
                <w:noProof/>
                <w:webHidden/>
              </w:rPr>
              <w:fldChar w:fldCharType="end"/>
            </w:r>
          </w:hyperlink>
        </w:p>
        <w:p w:rsidR="00F75F7F" w:rsidRDefault="00ED70D5" w:rsidP="00F75F7F">
          <w:pPr>
            <w:pStyle w:val="TOC1"/>
            <w:jc w:val="center"/>
            <w:rPr>
              <w:rFonts w:asciiTheme="minorHAnsi" w:eastAsiaTheme="minorEastAsia" w:hAnsiTheme="minorHAnsi" w:cstheme="minorBidi"/>
              <w:b w:val="0"/>
              <w:sz w:val="22"/>
            </w:rPr>
          </w:pPr>
          <w:hyperlink w:anchor="_Toc73104307" w:history="1">
            <w:r w:rsidR="00F75F7F" w:rsidRPr="00E779EC">
              <w:rPr>
                <w:rStyle w:val="Hyperlink"/>
              </w:rPr>
              <w:t>CHAPTER FIVE: SUMMARY CONCLUSIONS AND RECOMMENDATIONS</w:t>
            </w:r>
            <w:r w:rsidR="00F75F7F">
              <w:rPr>
                <w:webHidden/>
              </w:rPr>
              <w:tab/>
            </w:r>
            <w:r>
              <w:rPr>
                <w:webHidden/>
              </w:rPr>
              <w:fldChar w:fldCharType="begin"/>
            </w:r>
            <w:r w:rsidR="00F75F7F">
              <w:rPr>
                <w:webHidden/>
              </w:rPr>
              <w:instrText xml:space="preserve"> PAGEREF _Toc73104307 \h </w:instrText>
            </w:r>
            <w:r>
              <w:rPr>
                <w:webHidden/>
              </w:rPr>
            </w:r>
            <w:r>
              <w:rPr>
                <w:webHidden/>
              </w:rPr>
              <w:fldChar w:fldCharType="separate"/>
            </w:r>
            <w:r w:rsidR="00CA7139">
              <w:rPr>
                <w:webHidden/>
              </w:rPr>
              <w:t>42</w:t>
            </w:r>
            <w:r>
              <w:rPr>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308" w:history="1">
            <w:r w:rsidR="00F75F7F" w:rsidRPr="00E779EC">
              <w:rPr>
                <w:rStyle w:val="Hyperlink"/>
                <w:rFonts w:eastAsia="TimesNewRoman"/>
                <w:noProof/>
              </w:rPr>
              <w:t>5.1.</w:t>
            </w:r>
            <w:r w:rsidR="00F75F7F">
              <w:rPr>
                <w:rFonts w:asciiTheme="minorHAnsi" w:eastAsiaTheme="minorEastAsia" w:hAnsiTheme="minorHAnsi" w:cstheme="minorBidi"/>
                <w:noProof/>
                <w:sz w:val="22"/>
              </w:rPr>
              <w:tab/>
            </w:r>
            <w:r w:rsidR="00F75F7F" w:rsidRPr="00E779EC">
              <w:rPr>
                <w:rStyle w:val="Hyperlink"/>
                <w:rFonts w:eastAsia="TimesNewRoman"/>
                <w:noProof/>
              </w:rPr>
              <w:t>Introduction</w:t>
            </w:r>
            <w:r w:rsidR="00F75F7F">
              <w:rPr>
                <w:noProof/>
                <w:webHidden/>
              </w:rPr>
              <w:tab/>
            </w:r>
            <w:r>
              <w:rPr>
                <w:noProof/>
                <w:webHidden/>
              </w:rPr>
              <w:fldChar w:fldCharType="begin"/>
            </w:r>
            <w:r w:rsidR="00F75F7F">
              <w:rPr>
                <w:noProof/>
                <w:webHidden/>
              </w:rPr>
              <w:instrText xml:space="preserve"> PAGEREF _Toc73104308 \h </w:instrText>
            </w:r>
            <w:r>
              <w:rPr>
                <w:noProof/>
                <w:webHidden/>
              </w:rPr>
            </w:r>
            <w:r>
              <w:rPr>
                <w:noProof/>
                <w:webHidden/>
              </w:rPr>
              <w:fldChar w:fldCharType="separate"/>
            </w:r>
            <w:r w:rsidR="00CA7139">
              <w:rPr>
                <w:noProof/>
                <w:webHidden/>
              </w:rPr>
              <w:t>42</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309" w:history="1">
            <w:r w:rsidR="00F75F7F" w:rsidRPr="00E779EC">
              <w:rPr>
                <w:rStyle w:val="Hyperlink"/>
                <w:rFonts w:eastAsia="TimesNewRoman"/>
                <w:noProof/>
              </w:rPr>
              <w:t>5.2.</w:t>
            </w:r>
            <w:r w:rsidR="00F75F7F">
              <w:rPr>
                <w:rFonts w:asciiTheme="minorHAnsi" w:eastAsiaTheme="minorEastAsia" w:hAnsiTheme="minorHAnsi" w:cstheme="minorBidi"/>
                <w:noProof/>
                <w:sz w:val="22"/>
              </w:rPr>
              <w:tab/>
            </w:r>
            <w:r w:rsidR="00F75F7F" w:rsidRPr="00E779EC">
              <w:rPr>
                <w:rStyle w:val="Hyperlink"/>
                <w:rFonts w:eastAsia="TimesNewRoman"/>
                <w:noProof/>
              </w:rPr>
              <w:t>Summary</w:t>
            </w:r>
            <w:r w:rsidR="00F75F7F">
              <w:rPr>
                <w:noProof/>
                <w:webHidden/>
              </w:rPr>
              <w:tab/>
            </w:r>
            <w:r>
              <w:rPr>
                <w:noProof/>
                <w:webHidden/>
              </w:rPr>
              <w:fldChar w:fldCharType="begin"/>
            </w:r>
            <w:r w:rsidR="00F75F7F">
              <w:rPr>
                <w:noProof/>
                <w:webHidden/>
              </w:rPr>
              <w:instrText xml:space="preserve"> PAGEREF _Toc73104309 \h </w:instrText>
            </w:r>
            <w:r>
              <w:rPr>
                <w:noProof/>
                <w:webHidden/>
              </w:rPr>
            </w:r>
            <w:r>
              <w:rPr>
                <w:noProof/>
                <w:webHidden/>
              </w:rPr>
              <w:fldChar w:fldCharType="separate"/>
            </w:r>
            <w:r w:rsidR="00CA7139">
              <w:rPr>
                <w:noProof/>
                <w:webHidden/>
              </w:rPr>
              <w:t>42</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310" w:history="1">
            <w:r w:rsidR="00F75F7F" w:rsidRPr="00E779EC">
              <w:rPr>
                <w:rStyle w:val="Hyperlink"/>
                <w:rFonts w:eastAsia="TimesNewRoman"/>
                <w:noProof/>
              </w:rPr>
              <w:t>5.3.</w:t>
            </w:r>
            <w:r w:rsidR="00F75F7F">
              <w:rPr>
                <w:rFonts w:asciiTheme="minorHAnsi" w:eastAsiaTheme="minorEastAsia" w:hAnsiTheme="minorHAnsi" w:cstheme="minorBidi"/>
                <w:noProof/>
                <w:sz w:val="22"/>
              </w:rPr>
              <w:tab/>
            </w:r>
            <w:r w:rsidR="00F75F7F" w:rsidRPr="00E779EC">
              <w:rPr>
                <w:rStyle w:val="Hyperlink"/>
                <w:rFonts w:eastAsia="TimesNewRoman"/>
                <w:noProof/>
              </w:rPr>
              <w:t>Conclusions</w:t>
            </w:r>
            <w:r w:rsidR="00F75F7F">
              <w:rPr>
                <w:noProof/>
                <w:webHidden/>
              </w:rPr>
              <w:tab/>
            </w:r>
            <w:r>
              <w:rPr>
                <w:noProof/>
                <w:webHidden/>
              </w:rPr>
              <w:fldChar w:fldCharType="begin"/>
            </w:r>
            <w:r w:rsidR="00F75F7F">
              <w:rPr>
                <w:noProof/>
                <w:webHidden/>
              </w:rPr>
              <w:instrText xml:space="preserve"> PAGEREF _Toc73104310 \h </w:instrText>
            </w:r>
            <w:r>
              <w:rPr>
                <w:noProof/>
                <w:webHidden/>
              </w:rPr>
            </w:r>
            <w:r>
              <w:rPr>
                <w:noProof/>
                <w:webHidden/>
              </w:rPr>
              <w:fldChar w:fldCharType="separate"/>
            </w:r>
            <w:r w:rsidR="00CA7139">
              <w:rPr>
                <w:noProof/>
                <w:webHidden/>
              </w:rPr>
              <w:t>43</w:t>
            </w:r>
            <w:r>
              <w:rPr>
                <w:noProof/>
                <w:webHidden/>
              </w:rPr>
              <w:fldChar w:fldCharType="end"/>
            </w:r>
          </w:hyperlink>
        </w:p>
        <w:p w:rsidR="00F75F7F" w:rsidRDefault="00ED70D5" w:rsidP="00F75F7F">
          <w:pPr>
            <w:pStyle w:val="TOC2"/>
            <w:tabs>
              <w:tab w:val="left" w:pos="880"/>
              <w:tab w:val="right" w:leader="dot" w:pos="8657"/>
            </w:tabs>
            <w:jc w:val="center"/>
            <w:rPr>
              <w:rFonts w:asciiTheme="minorHAnsi" w:eastAsiaTheme="minorEastAsia" w:hAnsiTheme="minorHAnsi" w:cstheme="minorBidi"/>
              <w:noProof/>
              <w:sz w:val="22"/>
            </w:rPr>
          </w:pPr>
          <w:hyperlink w:anchor="_Toc73104311" w:history="1">
            <w:r w:rsidR="00F75F7F" w:rsidRPr="00E779EC">
              <w:rPr>
                <w:rStyle w:val="Hyperlink"/>
                <w:rFonts w:eastAsia="TimesNewRoman"/>
                <w:noProof/>
              </w:rPr>
              <w:t>5.4.</w:t>
            </w:r>
            <w:r w:rsidR="00F75F7F">
              <w:rPr>
                <w:rFonts w:asciiTheme="minorHAnsi" w:eastAsiaTheme="minorEastAsia" w:hAnsiTheme="minorHAnsi" w:cstheme="minorBidi"/>
                <w:noProof/>
                <w:sz w:val="22"/>
              </w:rPr>
              <w:tab/>
            </w:r>
            <w:r w:rsidR="00F75F7F" w:rsidRPr="00E779EC">
              <w:rPr>
                <w:rStyle w:val="Hyperlink"/>
                <w:rFonts w:eastAsia="TimesNewRoman"/>
                <w:noProof/>
              </w:rPr>
              <w:t>Recommendations</w:t>
            </w:r>
            <w:r w:rsidR="00F75F7F">
              <w:rPr>
                <w:noProof/>
                <w:webHidden/>
              </w:rPr>
              <w:tab/>
            </w:r>
            <w:r>
              <w:rPr>
                <w:noProof/>
                <w:webHidden/>
              </w:rPr>
              <w:fldChar w:fldCharType="begin"/>
            </w:r>
            <w:r w:rsidR="00F75F7F">
              <w:rPr>
                <w:noProof/>
                <w:webHidden/>
              </w:rPr>
              <w:instrText xml:space="preserve"> PAGEREF _Toc73104311 \h </w:instrText>
            </w:r>
            <w:r>
              <w:rPr>
                <w:noProof/>
                <w:webHidden/>
              </w:rPr>
            </w:r>
            <w:r>
              <w:rPr>
                <w:noProof/>
                <w:webHidden/>
              </w:rPr>
              <w:fldChar w:fldCharType="separate"/>
            </w:r>
            <w:r w:rsidR="00CA7139">
              <w:rPr>
                <w:noProof/>
                <w:webHidden/>
              </w:rPr>
              <w:t>44</w:t>
            </w:r>
            <w:r>
              <w:rPr>
                <w:noProof/>
                <w:webHidden/>
              </w:rPr>
              <w:fldChar w:fldCharType="end"/>
            </w:r>
          </w:hyperlink>
        </w:p>
        <w:p w:rsidR="00F75F7F" w:rsidRDefault="00ED70D5" w:rsidP="00F75F7F">
          <w:pPr>
            <w:pStyle w:val="TOC1"/>
            <w:jc w:val="center"/>
            <w:rPr>
              <w:rFonts w:asciiTheme="minorHAnsi" w:eastAsiaTheme="minorEastAsia" w:hAnsiTheme="minorHAnsi" w:cstheme="minorBidi"/>
              <w:b w:val="0"/>
              <w:sz w:val="22"/>
            </w:rPr>
          </w:pPr>
          <w:hyperlink w:anchor="_Toc73104312" w:history="1">
            <w:r w:rsidR="00F75F7F" w:rsidRPr="00E779EC">
              <w:rPr>
                <w:rStyle w:val="Hyperlink"/>
              </w:rPr>
              <w:t>Future Areas of Research</w:t>
            </w:r>
            <w:r w:rsidR="00F75F7F">
              <w:rPr>
                <w:webHidden/>
              </w:rPr>
              <w:tab/>
            </w:r>
            <w:r>
              <w:rPr>
                <w:webHidden/>
              </w:rPr>
              <w:fldChar w:fldCharType="begin"/>
            </w:r>
            <w:r w:rsidR="00F75F7F">
              <w:rPr>
                <w:webHidden/>
              </w:rPr>
              <w:instrText xml:space="preserve"> PAGEREF _Toc73104312 \h </w:instrText>
            </w:r>
            <w:r>
              <w:rPr>
                <w:webHidden/>
              </w:rPr>
            </w:r>
            <w:r>
              <w:rPr>
                <w:webHidden/>
              </w:rPr>
              <w:fldChar w:fldCharType="separate"/>
            </w:r>
            <w:r w:rsidR="00CA7139">
              <w:rPr>
                <w:webHidden/>
              </w:rPr>
              <w:t>44</w:t>
            </w:r>
            <w:r>
              <w:rPr>
                <w:webHidden/>
              </w:rPr>
              <w:fldChar w:fldCharType="end"/>
            </w:r>
          </w:hyperlink>
        </w:p>
        <w:p w:rsidR="00F75F7F" w:rsidRDefault="00ED70D5" w:rsidP="00F75F7F">
          <w:pPr>
            <w:pStyle w:val="TOC2"/>
            <w:tabs>
              <w:tab w:val="right" w:leader="dot" w:pos="8657"/>
            </w:tabs>
            <w:jc w:val="center"/>
            <w:rPr>
              <w:rFonts w:asciiTheme="minorHAnsi" w:eastAsiaTheme="minorEastAsia" w:hAnsiTheme="minorHAnsi" w:cstheme="minorBidi"/>
              <w:noProof/>
              <w:sz w:val="22"/>
            </w:rPr>
          </w:pPr>
          <w:hyperlink w:anchor="_Toc73104313" w:history="1">
            <w:r w:rsidR="00F75F7F" w:rsidRPr="00E779EC">
              <w:rPr>
                <w:rStyle w:val="Hyperlink"/>
                <w:noProof/>
              </w:rPr>
              <w:t>REFERENCES</w:t>
            </w:r>
            <w:r w:rsidR="00F75F7F">
              <w:rPr>
                <w:noProof/>
                <w:webHidden/>
              </w:rPr>
              <w:tab/>
            </w:r>
            <w:r>
              <w:rPr>
                <w:noProof/>
                <w:webHidden/>
              </w:rPr>
              <w:fldChar w:fldCharType="begin"/>
            </w:r>
            <w:r w:rsidR="00F75F7F">
              <w:rPr>
                <w:noProof/>
                <w:webHidden/>
              </w:rPr>
              <w:instrText xml:space="preserve"> PAGEREF _Toc73104313 \h </w:instrText>
            </w:r>
            <w:r>
              <w:rPr>
                <w:noProof/>
                <w:webHidden/>
              </w:rPr>
            </w:r>
            <w:r>
              <w:rPr>
                <w:noProof/>
                <w:webHidden/>
              </w:rPr>
              <w:fldChar w:fldCharType="separate"/>
            </w:r>
            <w:r w:rsidR="00CA7139">
              <w:rPr>
                <w:noProof/>
                <w:webHidden/>
              </w:rPr>
              <w:t>46</w:t>
            </w:r>
            <w:r>
              <w:rPr>
                <w:noProof/>
                <w:webHidden/>
              </w:rPr>
              <w:fldChar w:fldCharType="end"/>
            </w:r>
          </w:hyperlink>
        </w:p>
        <w:p w:rsidR="00F75F7F" w:rsidRDefault="00ED70D5" w:rsidP="00F75F7F">
          <w:pPr>
            <w:pStyle w:val="TOC2"/>
            <w:tabs>
              <w:tab w:val="right" w:leader="dot" w:pos="8657"/>
            </w:tabs>
            <w:jc w:val="center"/>
            <w:rPr>
              <w:rFonts w:asciiTheme="minorHAnsi" w:eastAsiaTheme="minorEastAsia" w:hAnsiTheme="minorHAnsi" w:cstheme="minorBidi"/>
              <w:noProof/>
              <w:sz w:val="22"/>
            </w:rPr>
          </w:pPr>
          <w:hyperlink w:anchor="_Toc73104314" w:history="1">
            <w:r w:rsidR="00F75F7F" w:rsidRPr="00E779EC">
              <w:rPr>
                <w:rStyle w:val="Hyperlink"/>
                <w:noProof/>
              </w:rPr>
              <w:t>APPENDIX: RAW DATA</w:t>
            </w:r>
            <w:r w:rsidR="00F75F7F">
              <w:rPr>
                <w:noProof/>
                <w:webHidden/>
              </w:rPr>
              <w:tab/>
            </w:r>
            <w:r>
              <w:rPr>
                <w:noProof/>
                <w:webHidden/>
              </w:rPr>
              <w:fldChar w:fldCharType="begin"/>
            </w:r>
            <w:r w:rsidR="00F75F7F">
              <w:rPr>
                <w:noProof/>
                <w:webHidden/>
              </w:rPr>
              <w:instrText xml:space="preserve"> PAGEREF _Toc73104314 \h </w:instrText>
            </w:r>
            <w:r>
              <w:rPr>
                <w:noProof/>
                <w:webHidden/>
              </w:rPr>
            </w:r>
            <w:r>
              <w:rPr>
                <w:noProof/>
                <w:webHidden/>
              </w:rPr>
              <w:fldChar w:fldCharType="separate"/>
            </w:r>
            <w:r w:rsidR="00CA7139">
              <w:rPr>
                <w:noProof/>
                <w:webHidden/>
              </w:rPr>
              <w:t>51</w:t>
            </w:r>
            <w:r>
              <w:rPr>
                <w:noProof/>
                <w:webHidden/>
              </w:rPr>
              <w:fldChar w:fldCharType="end"/>
            </w:r>
          </w:hyperlink>
        </w:p>
        <w:p w:rsidR="00672193" w:rsidRPr="00CF41D2" w:rsidRDefault="00ED70D5" w:rsidP="00672193">
          <w:pPr>
            <w:pStyle w:val="TOC1"/>
            <w:spacing w:line="360" w:lineRule="auto"/>
          </w:pPr>
          <w:r w:rsidRPr="00F554BE">
            <w:rPr>
              <w:b w:val="0"/>
              <w:szCs w:val="24"/>
            </w:rPr>
            <w:fldChar w:fldCharType="end"/>
          </w:r>
        </w:p>
      </w:sdtContent>
    </w:sdt>
    <w:p w:rsidR="00672193" w:rsidRPr="00CF41D2" w:rsidRDefault="00672193" w:rsidP="00672193">
      <w:pPr>
        <w:pStyle w:val="Heading1"/>
        <w:spacing w:before="0" w:after="100" w:line="360" w:lineRule="auto"/>
        <w:jc w:val="center"/>
        <w:rPr>
          <w:rFonts w:cs="Times New Roman"/>
          <w:color w:val="auto"/>
        </w:rPr>
      </w:pPr>
      <w:bookmarkStart w:id="2" w:name="_Toc60909216"/>
    </w:p>
    <w:p w:rsidR="00672193" w:rsidRDefault="00672193" w:rsidP="00672193">
      <w:pPr>
        <w:spacing w:line="360" w:lineRule="auto"/>
      </w:pPr>
    </w:p>
    <w:p w:rsidR="00F75F7F" w:rsidRDefault="00F75F7F" w:rsidP="00672193">
      <w:pPr>
        <w:spacing w:line="360" w:lineRule="auto"/>
      </w:pPr>
    </w:p>
    <w:p w:rsidR="00F75F7F" w:rsidRDefault="00F75F7F" w:rsidP="00672193">
      <w:pPr>
        <w:spacing w:line="360" w:lineRule="auto"/>
      </w:pPr>
    </w:p>
    <w:p w:rsidR="00F75F7F" w:rsidRPr="00CF41D2" w:rsidRDefault="00F75F7F" w:rsidP="00672193">
      <w:pPr>
        <w:spacing w:line="360" w:lineRule="auto"/>
      </w:pPr>
    </w:p>
    <w:p w:rsidR="00672193" w:rsidRPr="00CF41D2" w:rsidRDefault="00672193" w:rsidP="00672193">
      <w:pPr>
        <w:pStyle w:val="Heading1"/>
        <w:spacing w:before="0" w:after="100" w:line="360" w:lineRule="auto"/>
        <w:jc w:val="center"/>
        <w:rPr>
          <w:rFonts w:cs="Times New Roman"/>
          <w:color w:val="auto"/>
        </w:rPr>
      </w:pPr>
      <w:bookmarkStart w:id="3" w:name="_Toc73104259"/>
      <w:r w:rsidRPr="00CF41D2">
        <w:rPr>
          <w:rFonts w:cs="Times New Roman"/>
          <w:color w:val="auto"/>
        </w:rPr>
        <w:lastRenderedPageBreak/>
        <w:t>LIST OF TABLES</w:t>
      </w:r>
      <w:bookmarkEnd w:id="2"/>
      <w:bookmarkEnd w:id="3"/>
    </w:p>
    <w:p w:rsidR="00672193" w:rsidRPr="00CF41D2" w:rsidRDefault="00672193" w:rsidP="00672193">
      <w:pPr>
        <w:spacing w:after="100" w:line="360" w:lineRule="auto"/>
        <w:rPr>
          <w:sz w:val="4"/>
        </w:rPr>
      </w:pPr>
    </w:p>
    <w:p w:rsidR="00672193" w:rsidRPr="00CF41D2" w:rsidRDefault="00672193" w:rsidP="00672193">
      <w:pPr>
        <w:spacing w:after="100" w:line="360" w:lineRule="auto"/>
        <w:rPr>
          <w:szCs w:val="24"/>
        </w:rPr>
      </w:pPr>
      <w:r w:rsidRPr="00CF41D2">
        <w:rPr>
          <w:szCs w:val="24"/>
        </w:rPr>
        <w:t>Table 2.1: AIA’s CAMEL Approach for Bank Analysis</w:t>
      </w:r>
      <w:r w:rsidR="00642B54">
        <w:rPr>
          <w:iCs/>
          <w:szCs w:val="24"/>
        </w:rPr>
        <w:t xml:space="preserve"> …… ……</w:t>
      </w:r>
      <w:r w:rsidR="00611E2C">
        <w:rPr>
          <w:iCs/>
          <w:szCs w:val="24"/>
        </w:rPr>
        <w:t>……………………19</w:t>
      </w:r>
      <w:r w:rsidRPr="00CF41D2">
        <w:rPr>
          <w:iCs/>
          <w:szCs w:val="24"/>
        </w:rPr>
        <w:t xml:space="preserve"> </w:t>
      </w:r>
    </w:p>
    <w:p w:rsidR="00672193" w:rsidRPr="00CF41D2" w:rsidRDefault="00672193" w:rsidP="00672193">
      <w:pPr>
        <w:spacing w:after="100" w:line="360" w:lineRule="auto"/>
        <w:rPr>
          <w:szCs w:val="24"/>
        </w:rPr>
      </w:pPr>
      <w:r w:rsidRPr="00CF41D2">
        <w:rPr>
          <w:szCs w:val="24"/>
        </w:rPr>
        <w:t>Table 2.2: The CAMEL’s Composite Rating</w:t>
      </w:r>
      <w:r w:rsidR="00642B54">
        <w:rPr>
          <w:iCs/>
          <w:szCs w:val="24"/>
        </w:rPr>
        <w:t xml:space="preserve"> ……</w:t>
      </w:r>
      <w:r w:rsidR="00611E2C">
        <w:rPr>
          <w:iCs/>
          <w:szCs w:val="24"/>
        </w:rPr>
        <w:t>……………………………………...21</w:t>
      </w:r>
    </w:p>
    <w:p w:rsidR="00672193" w:rsidRPr="00CF41D2" w:rsidRDefault="00672193" w:rsidP="00672193">
      <w:pPr>
        <w:spacing w:after="100" w:line="360" w:lineRule="auto"/>
        <w:jc w:val="both"/>
        <w:rPr>
          <w:szCs w:val="24"/>
        </w:rPr>
      </w:pPr>
      <w:r w:rsidRPr="00CF41D2">
        <w:rPr>
          <w:szCs w:val="24"/>
        </w:rPr>
        <w:t xml:space="preserve">Table 4.1: The Overall Capital Adequacy Performance of CBE </w:t>
      </w:r>
      <w:r w:rsidRPr="00CF41D2">
        <w:rPr>
          <w:iCs/>
          <w:szCs w:val="24"/>
        </w:rPr>
        <w:t>……</w:t>
      </w:r>
      <w:r w:rsidR="00642B54">
        <w:rPr>
          <w:iCs/>
          <w:szCs w:val="24"/>
        </w:rPr>
        <w:t>…</w:t>
      </w:r>
      <w:r w:rsidRPr="00CF41D2">
        <w:rPr>
          <w:iCs/>
          <w:szCs w:val="24"/>
        </w:rPr>
        <w:t>……</w:t>
      </w:r>
      <w:r w:rsidR="00611E2C">
        <w:rPr>
          <w:szCs w:val="24"/>
        </w:rPr>
        <w:t>………….31</w:t>
      </w:r>
    </w:p>
    <w:p w:rsidR="00672193" w:rsidRPr="00CF41D2" w:rsidRDefault="00672193" w:rsidP="00672193">
      <w:pPr>
        <w:pStyle w:val="Caption"/>
        <w:keepNext/>
        <w:spacing w:line="360" w:lineRule="auto"/>
        <w:rPr>
          <w:b w:val="0"/>
          <w:bCs w:val="0"/>
          <w:iCs/>
          <w:color w:val="auto"/>
          <w:sz w:val="24"/>
          <w:szCs w:val="24"/>
        </w:rPr>
      </w:pPr>
      <w:r w:rsidRPr="00CF41D2">
        <w:rPr>
          <w:b w:val="0"/>
          <w:color w:val="auto"/>
          <w:sz w:val="24"/>
          <w:szCs w:val="24"/>
        </w:rPr>
        <w:t xml:space="preserve">Table 4.2: The Overall Asset Quality Performance of </w:t>
      </w:r>
      <w:r w:rsidR="00642B54">
        <w:rPr>
          <w:b w:val="0"/>
          <w:bCs w:val="0"/>
          <w:iCs/>
          <w:color w:val="auto"/>
          <w:sz w:val="24"/>
          <w:szCs w:val="24"/>
        </w:rPr>
        <w:t>CBE ……</w:t>
      </w:r>
      <w:r w:rsidR="00611E2C">
        <w:rPr>
          <w:b w:val="0"/>
          <w:bCs w:val="0"/>
          <w:iCs/>
          <w:color w:val="auto"/>
          <w:sz w:val="24"/>
          <w:szCs w:val="24"/>
        </w:rPr>
        <w:t>……….………………32</w:t>
      </w:r>
    </w:p>
    <w:p w:rsidR="00672193" w:rsidRPr="00CF41D2" w:rsidRDefault="00672193" w:rsidP="00672193">
      <w:pPr>
        <w:spacing w:after="100" w:line="360" w:lineRule="auto"/>
        <w:jc w:val="both"/>
        <w:rPr>
          <w:iCs/>
          <w:szCs w:val="24"/>
        </w:rPr>
      </w:pPr>
      <w:r w:rsidRPr="00CF41D2">
        <w:rPr>
          <w:szCs w:val="24"/>
        </w:rPr>
        <w:t>Table 4.3: The Overall Manage</w:t>
      </w:r>
      <w:r w:rsidR="00642B54">
        <w:rPr>
          <w:szCs w:val="24"/>
        </w:rPr>
        <w:t>ment Quality Performance of CBE</w:t>
      </w:r>
      <w:r w:rsidRPr="00CF41D2">
        <w:rPr>
          <w:szCs w:val="24"/>
        </w:rPr>
        <w:t>…</w:t>
      </w:r>
      <w:r w:rsidRPr="00CF41D2">
        <w:rPr>
          <w:iCs/>
          <w:szCs w:val="24"/>
        </w:rPr>
        <w:t>…</w:t>
      </w:r>
      <w:r w:rsidRPr="00CF41D2">
        <w:rPr>
          <w:szCs w:val="24"/>
        </w:rPr>
        <w:t>….</w:t>
      </w:r>
      <w:r w:rsidRPr="00CF41D2">
        <w:rPr>
          <w:iCs/>
          <w:szCs w:val="24"/>
        </w:rPr>
        <w:t>…………….</w:t>
      </w:r>
      <w:r w:rsidR="00611E2C">
        <w:rPr>
          <w:szCs w:val="24"/>
        </w:rPr>
        <w:t>36</w:t>
      </w:r>
    </w:p>
    <w:p w:rsidR="00672193" w:rsidRPr="00CF41D2" w:rsidRDefault="00672193" w:rsidP="00672193">
      <w:pPr>
        <w:spacing w:after="100" w:line="360" w:lineRule="auto"/>
        <w:jc w:val="both"/>
        <w:rPr>
          <w:iCs/>
          <w:szCs w:val="24"/>
        </w:rPr>
      </w:pPr>
      <w:r w:rsidRPr="00CF41D2">
        <w:rPr>
          <w:szCs w:val="24"/>
        </w:rPr>
        <w:t>Table 4.4: The Overall Earnings Ability Performance of CBE……</w:t>
      </w:r>
      <w:r w:rsidRPr="00CF41D2">
        <w:rPr>
          <w:iCs/>
          <w:szCs w:val="24"/>
        </w:rPr>
        <w:t>…</w:t>
      </w:r>
      <w:r w:rsidRPr="00CF41D2">
        <w:rPr>
          <w:szCs w:val="24"/>
        </w:rPr>
        <w:t>…</w:t>
      </w:r>
      <w:r w:rsidRPr="00CF41D2">
        <w:rPr>
          <w:iCs/>
          <w:szCs w:val="24"/>
        </w:rPr>
        <w:t>….………</w:t>
      </w:r>
      <w:r w:rsidRPr="00CF41D2">
        <w:rPr>
          <w:szCs w:val="24"/>
        </w:rPr>
        <w:t>…</w:t>
      </w:r>
      <w:r w:rsidRPr="00CF41D2">
        <w:rPr>
          <w:iCs/>
          <w:szCs w:val="24"/>
        </w:rPr>
        <w:t>…</w:t>
      </w:r>
      <w:r w:rsidR="00611E2C">
        <w:rPr>
          <w:szCs w:val="24"/>
        </w:rPr>
        <w:t>38</w:t>
      </w:r>
    </w:p>
    <w:p w:rsidR="00672193" w:rsidRPr="00CF41D2" w:rsidRDefault="00672193" w:rsidP="00672193">
      <w:pPr>
        <w:spacing w:after="100" w:line="360" w:lineRule="auto"/>
        <w:jc w:val="both"/>
        <w:rPr>
          <w:szCs w:val="24"/>
        </w:rPr>
      </w:pPr>
      <w:r w:rsidRPr="00CF41D2">
        <w:rPr>
          <w:szCs w:val="24"/>
        </w:rPr>
        <w:t>Table 4.5: The Overall Liquidity Performance of CBE……</w:t>
      </w:r>
      <w:r w:rsidRPr="00CF41D2">
        <w:rPr>
          <w:iCs/>
          <w:szCs w:val="24"/>
        </w:rPr>
        <w:t>…</w:t>
      </w:r>
      <w:r w:rsidRPr="00CF41D2">
        <w:rPr>
          <w:szCs w:val="24"/>
        </w:rPr>
        <w:t>……</w:t>
      </w:r>
      <w:r w:rsidRPr="00CF41D2">
        <w:rPr>
          <w:iCs/>
          <w:szCs w:val="24"/>
        </w:rPr>
        <w:t>…</w:t>
      </w:r>
      <w:r w:rsidRPr="00CF41D2">
        <w:rPr>
          <w:szCs w:val="24"/>
        </w:rPr>
        <w:t>…</w:t>
      </w:r>
      <w:r w:rsidRPr="00CF41D2">
        <w:rPr>
          <w:iCs/>
          <w:szCs w:val="24"/>
        </w:rPr>
        <w:t>…</w:t>
      </w:r>
      <w:r w:rsidRPr="00CF41D2">
        <w:rPr>
          <w:szCs w:val="24"/>
        </w:rPr>
        <w:t>…</w:t>
      </w:r>
      <w:r w:rsidRPr="00CF41D2">
        <w:rPr>
          <w:iCs/>
          <w:szCs w:val="24"/>
        </w:rPr>
        <w:t>…………</w:t>
      </w:r>
      <w:r w:rsidR="00611E2C">
        <w:rPr>
          <w:szCs w:val="24"/>
        </w:rPr>
        <w:t>40</w:t>
      </w: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Default="00672193" w:rsidP="00672193">
      <w:pPr>
        <w:spacing w:after="100" w:line="360" w:lineRule="auto"/>
        <w:jc w:val="both"/>
        <w:rPr>
          <w:szCs w:val="24"/>
        </w:rPr>
      </w:pPr>
    </w:p>
    <w:p w:rsidR="00724904" w:rsidRDefault="00724904" w:rsidP="00672193">
      <w:pPr>
        <w:spacing w:after="100" w:line="360" w:lineRule="auto"/>
        <w:jc w:val="both"/>
        <w:rPr>
          <w:szCs w:val="24"/>
        </w:rPr>
      </w:pPr>
    </w:p>
    <w:p w:rsidR="00724904" w:rsidRDefault="00724904"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pStyle w:val="Heading1"/>
        <w:spacing w:before="0" w:after="100" w:line="360" w:lineRule="auto"/>
        <w:jc w:val="center"/>
        <w:rPr>
          <w:rFonts w:cs="Times New Roman"/>
          <w:color w:val="auto"/>
        </w:rPr>
      </w:pPr>
      <w:bookmarkStart w:id="4" w:name="_Toc519167229"/>
      <w:bookmarkStart w:id="5" w:name="_Toc73104260"/>
      <w:r w:rsidRPr="00CF41D2">
        <w:rPr>
          <w:rFonts w:cs="Times New Roman"/>
          <w:color w:val="auto"/>
        </w:rPr>
        <w:lastRenderedPageBreak/>
        <w:t>LIST OF FIGURES</w:t>
      </w:r>
      <w:bookmarkEnd w:id="4"/>
      <w:bookmarkEnd w:id="5"/>
    </w:p>
    <w:p w:rsidR="00672193" w:rsidRPr="00CF41D2" w:rsidRDefault="00672193" w:rsidP="00672193">
      <w:pPr>
        <w:spacing w:after="100" w:line="360" w:lineRule="auto"/>
        <w:rPr>
          <w:sz w:val="2"/>
        </w:rPr>
      </w:pPr>
    </w:p>
    <w:p w:rsidR="00672193" w:rsidRPr="00CF41D2" w:rsidRDefault="00672193" w:rsidP="00881B79">
      <w:pPr>
        <w:autoSpaceDE w:val="0"/>
        <w:autoSpaceDN w:val="0"/>
        <w:adjustRightInd w:val="0"/>
        <w:spacing w:after="100" w:line="360" w:lineRule="auto"/>
        <w:jc w:val="both"/>
        <w:rPr>
          <w:iCs/>
          <w:szCs w:val="24"/>
        </w:rPr>
      </w:pPr>
      <w:r w:rsidRPr="00CF41D2">
        <w:rPr>
          <w:iCs/>
          <w:szCs w:val="24"/>
        </w:rPr>
        <w:t>Figure 1: Conceptual fram</w:t>
      </w:r>
      <w:r w:rsidR="007F3D9B">
        <w:rPr>
          <w:iCs/>
          <w:szCs w:val="24"/>
        </w:rPr>
        <w:t>ework ………………………………………….……………..27</w:t>
      </w:r>
    </w:p>
    <w:p w:rsidR="00672193" w:rsidRPr="00CF41D2" w:rsidRDefault="00672193" w:rsidP="00881B79">
      <w:pPr>
        <w:autoSpaceDE w:val="0"/>
        <w:autoSpaceDN w:val="0"/>
        <w:adjustRightInd w:val="0"/>
        <w:spacing w:after="100" w:line="360" w:lineRule="auto"/>
        <w:jc w:val="both"/>
        <w:rPr>
          <w:iCs/>
          <w:szCs w:val="24"/>
        </w:rPr>
      </w:pPr>
      <w:r w:rsidRPr="00CF41D2">
        <w:rPr>
          <w:szCs w:val="24"/>
        </w:rPr>
        <w:t>Figure 2: Capital Adequacy Perf</w:t>
      </w:r>
      <w:r w:rsidR="00724904">
        <w:rPr>
          <w:szCs w:val="24"/>
        </w:rPr>
        <w:t>ormance of CBE fro</w:t>
      </w:r>
      <w:r w:rsidR="00C57541">
        <w:rPr>
          <w:szCs w:val="24"/>
        </w:rPr>
        <w:t>m 2011</w:t>
      </w:r>
      <w:r w:rsidR="00724904">
        <w:rPr>
          <w:szCs w:val="24"/>
        </w:rPr>
        <w:t xml:space="preserve"> to 2020</w:t>
      </w:r>
      <w:r w:rsidR="00724904">
        <w:rPr>
          <w:iCs/>
          <w:szCs w:val="24"/>
        </w:rPr>
        <w:t>………….…</w:t>
      </w:r>
      <w:r w:rsidR="007F3D9B">
        <w:rPr>
          <w:iCs/>
          <w:szCs w:val="24"/>
        </w:rPr>
        <w:t>…..  30</w:t>
      </w:r>
    </w:p>
    <w:p w:rsidR="00672193" w:rsidRPr="00CF41D2" w:rsidRDefault="00672193" w:rsidP="00881B79">
      <w:pPr>
        <w:autoSpaceDE w:val="0"/>
        <w:autoSpaceDN w:val="0"/>
        <w:adjustRightInd w:val="0"/>
        <w:spacing w:after="100" w:line="360" w:lineRule="auto"/>
        <w:jc w:val="both"/>
        <w:rPr>
          <w:iCs/>
          <w:szCs w:val="24"/>
        </w:rPr>
      </w:pPr>
      <w:r w:rsidRPr="00CF41D2">
        <w:rPr>
          <w:szCs w:val="24"/>
        </w:rPr>
        <w:t xml:space="preserve">Figure 3: Asset Quality Performance of CBE from </w:t>
      </w:r>
      <w:r w:rsidR="00C57541">
        <w:rPr>
          <w:szCs w:val="24"/>
        </w:rPr>
        <w:t>2011</w:t>
      </w:r>
      <w:r w:rsidR="00724904">
        <w:rPr>
          <w:szCs w:val="24"/>
        </w:rPr>
        <w:t xml:space="preserve"> to 2020</w:t>
      </w:r>
      <w:r w:rsidR="00724904">
        <w:rPr>
          <w:iCs/>
          <w:szCs w:val="24"/>
        </w:rPr>
        <w:t>……………</w:t>
      </w:r>
      <w:r w:rsidR="007F3D9B">
        <w:rPr>
          <w:iCs/>
          <w:szCs w:val="24"/>
        </w:rPr>
        <w:t>…….…</w:t>
      </w:r>
      <w:proofErr w:type="gramStart"/>
      <w:r w:rsidR="007F3D9B">
        <w:rPr>
          <w:iCs/>
          <w:szCs w:val="24"/>
        </w:rPr>
        <w:t>.  32</w:t>
      </w:r>
      <w:proofErr w:type="gramEnd"/>
    </w:p>
    <w:p w:rsidR="00672193" w:rsidRPr="00CF41D2" w:rsidRDefault="00672193" w:rsidP="00881B79">
      <w:pPr>
        <w:pStyle w:val="Caption"/>
        <w:spacing w:line="360" w:lineRule="auto"/>
        <w:rPr>
          <w:b w:val="0"/>
          <w:bCs w:val="0"/>
          <w:color w:val="auto"/>
          <w:sz w:val="24"/>
          <w:szCs w:val="24"/>
        </w:rPr>
      </w:pPr>
      <w:r w:rsidRPr="00CF41D2">
        <w:rPr>
          <w:b w:val="0"/>
          <w:bCs w:val="0"/>
          <w:color w:val="auto"/>
          <w:sz w:val="24"/>
          <w:szCs w:val="24"/>
        </w:rPr>
        <w:t>Figure 4: Management Quality Performance</w:t>
      </w:r>
      <w:r w:rsidR="00724904">
        <w:rPr>
          <w:b w:val="0"/>
          <w:bCs w:val="0"/>
          <w:color w:val="auto"/>
          <w:sz w:val="24"/>
          <w:szCs w:val="24"/>
        </w:rPr>
        <w:t xml:space="preserve"> of CBE from </w:t>
      </w:r>
      <w:r w:rsidR="00C57541">
        <w:rPr>
          <w:b w:val="0"/>
          <w:bCs w:val="0"/>
          <w:color w:val="auto"/>
          <w:sz w:val="24"/>
          <w:szCs w:val="24"/>
        </w:rPr>
        <w:t>2011</w:t>
      </w:r>
      <w:r w:rsidR="00724904">
        <w:rPr>
          <w:b w:val="0"/>
          <w:bCs w:val="0"/>
          <w:color w:val="auto"/>
          <w:sz w:val="24"/>
          <w:szCs w:val="24"/>
        </w:rPr>
        <w:t xml:space="preserve"> to 2020………….…</w:t>
      </w:r>
      <w:r w:rsidRPr="00CF41D2">
        <w:rPr>
          <w:b w:val="0"/>
          <w:bCs w:val="0"/>
          <w:color w:val="auto"/>
          <w:sz w:val="24"/>
          <w:szCs w:val="24"/>
        </w:rPr>
        <w:t>.</w:t>
      </w:r>
      <w:r w:rsidR="00724904">
        <w:rPr>
          <w:b w:val="0"/>
          <w:bCs w:val="0"/>
          <w:color w:val="auto"/>
          <w:sz w:val="24"/>
          <w:szCs w:val="24"/>
        </w:rPr>
        <w:t>...</w:t>
      </w:r>
      <w:r w:rsidR="007F3D9B">
        <w:rPr>
          <w:b w:val="0"/>
          <w:bCs w:val="0"/>
          <w:color w:val="auto"/>
          <w:sz w:val="24"/>
          <w:szCs w:val="24"/>
        </w:rPr>
        <w:t>35</w:t>
      </w:r>
    </w:p>
    <w:p w:rsidR="00672193" w:rsidRPr="00CF41D2" w:rsidRDefault="00672193" w:rsidP="00881B79">
      <w:pPr>
        <w:autoSpaceDE w:val="0"/>
        <w:autoSpaceDN w:val="0"/>
        <w:adjustRightInd w:val="0"/>
        <w:spacing w:after="100" w:line="360" w:lineRule="auto"/>
        <w:jc w:val="both"/>
        <w:rPr>
          <w:iCs/>
          <w:szCs w:val="24"/>
        </w:rPr>
      </w:pPr>
      <w:r w:rsidRPr="00CF41D2">
        <w:rPr>
          <w:szCs w:val="24"/>
        </w:rPr>
        <w:t xml:space="preserve">Figure 5: Earnings Ability Performance of CBE </w:t>
      </w:r>
      <w:r w:rsidR="00C57541">
        <w:rPr>
          <w:bCs/>
          <w:szCs w:val="24"/>
        </w:rPr>
        <w:t>from 2011</w:t>
      </w:r>
      <w:r w:rsidR="00724904">
        <w:rPr>
          <w:bCs/>
          <w:szCs w:val="24"/>
        </w:rPr>
        <w:t xml:space="preserve"> to 2020</w:t>
      </w:r>
      <w:r w:rsidR="00724904">
        <w:rPr>
          <w:szCs w:val="24"/>
        </w:rPr>
        <w:t xml:space="preserve"> ………………..</w:t>
      </w:r>
      <w:r w:rsidRPr="00CF41D2">
        <w:rPr>
          <w:szCs w:val="24"/>
        </w:rPr>
        <w:t xml:space="preserve">.. </w:t>
      </w:r>
      <w:r w:rsidR="007F3D9B">
        <w:rPr>
          <w:iCs/>
          <w:szCs w:val="24"/>
        </w:rPr>
        <w:t>37</w:t>
      </w:r>
    </w:p>
    <w:p w:rsidR="00672193" w:rsidRPr="00CF41D2" w:rsidRDefault="00672193" w:rsidP="00881B79">
      <w:pPr>
        <w:autoSpaceDE w:val="0"/>
        <w:autoSpaceDN w:val="0"/>
        <w:adjustRightInd w:val="0"/>
        <w:spacing w:after="100" w:line="360" w:lineRule="auto"/>
        <w:jc w:val="both"/>
        <w:rPr>
          <w:iCs/>
          <w:szCs w:val="24"/>
        </w:rPr>
      </w:pPr>
      <w:r w:rsidRPr="00CF41D2">
        <w:rPr>
          <w:szCs w:val="24"/>
        </w:rPr>
        <w:t xml:space="preserve">Figure 6: Liquidity Performance of CBE </w:t>
      </w:r>
      <w:r w:rsidR="00C57541">
        <w:rPr>
          <w:bCs/>
          <w:szCs w:val="24"/>
        </w:rPr>
        <w:t>from 2011</w:t>
      </w:r>
      <w:r w:rsidR="00724904">
        <w:rPr>
          <w:bCs/>
          <w:szCs w:val="24"/>
        </w:rPr>
        <w:t xml:space="preserve"> to 2020</w:t>
      </w:r>
      <w:r w:rsidR="00724904">
        <w:rPr>
          <w:szCs w:val="24"/>
        </w:rPr>
        <w:t xml:space="preserve"> ………..…………</w:t>
      </w:r>
      <w:r w:rsidRPr="00CF41D2">
        <w:rPr>
          <w:szCs w:val="24"/>
        </w:rPr>
        <w:t xml:space="preserve">…….. </w:t>
      </w:r>
      <w:r w:rsidR="007F3D9B">
        <w:rPr>
          <w:iCs/>
          <w:szCs w:val="24"/>
        </w:rPr>
        <w:t>39</w:t>
      </w:r>
    </w:p>
    <w:p w:rsidR="00672193" w:rsidRPr="00CF41D2" w:rsidRDefault="00672193" w:rsidP="00881B79">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pStyle w:val="Heading1"/>
        <w:spacing w:before="120" w:after="120" w:line="360" w:lineRule="auto"/>
        <w:rPr>
          <w:rFonts w:eastAsia="Calibri" w:cs="Times New Roman"/>
          <w:b w:val="0"/>
          <w:bCs w:val="0"/>
          <w:color w:val="auto"/>
          <w:sz w:val="24"/>
          <w:szCs w:val="24"/>
        </w:rPr>
      </w:pPr>
    </w:p>
    <w:p w:rsidR="00672193" w:rsidRPr="00CF41D2" w:rsidRDefault="00672193" w:rsidP="00672193">
      <w:pPr>
        <w:spacing w:line="360" w:lineRule="auto"/>
      </w:pPr>
    </w:p>
    <w:p w:rsidR="00672193" w:rsidRPr="00CF41D2" w:rsidRDefault="00672193" w:rsidP="00672193">
      <w:pPr>
        <w:spacing w:line="360" w:lineRule="auto"/>
      </w:pPr>
    </w:p>
    <w:p w:rsidR="00672193" w:rsidRPr="00CF41D2" w:rsidRDefault="00672193" w:rsidP="00672193">
      <w:pPr>
        <w:spacing w:line="360" w:lineRule="auto"/>
      </w:pPr>
    </w:p>
    <w:p w:rsidR="00672193" w:rsidRPr="00CF41D2" w:rsidRDefault="00672193" w:rsidP="00672193">
      <w:pPr>
        <w:spacing w:line="360" w:lineRule="auto"/>
      </w:pPr>
    </w:p>
    <w:p w:rsidR="00672193" w:rsidRPr="00CF41D2" w:rsidRDefault="00672193" w:rsidP="00672193">
      <w:pPr>
        <w:spacing w:line="360" w:lineRule="auto"/>
      </w:pPr>
    </w:p>
    <w:p w:rsidR="00672193" w:rsidRPr="00CF41D2" w:rsidRDefault="00672193" w:rsidP="00672193">
      <w:pPr>
        <w:spacing w:line="360" w:lineRule="auto"/>
      </w:pPr>
    </w:p>
    <w:p w:rsidR="00672193" w:rsidRPr="00CF41D2" w:rsidRDefault="00672193" w:rsidP="00672193">
      <w:pPr>
        <w:spacing w:line="360" w:lineRule="auto"/>
      </w:pPr>
    </w:p>
    <w:p w:rsidR="00672193" w:rsidRPr="00CF41D2" w:rsidRDefault="00672193" w:rsidP="00672193">
      <w:pPr>
        <w:spacing w:line="360" w:lineRule="auto"/>
      </w:pPr>
    </w:p>
    <w:p w:rsidR="00672193" w:rsidRPr="00CF41D2" w:rsidRDefault="00672193" w:rsidP="00672193">
      <w:pPr>
        <w:spacing w:line="360" w:lineRule="auto"/>
      </w:pPr>
    </w:p>
    <w:p w:rsidR="00672193" w:rsidRDefault="00672193" w:rsidP="00672193">
      <w:pPr>
        <w:spacing w:line="360" w:lineRule="auto"/>
      </w:pPr>
    </w:p>
    <w:p w:rsidR="007B6B0D" w:rsidRPr="00CF41D2" w:rsidRDefault="007B6B0D" w:rsidP="00672193">
      <w:pPr>
        <w:spacing w:line="360" w:lineRule="auto"/>
      </w:pPr>
    </w:p>
    <w:p w:rsidR="00672193" w:rsidRPr="00CF41D2" w:rsidRDefault="00672193" w:rsidP="00672193">
      <w:pPr>
        <w:spacing w:line="360" w:lineRule="auto"/>
      </w:pPr>
    </w:p>
    <w:p w:rsidR="00672193" w:rsidRPr="00CF41D2" w:rsidRDefault="00672193" w:rsidP="00672193">
      <w:pPr>
        <w:pStyle w:val="Heading1"/>
        <w:spacing w:before="120" w:after="120" w:line="360" w:lineRule="auto"/>
        <w:jc w:val="center"/>
        <w:rPr>
          <w:rFonts w:cs="Times New Roman"/>
          <w:color w:val="auto"/>
        </w:rPr>
      </w:pPr>
      <w:bookmarkStart w:id="6" w:name="_Toc73104261"/>
      <w:r w:rsidRPr="00CF41D2">
        <w:rPr>
          <w:rFonts w:cs="Times New Roman"/>
          <w:color w:val="auto"/>
        </w:rPr>
        <w:lastRenderedPageBreak/>
        <w:t>LIST OF ACRONYMS/ABBREVIATIONS</w:t>
      </w:r>
      <w:bookmarkEnd w:id="6"/>
    </w:p>
    <w:p w:rsidR="00672193" w:rsidRPr="00CF41D2" w:rsidRDefault="00672193" w:rsidP="00672193">
      <w:pPr>
        <w:spacing w:after="100" w:line="360" w:lineRule="auto"/>
        <w:rPr>
          <w:sz w:val="2"/>
        </w:rPr>
      </w:pPr>
    </w:p>
    <w:p w:rsidR="00672193" w:rsidRPr="00CF41D2" w:rsidRDefault="00672193" w:rsidP="00672193">
      <w:pPr>
        <w:spacing w:after="100" w:line="360" w:lineRule="auto"/>
        <w:jc w:val="both"/>
        <w:rPr>
          <w:szCs w:val="24"/>
        </w:rPr>
      </w:pPr>
      <w:r w:rsidRPr="00CF41D2">
        <w:rPr>
          <w:b/>
          <w:szCs w:val="24"/>
        </w:rPr>
        <w:t>AIA</w:t>
      </w:r>
      <w:r w:rsidRPr="00CF41D2">
        <w:rPr>
          <w:szCs w:val="24"/>
        </w:rPr>
        <w:t xml:space="preserve"> </w:t>
      </w:r>
      <w:r w:rsidRPr="00CF41D2">
        <w:rPr>
          <w:sz w:val="28"/>
          <w:szCs w:val="28"/>
        </w:rPr>
        <w:t xml:space="preserve">– </w:t>
      </w:r>
      <w:r w:rsidRPr="00CF41D2">
        <w:rPr>
          <w:szCs w:val="24"/>
        </w:rPr>
        <w:t>American International Assurance</w:t>
      </w:r>
    </w:p>
    <w:p w:rsidR="00672193" w:rsidRPr="00CF41D2" w:rsidRDefault="00672193" w:rsidP="00672193">
      <w:pPr>
        <w:spacing w:after="100" w:line="360" w:lineRule="auto"/>
        <w:jc w:val="both"/>
        <w:rPr>
          <w:szCs w:val="24"/>
        </w:rPr>
      </w:pPr>
      <w:r w:rsidRPr="00CF41D2">
        <w:rPr>
          <w:b/>
          <w:szCs w:val="24"/>
        </w:rPr>
        <w:t>CAMEL</w:t>
      </w:r>
      <w:r w:rsidRPr="00CF41D2">
        <w:rPr>
          <w:szCs w:val="24"/>
        </w:rPr>
        <w:t xml:space="preserve"> </w:t>
      </w:r>
      <w:r w:rsidRPr="00CF41D2">
        <w:rPr>
          <w:sz w:val="28"/>
          <w:szCs w:val="28"/>
        </w:rPr>
        <w:t xml:space="preserve">– </w:t>
      </w:r>
      <w:r w:rsidRPr="00CF41D2">
        <w:rPr>
          <w:szCs w:val="24"/>
        </w:rPr>
        <w:t>Capital, Asset, Management, Earnings, Liquidity</w:t>
      </w:r>
    </w:p>
    <w:p w:rsidR="00672193" w:rsidRPr="00CF41D2" w:rsidRDefault="00672193" w:rsidP="00672193">
      <w:pPr>
        <w:spacing w:after="100" w:line="360" w:lineRule="auto"/>
        <w:jc w:val="both"/>
        <w:rPr>
          <w:szCs w:val="24"/>
        </w:rPr>
      </w:pPr>
      <w:r w:rsidRPr="00CF41D2">
        <w:rPr>
          <w:b/>
          <w:szCs w:val="24"/>
        </w:rPr>
        <w:t>CAR</w:t>
      </w:r>
      <w:r w:rsidRPr="00CF41D2">
        <w:rPr>
          <w:szCs w:val="24"/>
        </w:rPr>
        <w:t xml:space="preserve"> </w:t>
      </w:r>
      <w:r w:rsidRPr="00CF41D2">
        <w:rPr>
          <w:sz w:val="28"/>
          <w:szCs w:val="28"/>
        </w:rPr>
        <w:t xml:space="preserve">– </w:t>
      </w:r>
      <w:r w:rsidRPr="00CF41D2">
        <w:rPr>
          <w:szCs w:val="24"/>
        </w:rPr>
        <w:t xml:space="preserve">Capital </w:t>
      </w:r>
      <w:r w:rsidRPr="00CF41D2">
        <w:rPr>
          <w:rFonts w:eastAsia="TimesNewRoman"/>
          <w:szCs w:val="24"/>
        </w:rPr>
        <w:t>Adequacy Ratio</w:t>
      </w:r>
    </w:p>
    <w:p w:rsidR="00672193" w:rsidRPr="00CF41D2" w:rsidRDefault="00672193" w:rsidP="00672193">
      <w:pPr>
        <w:spacing w:after="100" w:line="360" w:lineRule="auto"/>
        <w:jc w:val="both"/>
        <w:rPr>
          <w:szCs w:val="24"/>
        </w:rPr>
      </w:pPr>
      <w:r w:rsidRPr="00CF41D2">
        <w:rPr>
          <w:b/>
          <w:szCs w:val="24"/>
        </w:rPr>
        <w:t>CBE</w:t>
      </w:r>
      <w:r w:rsidRPr="00CF41D2">
        <w:rPr>
          <w:szCs w:val="24"/>
        </w:rPr>
        <w:t xml:space="preserve"> </w:t>
      </w:r>
      <w:r w:rsidRPr="00CF41D2">
        <w:rPr>
          <w:sz w:val="28"/>
          <w:szCs w:val="28"/>
        </w:rPr>
        <w:t>-</w:t>
      </w:r>
      <w:r w:rsidRPr="00CF41D2">
        <w:rPr>
          <w:szCs w:val="24"/>
        </w:rPr>
        <w:t xml:space="preserve"> Commercial Bank of Ethiopia</w:t>
      </w:r>
    </w:p>
    <w:p w:rsidR="00672193" w:rsidRPr="00CF41D2" w:rsidRDefault="00672193" w:rsidP="00672193">
      <w:pPr>
        <w:spacing w:after="100" w:line="360" w:lineRule="auto"/>
        <w:jc w:val="both"/>
        <w:rPr>
          <w:szCs w:val="24"/>
        </w:rPr>
      </w:pPr>
      <w:r w:rsidRPr="00CF41D2">
        <w:rPr>
          <w:b/>
          <w:szCs w:val="24"/>
        </w:rPr>
        <w:t>FDIC</w:t>
      </w:r>
      <w:r w:rsidRPr="00CF41D2">
        <w:rPr>
          <w:szCs w:val="24"/>
        </w:rPr>
        <w:t xml:space="preserve"> </w:t>
      </w:r>
      <w:r w:rsidRPr="00CF41D2">
        <w:rPr>
          <w:sz w:val="28"/>
          <w:szCs w:val="28"/>
        </w:rPr>
        <w:t xml:space="preserve">– </w:t>
      </w:r>
      <w:r w:rsidRPr="00CF41D2">
        <w:rPr>
          <w:szCs w:val="24"/>
        </w:rPr>
        <w:t>Federal Deposit Insurance Corporation</w:t>
      </w:r>
    </w:p>
    <w:p w:rsidR="00672193" w:rsidRPr="00CF41D2" w:rsidRDefault="00672193" w:rsidP="00672193">
      <w:pPr>
        <w:spacing w:after="100" w:line="360" w:lineRule="auto"/>
        <w:jc w:val="both"/>
      </w:pPr>
      <w:r w:rsidRPr="00CF41D2">
        <w:rPr>
          <w:b/>
          <w:szCs w:val="24"/>
        </w:rPr>
        <w:t>GTP</w:t>
      </w:r>
      <w:r w:rsidRPr="00CF41D2">
        <w:rPr>
          <w:szCs w:val="24"/>
        </w:rPr>
        <w:t xml:space="preserve"> </w:t>
      </w:r>
      <w:r w:rsidRPr="00CF41D2">
        <w:rPr>
          <w:sz w:val="28"/>
          <w:szCs w:val="28"/>
        </w:rPr>
        <w:t xml:space="preserve">– </w:t>
      </w:r>
      <w:r w:rsidRPr="00CF41D2">
        <w:rPr>
          <w:rFonts w:eastAsia="TimesNewRoman"/>
          <w:szCs w:val="24"/>
        </w:rPr>
        <w:t>Growth and Transformation Plan</w:t>
      </w:r>
    </w:p>
    <w:p w:rsidR="00672193" w:rsidRPr="00CF41D2" w:rsidRDefault="00672193" w:rsidP="00672193">
      <w:pPr>
        <w:spacing w:after="100" w:line="360" w:lineRule="auto"/>
        <w:jc w:val="both"/>
        <w:rPr>
          <w:szCs w:val="24"/>
        </w:rPr>
      </w:pPr>
      <w:r w:rsidRPr="00CF41D2">
        <w:rPr>
          <w:b/>
          <w:szCs w:val="24"/>
        </w:rPr>
        <w:t>NBE</w:t>
      </w:r>
      <w:r w:rsidRPr="00CF41D2">
        <w:rPr>
          <w:szCs w:val="24"/>
        </w:rPr>
        <w:t xml:space="preserve"> </w:t>
      </w:r>
      <w:r w:rsidRPr="00CF41D2">
        <w:rPr>
          <w:sz w:val="28"/>
          <w:szCs w:val="28"/>
        </w:rPr>
        <w:t xml:space="preserve">- </w:t>
      </w:r>
      <w:r w:rsidRPr="00CF41D2">
        <w:rPr>
          <w:szCs w:val="24"/>
        </w:rPr>
        <w:t>National Bank of Ethiopia</w:t>
      </w:r>
    </w:p>
    <w:p w:rsidR="00672193" w:rsidRPr="00CF41D2" w:rsidRDefault="00672193" w:rsidP="00672193">
      <w:pPr>
        <w:spacing w:after="100" w:line="360" w:lineRule="auto"/>
        <w:jc w:val="both"/>
        <w:rPr>
          <w:szCs w:val="24"/>
        </w:rPr>
      </w:pPr>
      <w:r w:rsidRPr="00CF41D2">
        <w:rPr>
          <w:b/>
          <w:szCs w:val="24"/>
        </w:rPr>
        <w:t>NIM</w:t>
      </w:r>
      <w:r w:rsidRPr="00CF41D2">
        <w:rPr>
          <w:szCs w:val="24"/>
        </w:rPr>
        <w:t xml:space="preserve"> </w:t>
      </w:r>
      <w:r w:rsidRPr="00CF41D2">
        <w:rPr>
          <w:sz w:val="28"/>
          <w:szCs w:val="28"/>
        </w:rPr>
        <w:t xml:space="preserve">- </w:t>
      </w:r>
      <w:r w:rsidRPr="00CF41D2">
        <w:rPr>
          <w:rFonts w:eastAsia="TimesNewRoman"/>
          <w:szCs w:val="24"/>
        </w:rPr>
        <w:t>Net Interest Margin</w:t>
      </w:r>
    </w:p>
    <w:p w:rsidR="00672193" w:rsidRPr="00CF41D2" w:rsidRDefault="00672193" w:rsidP="00672193">
      <w:pPr>
        <w:spacing w:after="100" w:line="360" w:lineRule="auto"/>
        <w:jc w:val="both"/>
        <w:rPr>
          <w:szCs w:val="24"/>
        </w:rPr>
      </w:pPr>
      <w:r w:rsidRPr="00CF41D2">
        <w:rPr>
          <w:b/>
          <w:szCs w:val="24"/>
        </w:rPr>
        <w:t>NPL</w:t>
      </w:r>
      <w:r w:rsidRPr="00CF41D2">
        <w:rPr>
          <w:szCs w:val="24"/>
        </w:rPr>
        <w:t xml:space="preserve"> </w:t>
      </w:r>
      <w:r w:rsidRPr="00CF41D2">
        <w:rPr>
          <w:sz w:val="28"/>
          <w:szCs w:val="28"/>
        </w:rPr>
        <w:t xml:space="preserve">- </w:t>
      </w:r>
      <w:r w:rsidRPr="00CF41D2">
        <w:rPr>
          <w:szCs w:val="24"/>
        </w:rPr>
        <w:t>Non-Performing Loans</w:t>
      </w:r>
    </w:p>
    <w:p w:rsidR="00672193" w:rsidRPr="00CF41D2" w:rsidRDefault="00672193" w:rsidP="00672193">
      <w:pPr>
        <w:spacing w:after="100" w:line="360" w:lineRule="auto"/>
        <w:jc w:val="both"/>
        <w:rPr>
          <w:szCs w:val="24"/>
        </w:rPr>
      </w:pPr>
      <w:r w:rsidRPr="00CF41D2">
        <w:rPr>
          <w:b/>
          <w:szCs w:val="24"/>
        </w:rPr>
        <w:t>NPLR</w:t>
      </w:r>
      <w:r w:rsidRPr="00CF41D2">
        <w:rPr>
          <w:szCs w:val="24"/>
        </w:rPr>
        <w:t xml:space="preserve"> </w:t>
      </w:r>
      <w:r w:rsidRPr="00CF41D2">
        <w:rPr>
          <w:sz w:val="28"/>
          <w:szCs w:val="28"/>
        </w:rPr>
        <w:t xml:space="preserve">- </w:t>
      </w:r>
      <w:r w:rsidRPr="00CF41D2">
        <w:rPr>
          <w:szCs w:val="24"/>
        </w:rPr>
        <w:t>Non-Performing Loans Ratio</w:t>
      </w:r>
    </w:p>
    <w:p w:rsidR="00672193" w:rsidRPr="00CF41D2" w:rsidRDefault="00672193" w:rsidP="00672193">
      <w:pPr>
        <w:spacing w:after="100" w:line="360" w:lineRule="auto"/>
        <w:jc w:val="both"/>
        <w:rPr>
          <w:szCs w:val="24"/>
        </w:rPr>
      </w:pPr>
      <w:r w:rsidRPr="00CF41D2">
        <w:rPr>
          <w:b/>
          <w:szCs w:val="24"/>
        </w:rPr>
        <w:t>ROA</w:t>
      </w:r>
      <w:r w:rsidRPr="00CF41D2">
        <w:rPr>
          <w:szCs w:val="24"/>
        </w:rPr>
        <w:t xml:space="preserve"> </w:t>
      </w:r>
      <w:r w:rsidRPr="00CF41D2">
        <w:rPr>
          <w:sz w:val="28"/>
          <w:szCs w:val="28"/>
        </w:rPr>
        <w:t xml:space="preserve">– </w:t>
      </w:r>
      <w:r w:rsidRPr="00CF41D2">
        <w:rPr>
          <w:szCs w:val="24"/>
        </w:rPr>
        <w:t>Return on Asset</w:t>
      </w:r>
    </w:p>
    <w:p w:rsidR="00672193" w:rsidRPr="00CF41D2" w:rsidRDefault="00672193" w:rsidP="00672193">
      <w:pPr>
        <w:spacing w:after="100" w:line="360" w:lineRule="auto"/>
        <w:jc w:val="both"/>
        <w:rPr>
          <w:szCs w:val="24"/>
        </w:rPr>
      </w:pPr>
      <w:r w:rsidRPr="00CF41D2">
        <w:rPr>
          <w:b/>
          <w:szCs w:val="24"/>
        </w:rPr>
        <w:t>ROE</w:t>
      </w:r>
      <w:r w:rsidRPr="00CF41D2">
        <w:rPr>
          <w:szCs w:val="24"/>
        </w:rPr>
        <w:t xml:space="preserve"> </w:t>
      </w:r>
      <w:r w:rsidRPr="00CF41D2">
        <w:rPr>
          <w:sz w:val="28"/>
          <w:szCs w:val="28"/>
        </w:rPr>
        <w:t xml:space="preserve">- </w:t>
      </w:r>
      <w:r w:rsidRPr="00CF41D2">
        <w:rPr>
          <w:szCs w:val="24"/>
        </w:rPr>
        <w:t>Return on Equity</w:t>
      </w:r>
    </w:p>
    <w:p w:rsidR="00672193" w:rsidRPr="00CF41D2" w:rsidRDefault="00672193" w:rsidP="00672193">
      <w:pPr>
        <w:spacing w:after="100" w:line="360" w:lineRule="auto"/>
        <w:jc w:val="both"/>
        <w:rPr>
          <w:szCs w:val="24"/>
        </w:rPr>
      </w:pPr>
      <w:r w:rsidRPr="00CF41D2">
        <w:rPr>
          <w:b/>
          <w:szCs w:val="24"/>
        </w:rPr>
        <w:t>UFIRS</w:t>
      </w:r>
      <w:r w:rsidRPr="00CF41D2">
        <w:rPr>
          <w:szCs w:val="24"/>
        </w:rPr>
        <w:t xml:space="preserve"> </w:t>
      </w:r>
      <w:r w:rsidRPr="00CF41D2">
        <w:rPr>
          <w:sz w:val="28"/>
          <w:szCs w:val="28"/>
        </w:rPr>
        <w:t xml:space="preserve">- </w:t>
      </w:r>
      <w:r w:rsidRPr="00CF41D2">
        <w:rPr>
          <w:szCs w:val="24"/>
        </w:rPr>
        <w:t>Uniform Financial Institution Rating System</w:t>
      </w: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Pr="00CF41D2" w:rsidRDefault="00672193" w:rsidP="00672193">
      <w:pPr>
        <w:spacing w:after="100" w:line="360" w:lineRule="auto"/>
        <w:jc w:val="both"/>
        <w:rPr>
          <w:szCs w:val="24"/>
        </w:rPr>
      </w:pPr>
    </w:p>
    <w:p w:rsidR="00672193" w:rsidRDefault="00672193" w:rsidP="00672193">
      <w:pPr>
        <w:spacing w:after="100" w:line="360" w:lineRule="auto"/>
        <w:jc w:val="both"/>
        <w:rPr>
          <w:szCs w:val="24"/>
        </w:rPr>
      </w:pPr>
    </w:p>
    <w:p w:rsidR="007B6B0D" w:rsidRPr="00CF41D2" w:rsidRDefault="007B6B0D" w:rsidP="00672193">
      <w:pPr>
        <w:spacing w:after="100" w:line="360" w:lineRule="auto"/>
        <w:jc w:val="both"/>
        <w:rPr>
          <w:szCs w:val="24"/>
        </w:rPr>
      </w:pPr>
    </w:p>
    <w:p w:rsidR="00672193" w:rsidRPr="00CF41D2" w:rsidRDefault="00672193" w:rsidP="00672193">
      <w:pPr>
        <w:pStyle w:val="Heading1"/>
        <w:spacing w:before="0" w:after="100" w:line="360" w:lineRule="auto"/>
        <w:rPr>
          <w:rFonts w:cs="Times New Roman"/>
          <w:i/>
          <w:color w:val="auto"/>
          <w:sz w:val="2"/>
        </w:rPr>
      </w:pPr>
    </w:p>
    <w:p w:rsidR="00672193" w:rsidRPr="00CF41D2" w:rsidRDefault="00672193" w:rsidP="00672193">
      <w:pPr>
        <w:pStyle w:val="Heading1"/>
        <w:spacing w:before="0" w:after="100" w:line="360" w:lineRule="auto"/>
        <w:jc w:val="center"/>
        <w:rPr>
          <w:rFonts w:cs="Times New Roman"/>
          <w:i/>
          <w:color w:val="auto"/>
        </w:rPr>
      </w:pPr>
      <w:bookmarkStart w:id="7" w:name="_Toc73104262"/>
      <w:r w:rsidRPr="00CF41D2">
        <w:rPr>
          <w:rFonts w:cs="Times New Roman"/>
          <w:i/>
          <w:color w:val="auto"/>
        </w:rPr>
        <w:t>ABSTRACT</w:t>
      </w:r>
      <w:bookmarkEnd w:id="7"/>
    </w:p>
    <w:p w:rsidR="006F639D" w:rsidRPr="006F639D" w:rsidRDefault="006F639D" w:rsidP="006F639D">
      <w:pPr>
        <w:widowControl w:val="0"/>
        <w:overflowPunct w:val="0"/>
        <w:autoSpaceDE w:val="0"/>
        <w:autoSpaceDN w:val="0"/>
        <w:adjustRightInd w:val="0"/>
        <w:spacing w:after="0" w:line="360" w:lineRule="auto"/>
        <w:ind w:right="40"/>
        <w:jc w:val="both"/>
        <w:rPr>
          <w:i/>
          <w:szCs w:val="24"/>
        </w:rPr>
      </w:pPr>
      <w:r w:rsidRPr="006F639D">
        <w:rPr>
          <w:i/>
          <w:szCs w:val="24"/>
        </w:rPr>
        <w:t>This study is aimed to evaluating the financial</w:t>
      </w:r>
      <w:r w:rsidRPr="006F639D">
        <w:rPr>
          <w:i/>
          <w:iCs/>
          <w:szCs w:val="24"/>
        </w:rPr>
        <w:t xml:space="preserve"> </w:t>
      </w:r>
      <w:r w:rsidRPr="006F639D">
        <w:rPr>
          <w:i/>
          <w:szCs w:val="24"/>
        </w:rPr>
        <w:t>performance of CBE for the period 2011 to 2020 using CAMEL rating approach. To meet the objective of the study, the study employed explanatory research design using secondary sources of data, such as annual reports of the bank have been utilized. After collecting the necessary data, appropriate financial ratios and descriptive statistical techniques were employed for analyzing, interpreting and giving a condensed picture of the collected data. Accordingly, the results of the study revealed that the financial performance of the bank had kept on improving over time. Besides, the bank has performed well in making capital and efficiently managing its assets for generating revenue, whereas there is a need for improvement in its measuring performance by adding the recent developments for financial performance analysis.</w:t>
      </w:r>
    </w:p>
    <w:p w:rsidR="00672193" w:rsidRPr="006F639D" w:rsidRDefault="006F639D" w:rsidP="006F639D">
      <w:pPr>
        <w:spacing w:line="360" w:lineRule="auto"/>
        <w:jc w:val="both"/>
        <w:rPr>
          <w:i/>
          <w:szCs w:val="24"/>
        </w:rPr>
        <w:sectPr w:rsidR="00672193" w:rsidRPr="006F639D" w:rsidSect="00642B54">
          <w:pgSz w:w="11907" w:h="16839" w:code="9"/>
          <w:pgMar w:top="1440" w:right="1440" w:bottom="1440" w:left="1800" w:header="720" w:footer="720" w:gutter="0"/>
          <w:pgNumType w:fmt="lowerRoman" w:start="1"/>
          <w:cols w:space="720"/>
          <w:docGrid w:linePitch="360"/>
        </w:sectPr>
      </w:pPr>
      <w:r w:rsidRPr="006F639D">
        <w:rPr>
          <w:b/>
          <w:i/>
          <w:szCs w:val="24"/>
        </w:rPr>
        <w:t>Key Words: Financial Performance, Ratios, Commercial Bank of Ethiopia, CAMEL</w:t>
      </w:r>
      <w:r w:rsidR="00672193" w:rsidRPr="006F639D">
        <w:rPr>
          <w:b/>
          <w:i/>
          <w:szCs w:val="24"/>
        </w:rPr>
        <w:t>.</w:t>
      </w:r>
    </w:p>
    <w:p w:rsidR="00672193" w:rsidRPr="00CF41D2" w:rsidRDefault="00672193" w:rsidP="00672193">
      <w:pPr>
        <w:pStyle w:val="Heading1"/>
        <w:spacing w:before="0" w:after="100" w:line="360" w:lineRule="auto"/>
        <w:jc w:val="center"/>
        <w:rPr>
          <w:rFonts w:cs="Times New Roman"/>
          <w:color w:val="auto"/>
        </w:rPr>
      </w:pPr>
      <w:bookmarkStart w:id="8" w:name="_Toc511725905"/>
      <w:bookmarkStart w:id="9" w:name="_Toc73104263"/>
      <w:r w:rsidRPr="00CF41D2">
        <w:rPr>
          <w:rFonts w:cs="Times New Roman"/>
          <w:color w:val="auto"/>
        </w:rPr>
        <w:lastRenderedPageBreak/>
        <w:t>CHAPTER ONE</w:t>
      </w:r>
      <w:bookmarkEnd w:id="8"/>
      <w:bookmarkEnd w:id="9"/>
    </w:p>
    <w:p w:rsidR="00672193" w:rsidRPr="00CF41D2" w:rsidRDefault="00672193" w:rsidP="00672193">
      <w:pPr>
        <w:pStyle w:val="ListParagraph"/>
        <w:numPr>
          <w:ilvl w:val="0"/>
          <w:numId w:val="48"/>
        </w:numPr>
        <w:autoSpaceDE w:val="0"/>
        <w:autoSpaceDN w:val="0"/>
        <w:adjustRightInd w:val="0"/>
        <w:spacing w:after="0" w:line="360" w:lineRule="auto"/>
        <w:jc w:val="both"/>
        <w:rPr>
          <w:b/>
          <w:bCs/>
          <w:sz w:val="26"/>
          <w:szCs w:val="26"/>
        </w:rPr>
      </w:pPr>
      <w:r w:rsidRPr="00CF41D2">
        <w:rPr>
          <w:b/>
          <w:bCs/>
          <w:sz w:val="26"/>
          <w:szCs w:val="26"/>
        </w:rPr>
        <w:t>INTRODUCTION</w:t>
      </w:r>
    </w:p>
    <w:p w:rsidR="00672193" w:rsidRPr="00CF41D2" w:rsidRDefault="00672193" w:rsidP="00672193">
      <w:pPr>
        <w:pStyle w:val="ListParagraph"/>
        <w:numPr>
          <w:ilvl w:val="0"/>
          <w:numId w:val="47"/>
        </w:numPr>
        <w:autoSpaceDE w:val="0"/>
        <w:autoSpaceDN w:val="0"/>
        <w:adjustRightInd w:val="0"/>
        <w:spacing w:after="0" w:line="360" w:lineRule="auto"/>
        <w:jc w:val="both"/>
        <w:rPr>
          <w:b/>
          <w:bCs/>
          <w:szCs w:val="24"/>
        </w:rPr>
      </w:pPr>
      <w:r w:rsidRPr="00CF41D2">
        <w:rPr>
          <w:b/>
          <w:bCs/>
          <w:szCs w:val="24"/>
        </w:rPr>
        <w:t xml:space="preserve"> Back Ground of the Study</w:t>
      </w:r>
    </w:p>
    <w:p w:rsidR="00672193" w:rsidRPr="00CF41D2" w:rsidRDefault="00672193" w:rsidP="00672193">
      <w:pPr>
        <w:tabs>
          <w:tab w:val="left" w:pos="8910"/>
          <w:tab w:val="left" w:pos="9000"/>
        </w:tabs>
        <w:autoSpaceDE w:val="0"/>
        <w:autoSpaceDN w:val="0"/>
        <w:adjustRightInd w:val="0"/>
        <w:spacing w:after="0" w:line="360" w:lineRule="auto"/>
        <w:jc w:val="both"/>
        <w:rPr>
          <w:szCs w:val="24"/>
        </w:rPr>
      </w:pPr>
      <w:r w:rsidRPr="00CF41D2">
        <w:rPr>
          <w:szCs w:val="24"/>
        </w:rPr>
        <w:t>Financial sector of an economy plays an important role in its economic development and prosperity of the country. Banking industry serves as the backbone of the financial sector that accumulates saving from surplus economic units in the form of deposits and provides it to deficit economic units in the form of advances. Banking industry provides support to the economy in general and industries in particular in the time of recessions and economic crisis. But when banks are at the heart of economic recession or banks are the cause of financial crisis like the recent past financial crisis 2007-09, it makes the situation worst for economic recovery. So it is of great importance to keenly observe the performance of the banks and their compliance with the regulatory requirements.</w:t>
      </w:r>
    </w:p>
    <w:p w:rsidR="00672193" w:rsidRPr="00CF41D2" w:rsidRDefault="00672193" w:rsidP="00672193">
      <w:pPr>
        <w:autoSpaceDE w:val="0"/>
        <w:autoSpaceDN w:val="0"/>
        <w:adjustRightInd w:val="0"/>
        <w:spacing w:after="0" w:line="360" w:lineRule="auto"/>
        <w:jc w:val="both"/>
        <w:rPr>
          <w:szCs w:val="24"/>
        </w:rPr>
      </w:pPr>
    </w:p>
    <w:p w:rsidR="00672193" w:rsidRPr="00CF41D2" w:rsidRDefault="00672193" w:rsidP="00672193">
      <w:pPr>
        <w:autoSpaceDE w:val="0"/>
        <w:autoSpaceDN w:val="0"/>
        <w:adjustRightInd w:val="0"/>
        <w:spacing w:after="0" w:line="360" w:lineRule="auto"/>
        <w:jc w:val="both"/>
        <w:rPr>
          <w:szCs w:val="24"/>
        </w:rPr>
      </w:pPr>
      <w:r w:rsidRPr="00CF41D2">
        <w:rPr>
          <w:szCs w:val="24"/>
        </w:rPr>
        <w:t xml:space="preserve"> Performance of banks is measured at two levels, one is at the management and regulatory level of the banks and another is at external rating agencies. Purpose of regulatory and supervisory rating systems is to measure the bank performance at internal level and its compliance with regulatory requirements to keep the bank on right track. These ratings are highly confidential and are only available to the bank management. External credit rating agencies examine and evaluate banks and issue ratings for the general public and investors in particulars. It is of great importance that both these ratings present the same results about the condition of the banks to provide clear information to investors and management. In the past several banks suffer from bankruptcy that suggests the failure of both internal rating systems and credit rating agencies.</w:t>
      </w:r>
    </w:p>
    <w:p w:rsidR="00672193" w:rsidRPr="00CF41D2" w:rsidRDefault="00672193" w:rsidP="00672193">
      <w:pPr>
        <w:autoSpaceDE w:val="0"/>
        <w:autoSpaceDN w:val="0"/>
        <w:adjustRightInd w:val="0"/>
        <w:spacing w:after="0" w:line="360" w:lineRule="auto"/>
        <w:jc w:val="both"/>
        <w:rPr>
          <w:szCs w:val="24"/>
        </w:rPr>
      </w:pPr>
    </w:p>
    <w:p w:rsidR="00672193" w:rsidRDefault="00672193" w:rsidP="00672193">
      <w:pPr>
        <w:autoSpaceDE w:val="0"/>
        <w:autoSpaceDN w:val="0"/>
        <w:adjustRightInd w:val="0"/>
        <w:spacing w:after="0" w:line="360" w:lineRule="auto"/>
        <w:jc w:val="both"/>
        <w:rPr>
          <w:szCs w:val="24"/>
        </w:rPr>
      </w:pPr>
      <w:r w:rsidRPr="00CF41D2">
        <w:rPr>
          <w:szCs w:val="24"/>
        </w:rPr>
        <w:t xml:space="preserve">The banking environment in Ethiopia has, for the two decades, undergone many regulatory and financial reforms like other African countries and the rest of developing world. These reforms have brought about many structural changes in the banking sector of the country and have also </w:t>
      </w:r>
    </w:p>
    <w:p w:rsidR="00672193" w:rsidRPr="00CF41D2" w:rsidRDefault="00672193" w:rsidP="00672193">
      <w:pPr>
        <w:autoSpaceDE w:val="0"/>
        <w:autoSpaceDN w:val="0"/>
        <w:adjustRightInd w:val="0"/>
        <w:spacing w:after="0" w:line="360" w:lineRule="auto"/>
        <w:jc w:val="both"/>
        <w:rPr>
          <w:szCs w:val="24"/>
        </w:rPr>
      </w:pPr>
      <w:proofErr w:type="gramStart"/>
      <w:r w:rsidRPr="00CF41D2">
        <w:rPr>
          <w:szCs w:val="24"/>
        </w:rPr>
        <w:t>encouraged</w:t>
      </w:r>
      <w:proofErr w:type="gramEnd"/>
      <w:r w:rsidRPr="00CF41D2">
        <w:rPr>
          <w:szCs w:val="24"/>
        </w:rPr>
        <w:t xml:space="preserve"> private banks to enter and expand their operations in the industry (</w:t>
      </w:r>
      <w:proofErr w:type="spellStart"/>
      <w:r w:rsidRPr="00CF41D2">
        <w:rPr>
          <w:szCs w:val="24"/>
        </w:rPr>
        <w:t>Lelissa</w:t>
      </w:r>
      <w:proofErr w:type="spellEnd"/>
      <w:r w:rsidRPr="00CF41D2">
        <w:rPr>
          <w:szCs w:val="24"/>
        </w:rPr>
        <w:t xml:space="preserve"> 2007). Despite these changes, currently, the banking industry in Ethiopia is characterized by operational inefficiency, little and insufficient competition and perhaps can be distinguished by its market concentration towards the big government owned commercial bank and having undiversified ownership structure (</w:t>
      </w:r>
      <w:proofErr w:type="spellStart"/>
      <w:r w:rsidRPr="00CF41D2">
        <w:rPr>
          <w:szCs w:val="24"/>
        </w:rPr>
        <w:t>Lelisa</w:t>
      </w:r>
      <w:proofErr w:type="spellEnd"/>
      <w:r w:rsidRPr="00CF41D2">
        <w:rPr>
          <w:szCs w:val="24"/>
        </w:rPr>
        <w:t xml:space="preserve"> 2007). The existence of less efficiency and little &amp; insufficient competition in the country’s banking industry is a clear indicator of relatively poor performance </w:t>
      </w:r>
      <w:r w:rsidRPr="00CF41D2">
        <w:rPr>
          <w:szCs w:val="24"/>
        </w:rPr>
        <w:lastRenderedPageBreak/>
        <w:t xml:space="preserve">of the sector compared to the developed world financial institutions. Thus, it is important to evaluate the banks performance critically for an efficient management of banking operations as well as to ensure financial soundness of the banking industry. In light of the above, the purpose of this </w:t>
      </w:r>
      <w:proofErr w:type="gramStart"/>
      <w:r w:rsidRPr="00CF41D2">
        <w:rPr>
          <w:szCs w:val="24"/>
        </w:rPr>
        <w:t>was  to</w:t>
      </w:r>
      <w:proofErr w:type="gramEnd"/>
      <w:r w:rsidRPr="00CF41D2">
        <w:rPr>
          <w:szCs w:val="24"/>
        </w:rPr>
        <w:t xml:space="preserve"> evaluate the financial performance of CBE using CAMEL model. This model is the supervisory and regulatory rating system. It takes into account six important components of a bank when it evaluates the financial performance of CBE. These components are Capital, Assets, Management, Earning, Liquidity and Sensitivity to market risk. Ratings is assigned to theses components on the scale of 1 to 5 and that is a base for composite rating that also ranged from 1 to 5.</w:t>
      </w:r>
    </w:p>
    <w:p w:rsidR="00672193" w:rsidRPr="00CF41D2" w:rsidRDefault="00672193" w:rsidP="00672193">
      <w:pPr>
        <w:pStyle w:val="ListParagraph"/>
        <w:numPr>
          <w:ilvl w:val="0"/>
          <w:numId w:val="46"/>
        </w:numPr>
        <w:autoSpaceDE w:val="0"/>
        <w:autoSpaceDN w:val="0"/>
        <w:adjustRightInd w:val="0"/>
        <w:spacing w:after="0" w:line="360" w:lineRule="auto"/>
        <w:ind w:left="630"/>
        <w:jc w:val="both"/>
        <w:rPr>
          <w:b/>
          <w:bCs/>
          <w:szCs w:val="24"/>
        </w:rPr>
      </w:pPr>
      <w:r w:rsidRPr="00CF41D2">
        <w:rPr>
          <w:b/>
          <w:bCs/>
          <w:szCs w:val="24"/>
        </w:rPr>
        <w:t xml:space="preserve"> Overview of the Ethiopian banking System</w:t>
      </w:r>
    </w:p>
    <w:p w:rsidR="00672193" w:rsidRPr="00CF41D2" w:rsidRDefault="00672193" w:rsidP="00672193">
      <w:pPr>
        <w:autoSpaceDE w:val="0"/>
        <w:autoSpaceDN w:val="0"/>
        <w:adjustRightInd w:val="0"/>
        <w:spacing w:after="0" w:line="360" w:lineRule="auto"/>
        <w:jc w:val="both"/>
        <w:rPr>
          <w:szCs w:val="24"/>
        </w:rPr>
      </w:pPr>
      <w:r w:rsidRPr="00CF41D2">
        <w:rPr>
          <w:szCs w:val="24"/>
        </w:rPr>
        <w:t xml:space="preserve">Modern banking in Ethiopia started in 1905 with the establishment of Abyssinian Bank which was based on a fifty year agreement with the Anglo-Egyptian National Bank. In 1908 </w:t>
      </w:r>
      <w:proofErr w:type="spellStart"/>
      <w:r w:rsidRPr="00CF41D2">
        <w:rPr>
          <w:szCs w:val="24"/>
        </w:rPr>
        <w:t>Socite</w:t>
      </w:r>
      <w:proofErr w:type="spellEnd"/>
      <w:r w:rsidRPr="00CF41D2">
        <w:rPr>
          <w:szCs w:val="24"/>
        </w:rPr>
        <w:t xml:space="preserve"> National </w:t>
      </w:r>
      <w:proofErr w:type="spellStart"/>
      <w:r w:rsidRPr="00CF41D2">
        <w:rPr>
          <w:szCs w:val="24"/>
        </w:rPr>
        <w:t>d’Ethiope</w:t>
      </w:r>
      <w:proofErr w:type="spellEnd"/>
      <w:r w:rsidRPr="00CF41D2">
        <w:rPr>
          <w:szCs w:val="24"/>
        </w:rPr>
        <w:t xml:space="preserve"> pour le Development Dei’ Agriculture </w:t>
      </w:r>
      <w:proofErr w:type="gramStart"/>
      <w:r w:rsidRPr="00CF41D2">
        <w:rPr>
          <w:szCs w:val="24"/>
        </w:rPr>
        <w:t>et</w:t>
      </w:r>
      <w:proofErr w:type="gramEnd"/>
      <w:r w:rsidRPr="00CF41D2">
        <w:rPr>
          <w:szCs w:val="24"/>
        </w:rPr>
        <w:t xml:space="preserve"> du and two other foreign banks (</w:t>
      </w:r>
      <w:proofErr w:type="spellStart"/>
      <w:r w:rsidRPr="00CF41D2">
        <w:rPr>
          <w:szCs w:val="24"/>
        </w:rPr>
        <w:t>i.e</w:t>
      </w:r>
      <w:proofErr w:type="spellEnd"/>
      <w:r w:rsidRPr="00CF41D2">
        <w:rPr>
          <w:szCs w:val="24"/>
        </w:rPr>
        <w:t xml:space="preserve"> </w:t>
      </w:r>
      <w:proofErr w:type="spellStart"/>
      <w:r w:rsidRPr="00CF41D2">
        <w:rPr>
          <w:szCs w:val="24"/>
        </w:rPr>
        <w:t>Banque</w:t>
      </w:r>
      <w:proofErr w:type="spellEnd"/>
      <w:r w:rsidRPr="00CF41D2">
        <w:rPr>
          <w:szCs w:val="24"/>
        </w:rPr>
        <w:t xml:space="preserve"> de </w:t>
      </w:r>
      <w:proofErr w:type="spellStart"/>
      <w:r w:rsidRPr="00CF41D2">
        <w:rPr>
          <w:szCs w:val="24"/>
        </w:rPr>
        <w:t>l’Indochine</w:t>
      </w:r>
      <w:proofErr w:type="spellEnd"/>
      <w:r w:rsidRPr="00CF41D2">
        <w:rPr>
          <w:szCs w:val="24"/>
        </w:rPr>
        <w:t xml:space="preserve"> and the </w:t>
      </w:r>
      <w:proofErr w:type="spellStart"/>
      <w:r w:rsidRPr="00CF41D2">
        <w:rPr>
          <w:szCs w:val="24"/>
        </w:rPr>
        <w:t>Compagnie</w:t>
      </w:r>
      <w:proofErr w:type="spellEnd"/>
      <w:r w:rsidRPr="00CF41D2">
        <w:rPr>
          <w:szCs w:val="24"/>
        </w:rPr>
        <w:t xml:space="preserve"> del’ </w:t>
      </w:r>
      <w:proofErr w:type="spellStart"/>
      <w:r w:rsidRPr="00CF41D2">
        <w:rPr>
          <w:szCs w:val="24"/>
        </w:rPr>
        <w:t>Afrique</w:t>
      </w:r>
      <w:proofErr w:type="spellEnd"/>
      <w:r w:rsidRPr="00CF41D2">
        <w:rPr>
          <w:szCs w:val="24"/>
        </w:rPr>
        <w:t xml:space="preserve"> Orientale) were also established (</w:t>
      </w:r>
      <w:proofErr w:type="spellStart"/>
      <w:r w:rsidRPr="00CF41D2">
        <w:rPr>
          <w:szCs w:val="24"/>
        </w:rPr>
        <w:t>Degefe</w:t>
      </w:r>
      <w:proofErr w:type="spellEnd"/>
      <w:r w:rsidRPr="00CF41D2">
        <w:rPr>
          <w:szCs w:val="24"/>
        </w:rPr>
        <w:t xml:space="preserve"> 1995 cited in </w:t>
      </w:r>
      <w:proofErr w:type="spellStart"/>
      <w:r w:rsidRPr="00CF41D2">
        <w:rPr>
          <w:szCs w:val="24"/>
        </w:rPr>
        <w:t>Geda</w:t>
      </w:r>
      <w:proofErr w:type="spellEnd"/>
      <w:r w:rsidRPr="00CF41D2">
        <w:rPr>
          <w:szCs w:val="24"/>
        </w:rPr>
        <w:t xml:space="preserve"> 2006). As noted in </w:t>
      </w:r>
      <w:proofErr w:type="spellStart"/>
      <w:r w:rsidRPr="00CF41D2">
        <w:rPr>
          <w:szCs w:val="24"/>
        </w:rPr>
        <w:t>Geda</w:t>
      </w:r>
      <w:proofErr w:type="spellEnd"/>
      <w:r w:rsidRPr="00CF41D2">
        <w:rPr>
          <w:szCs w:val="24"/>
        </w:rPr>
        <w:t xml:space="preserve"> (2006) these banks were criticized for being wholly foreign owned. In 1931 the Ethiopian government purchased the Abyssinian Bank, which was the dominant bank, and renamed it the Bank of Ethiopia. i.e., the first nationally owned bank on the African continent (</w:t>
      </w:r>
      <w:proofErr w:type="spellStart"/>
      <w:r w:rsidRPr="00CF41D2">
        <w:rPr>
          <w:szCs w:val="24"/>
        </w:rPr>
        <w:t>Gedey</w:t>
      </w:r>
      <w:proofErr w:type="spellEnd"/>
      <w:r w:rsidRPr="00CF41D2">
        <w:rPr>
          <w:szCs w:val="24"/>
        </w:rPr>
        <w:t xml:space="preserve"> 1990, pp. 83, cited in </w:t>
      </w:r>
      <w:proofErr w:type="spellStart"/>
      <w:r w:rsidRPr="00CF41D2">
        <w:rPr>
          <w:szCs w:val="24"/>
        </w:rPr>
        <w:t>Geda</w:t>
      </w:r>
      <w:proofErr w:type="spellEnd"/>
      <w:r w:rsidRPr="00CF41D2">
        <w:rPr>
          <w:szCs w:val="24"/>
        </w:rPr>
        <w:t xml:space="preserve"> 2006).</w:t>
      </w:r>
    </w:p>
    <w:p w:rsidR="00672193" w:rsidRPr="00CF41D2" w:rsidRDefault="00672193" w:rsidP="00672193">
      <w:pPr>
        <w:spacing w:line="360" w:lineRule="auto"/>
        <w:jc w:val="both"/>
        <w:rPr>
          <w:szCs w:val="24"/>
        </w:rPr>
      </w:pPr>
      <w:r w:rsidRPr="00CF41D2">
        <w:rPr>
          <w:szCs w:val="24"/>
        </w:rPr>
        <w:t>During the five-years of Italian occupation i.e. during the period 1936-41 banking activity of the country was relatively expanded. In that time, the Italian banks were particularly active. As a result, most of the banks that were in operation during this period were Italian banks. After independence from Italy’s brief occupation, where the role of Britain was paramount owing to its strategic planning during the Second World War, Barclays Bank was established and it remained in business in Ethiopia between 1941 and 1943 (</w:t>
      </w:r>
      <w:proofErr w:type="spellStart"/>
      <w:r w:rsidRPr="00CF41D2">
        <w:rPr>
          <w:szCs w:val="24"/>
        </w:rPr>
        <w:t>Degefe</w:t>
      </w:r>
      <w:proofErr w:type="spellEnd"/>
      <w:r w:rsidRPr="00CF41D2">
        <w:rPr>
          <w:szCs w:val="24"/>
        </w:rPr>
        <w:t xml:space="preserve"> 1995 cited in </w:t>
      </w:r>
      <w:proofErr w:type="spellStart"/>
      <w:r w:rsidRPr="00CF41D2">
        <w:rPr>
          <w:szCs w:val="24"/>
        </w:rPr>
        <w:t>Geda</w:t>
      </w:r>
      <w:proofErr w:type="spellEnd"/>
      <w:r w:rsidRPr="00CF41D2">
        <w:rPr>
          <w:szCs w:val="24"/>
        </w:rPr>
        <w:t xml:space="preserve"> 2006). Following this, in 1943 the Ethiopian government established the State Bank of Ethiopia. As noted in </w:t>
      </w:r>
      <w:proofErr w:type="spellStart"/>
      <w:r w:rsidRPr="00CF41D2">
        <w:rPr>
          <w:szCs w:val="24"/>
        </w:rPr>
        <w:t>Degefe</w:t>
      </w:r>
      <w:proofErr w:type="spellEnd"/>
      <w:r w:rsidRPr="00CF41D2">
        <w:rPr>
          <w:szCs w:val="24"/>
        </w:rPr>
        <w:t xml:space="preserve"> (1995 cited in </w:t>
      </w:r>
      <w:proofErr w:type="spellStart"/>
      <w:r w:rsidRPr="00CF41D2">
        <w:rPr>
          <w:szCs w:val="24"/>
        </w:rPr>
        <w:t>Geda</w:t>
      </w:r>
      <w:proofErr w:type="spellEnd"/>
      <w:r w:rsidRPr="00CF41D2">
        <w:rPr>
          <w:szCs w:val="24"/>
        </w:rPr>
        <w:t xml:space="preserve"> 2006) the establishment of the Bank by Ethiopia was a painful process because Britain was against it. The Bank of Ethiopia was operating as both a commercial and a central bank until 1963 when it was remodeled into today’s National Bank of Ethiopia</w:t>
      </w:r>
    </w:p>
    <w:p w:rsidR="00672193" w:rsidRPr="00CF41D2" w:rsidRDefault="00672193" w:rsidP="00672193">
      <w:pPr>
        <w:autoSpaceDE w:val="0"/>
        <w:autoSpaceDN w:val="0"/>
        <w:adjustRightInd w:val="0"/>
        <w:spacing w:after="0" w:line="360" w:lineRule="auto"/>
        <w:jc w:val="both"/>
        <w:rPr>
          <w:szCs w:val="24"/>
        </w:rPr>
      </w:pPr>
      <w:r w:rsidRPr="00CF41D2">
        <w:rPr>
          <w:szCs w:val="24"/>
        </w:rPr>
        <w:t>(NBE) (</w:t>
      </w:r>
      <w:proofErr w:type="gramStart"/>
      <w:r w:rsidRPr="00CF41D2">
        <w:rPr>
          <w:szCs w:val="24"/>
        </w:rPr>
        <w:t>the</w:t>
      </w:r>
      <w:proofErr w:type="gramEnd"/>
      <w:r w:rsidRPr="00CF41D2">
        <w:rPr>
          <w:szCs w:val="24"/>
        </w:rPr>
        <w:t xml:space="preserve"> Central Bank, re-established in 1976) and The history of CBE dates back to the establishment of the state bank of Ethiopia in 1942. CBE was legally established as a share company in 1963. CBE is the largest commercial bank in Ethiopia. As stated in (</w:t>
      </w:r>
      <w:proofErr w:type="spellStart"/>
      <w:r w:rsidRPr="00CF41D2">
        <w:rPr>
          <w:szCs w:val="24"/>
        </w:rPr>
        <w:t>Degefe</w:t>
      </w:r>
      <w:proofErr w:type="spellEnd"/>
      <w:r w:rsidRPr="00CF41D2">
        <w:rPr>
          <w:szCs w:val="24"/>
        </w:rPr>
        <w:t xml:space="preserve"> 1995 cited in </w:t>
      </w:r>
      <w:proofErr w:type="spellStart"/>
      <w:r w:rsidRPr="00CF41D2">
        <w:rPr>
          <w:szCs w:val="24"/>
        </w:rPr>
        <w:t>Geda</w:t>
      </w:r>
      <w:proofErr w:type="spellEnd"/>
      <w:r w:rsidRPr="00CF41D2">
        <w:rPr>
          <w:szCs w:val="24"/>
        </w:rPr>
        <w:t xml:space="preserve"> 2006), all privately owned financial institutions including three commercial banks, </w:t>
      </w:r>
      <w:r w:rsidRPr="00CF41D2">
        <w:rPr>
          <w:szCs w:val="24"/>
        </w:rPr>
        <w:lastRenderedPageBreak/>
        <w:t xml:space="preserve">thirteen insurance companies, and two non-bank financial intermediaries were nationalized on 1 January 1975. The nationalized banks were reorganized and one commercial bank (the CBE), a national bank (recreated in 1976), two specialized banks i.e., the Agricultural and Industrial Bank, renamed recently as the Development Bank of Ethiopia and a Housing and Saving Bank, renamed recently as the CBB, and one insurance company (Ethiopian Insurance Company) were formed. Following the regime change in 1991 and the liberalization policy in 1992, these financial institutions were reorganized to work to a market-oriented policy framework. Moreover, new privately owned financial institutions were also allowed to work alongside the publicly owned ones. As a result, currently, the country has two public owned and sixteen private commercial banks, the largest and public owned bank, Commercial Bank of Ethiopia (CBE) is among one of them. </w:t>
      </w:r>
      <w:proofErr w:type="gramStart"/>
      <w:r w:rsidRPr="00CF41D2">
        <w:rPr>
          <w:szCs w:val="24"/>
        </w:rPr>
        <w:t>it</w:t>
      </w:r>
      <w:proofErr w:type="gramEnd"/>
      <w:r w:rsidRPr="00CF41D2">
        <w:rPr>
          <w:szCs w:val="24"/>
        </w:rPr>
        <w:t xml:space="preserve"> is the largest commercial bank in Ethiopia. The existence of insufficient competition in the country’s banking industry is a clear indication of relatively poor performance of the sector. Thus, it is important to evaluate the banks performance critically for an efficient management of banking operations as well as to ensure financial soundness of the banking industry. In light of the above issues, the purpose of this study is to evaluate the financial performance of CBE using a CAMEL model</w:t>
      </w:r>
    </w:p>
    <w:p w:rsidR="00672193" w:rsidRPr="005228B4" w:rsidRDefault="00672193" w:rsidP="00672193">
      <w:pPr>
        <w:pStyle w:val="Heading2"/>
        <w:numPr>
          <w:ilvl w:val="1"/>
          <w:numId w:val="43"/>
        </w:numPr>
        <w:spacing w:before="0" w:after="100" w:line="360" w:lineRule="auto"/>
        <w:jc w:val="both"/>
        <w:rPr>
          <w:color w:val="auto"/>
          <w:sz w:val="24"/>
          <w:szCs w:val="24"/>
        </w:rPr>
      </w:pPr>
      <w:bookmarkStart w:id="10" w:name="_Toc511725907"/>
      <w:bookmarkStart w:id="11" w:name="_Toc73104264"/>
      <w:r w:rsidRPr="005228B4">
        <w:rPr>
          <w:color w:val="auto"/>
          <w:sz w:val="24"/>
          <w:szCs w:val="24"/>
        </w:rPr>
        <w:t>Statements of the Problem</w:t>
      </w:r>
      <w:bookmarkEnd w:id="10"/>
      <w:bookmarkEnd w:id="11"/>
    </w:p>
    <w:p w:rsidR="00672193" w:rsidRPr="00CF41D2" w:rsidRDefault="00672193" w:rsidP="00672193">
      <w:pPr>
        <w:widowControl w:val="0"/>
        <w:overflowPunct w:val="0"/>
        <w:autoSpaceDE w:val="0"/>
        <w:autoSpaceDN w:val="0"/>
        <w:adjustRightInd w:val="0"/>
        <w:spacing w:line="360" w:lineRule="auto"/>
        <w:jc w:val="both"/>
        <w:rPr>
          <w:bCs/>
          <w:szCs w:val="24"/>
        </w:rPr>
      </w:pPr>
      <w:r w:rsidRPr="00CF41D2">
        <w:rPr>
          <w:szCs w:val="24"/>
        </w:rPr>
        <w:t xml:space="preserve">Banking industry serves as the backbone of the financial sector that accumulates saving from surplus economic units in the form of deposits and provides it to deficit economic units in the form of loans and advances. Commercial banks play a key role in maintaining the stability of the nation by monitoring the flow of resources among the units. </w:t>
      </w:r>
      <w:r w:rsidRPr="00CF41D2">
        <w:rPr>
          <w:bCs/>
          <w:szCs w:val="24"/>
        </w:rPr>
        <w:t>The function and significance of banking sector cannot be under estimated in the development of an economy. The strength of economy of any country basically hinges on the strength and efficiency of financial system, which, in turn, depends upon a sound banking system (</w:t>
      </w:r>
      <w:proofErr w:type="spellStart"/>
      <w:r w:rsidRPr="00CF41D2">
        <w:rPr>
          <w:noProof/>
          <w:szCs w:val="24"/>
        </w:rPr>
        <w:t>Aspal</w:t>
      </w:r>
      <w:proofErr w:type="spellEnd"/>
      <w:r w:rsidRPr="00CF41D2">
        <w:rPr>
          <w:noProof/>
          <w:szCs w:val="24"/>
        </w:rPr>
        <w:t xml:space="preserve"> &amp; Dhawan, 2016</w:t>
      </w:r>
      <w:r w:rsidRPr="00CF41D2">
        <w:rPr>
          <w:bCs/>
          <w:szCs w:val="24"/>
        </w:rPr>
        <w:t>).</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Thus it is important to measure the performance of the commercial banks and it is of great importance to keenly observe the performance of the banks. Performance of banks is measured at two levels, one is at the management and regulatory level and another is at external rating agencies. The most key aspect in the analysis of the performance of bank sector is financial performance (</w:t>
      </w:r>
      <w:proofErr w:type="spellStart"/>
      <w:r w:rsidRPr="00CF41D2">
        <w:rPr>
          <w:szCs w:val="24"/>
        </w:rPr>
        <w:t>Adamu</w:t>
      </w:r>
      <w:proofErr w:type="spellEnd"/>
      <w:r w:rsidRPr="00CF41D2">
        <w:rPr>
          <w:szCs w:val="24"/>
        </w:rPr>
        <w:t xml:space="preserve"> &amp; </w:t>
      </w:r>
      <w:proofErr w:type="spellStart"/>
      <w:r w:rsidRPr="00CF41D2">
        <w:rPr>
          <w:szCs w:val="24"/>
        </w:rPr>
        <w:t>Kenenesia</w:t>
      </w:r>
      <w:proofErr w:type="spellEnd"/>
      <w:r w:rsidRPr="00CF41D2">
        <w:rPr>
          <w:szCs w:val="24"/>
        </w:rPr>
        <w:t>, 2017).</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 xml:space="preserve">With the objective of mobilizing resources and enhancing investments, financial institutions have irreplaceable roles in economic development of a country. Being one and may be the major </w:t>
      </w:r>
      <w:r w:rsidRPr="00CF41D2">
        <w:rPr>
          <w:szCs w:val="24"/>
        </w:rPr>
        <w:lastRenderedPageBreak/>
        <w:t>category of financial institutions, banks have a very determinant role in the healthy functioning of the economy. The number of banks in Ethiopia is increasing from time to time. This is resulted with the increasing in competitions among banks. This in turn leads to dramatic effect on the performance of banks. It therefore increasingly urges the need of more frequent banking examination (</w:t>
      </w:r>
      <w:proofErr w:type="spellStart"/>
      <w:r w:rsidRPr="00CF41D2">
        <w:rPr>
          <w:szCs w:val="24"/>
        </w:rPr>
        <w:t>Muhabie</w:t>
      </w:r>
      <w:proofErr w:type="spellEnd"/>
      <w:r w:rsidRPr="00CF41D2">
        <w:rPr>
          <w:szCs w:val="24"/>
        </w:rPr>
        <w:t>, 2015).</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External credit rating agencies examine and evaluate banks and issue ratings for the general public and investors in particulars. It is of great importance that both these ratings present the same results about the condition of the banks to provide clear information to investors and management. In the past several banks suffer from bankruptcy that suggests the failure of both internal rating systems and credit rating agencies.</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Evaluation and analysis of the financial performance of banks are important for all internal and external users such as the bank managers, depositors, creditors, investors, employees, and regulators. Banks are expected, among others, to attain their short-term profit maximization, which is often measured by Return on Equity (ROE), Return on Asset (ROA) (</w:t>
      </w:r>
      <w:proofErr w:type="spellStart"/>
      <w:r w:rsidRPr="00CF41D2">
        <w:rPr>
          <w:szCs w:val="24"/>
        </w:rPr>
        <w:t>Tesfation</w:t>
      </w:r>
      <w:proofErr w:type="spellEnd"/>
      <w:r w:rsidRPr="00CF41D2">
        <w:rPr>
          <w:szCs w:val="24"/>
        </w:rPr>
        <w:t>, 2016).</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Knowing organization’s competitiveness and potentials of the business through financial statement analysis is useful for decision making for users of financial statement information, including managers, creditors, stockholders, potential investors, and regulatory agencies (</w:t>
      </w:r>
      <w:proofErr w:type="spellStart"/>
      <w:r w:rsidRPr="00CF41D2">
        <w:rPr>
          <w:szCs w:val="24"/>
        </w:rPr>
        <w:t>Muhabie</w:t>
      </w:r>
      <w:proofErr w:type="spellEnd"/>
      <w:r w:rsidRPr="00CF41D2">
        <w:rPr>
          <w:szCs w:val="24"/>
        </w:rPr>
        <w:t>, 2015).</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Periodic financial performance evaluation is, thus, compulsory in order to prove whether the banks’ short term and long term goals have been achieved and the stakeholders’ interest that is, relevant economic needs of various stakeholders (</w:t>
      </w:r>
      <w:proofErr w:type="spellStart"/>
      <w:r w:rsidRPr="00CF41D2">
        <w:rPr>
          <w:szCs w:val="24"/>
        </w:rPr>
        <w:t>Tesfation</w:t>
      </w:r>
      <w:proofErr w:type="spellEnd"/>
      <w:r w:rsidRPr="00CF41D2">
        <w:rPr>
          <w:szCs w:val="24"/>
        </w:rPr>
        <w:t xml:space="preserve">, 2016). </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In order to evaluate the overall performance of banks and </w:t>
      </w:r>
      <w:r w:rsidRPr="00CF41D2">
        <w:rPr>
          <w:szCs w:val="24"/>
        </w:rPr>
        <w:t>evaluate the overall safety and soundness of banks, supervisory agencies implement a</w:t>
      </w:r>
      <w:r w:rsidRPr="00CF41D2">
        <w:rPr>
          <w:rFonts w:eastAsia="TimesNewRoman"/>
          <w:szCs w:val="24"/>
        </w:rPr>
        <w:t xml:space="preserve"> regulatory banking supervision framework. To this end, the National Bank of Ethiopia (NBE) is requiring all commercial banks operating in Ethiopia to evaluate their performance using CAMEL rating approach as a tool of measuring performance.</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Measuring the performance of banks generally in Ethiopia has attracted the attention over the past years. This is more prevalent when it comes to CBE since it is playing an important role and the dominant in the Ethiopian banking sector in the country. Therefore, studying the financial </w:t>
      </w:r>
      <w:r w:rsidRPr="00CF41D2">
        <w:rPr>
          <w:rFonts w:eastAsia="TimesNewRoman"/>
          <w:szCs w:val="24"/>
        </w:rPr>
        <w:lastRenderedPageBreak/>
        <w:t>performance of CBE is necessary and crucial considering its dominance role in the Ethiopian for the banking industry (</w:t>
      </w:r>
      <w:proofErr w:type="spellStart"/>
      <w:r w:rsidRPr="00CF41D2">
        <w:rPr>
          <w:rFonts w:eastAsia="TimesNewRoman"/>
          <w:szCs w:val="24"/>
        </w:rPr>
        <w:t>Mulualem</w:t>
      </w:r>
      <w:proofErr w:type="spellEnd"/>
      <w:r w:rsidRPr="00CF41D2">
        <w:rPr>
          <w:rFonts w:eastAsia="TimesNewRoman"/>
          <w:szCs w:val="24"/>
        </w:rPr>
        <w:t xml:space="preserve">, 2015). </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CBE has implemented its first and second strategic plan cascaded from the Growth and Transformation Plan (GTP) of Ethiopia for the period from 2011-2020 by taking 2010 as a base year. Hence, evaluating the first and second strategic period performance and taking a corrective measure is expected to add a value and turn the bank in the right truck in achieving its past financial performance. However, to the knowledge of the researcher, no previous research was conducted evaluating the financial performance of CBE in the first and second strategic period </w:t>
      </w:r>
      <w:r w:rsidRPr="00CF41D2">
        <w:rPr>
          <w:szCs w:val="24"/>
        </w:rPr>
        <w:t>so as to suggest improvements in future</w:t>
      </w:r>
      <w:r w:rsidRPr="00CF41D2">
        <w:rPr>
          <w:rFonts w:eastAsia="TimesNewRoman"/>
          <w:szCs w:val="24"/>
        </w:rPr>
        <w:t xml:space="preserve">. </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 xml:space="preserve">This study, therefore, aims to fill the gap by evaluating CBE’s financial performance in the first and second strategic plan period based on the CAMEL framework, which is used to evaluate the overall safety and soundness of a bank. </w:t>
      </w:r>
    </w:p>
    <w:p w:rsidR="00672193" w:rsidRPr="00CF41D2" w:rsidRDefault="00672193" w:rsidP="00672193">
      <w:pPr>
        <w:pStyle w:val="Heading2"/>
        <w:spacing w:before="0" w:after="200" w:line="360" w:lineRule="auto"/>
        <w:jc w:val="both"/>
        <w:rPr>
          <w:color w:val="auto"/>
        </w:rPr>
      </w:pPr>
      <w:bookmarkStart w:id="12" w:name="_Toc511725911"/>
      <w:bookmarkStart w:id="13" w:name="_Toc73104265"/>
      <w:r w:rsidRPr="00CF41D2">
        <w:rPr>
          <w:color w:val="auto"/>
        </w:rPr>
        <w:t>1.4. Research Questions</w:t>
      </w:r>
      <w:bookmarkEnd w:id="12"/>
      <w:bookmarkEnd w:id="13"/>
    </w:p>
    <w:p w:rsidR="00672193" w:rsidRPr="00CF41D2" w:rsidRDefault="00672193" w:rsidP="00672193">
      <w:pPr>
        <w:autoSpaceDE w:val="0"/>
        <w:autoSpaceDN w:val="0"/>
        <w:adjustRightInd w:val="0"/>
        <w:spacing w:line="360" w:lineRule="auto"/>
        <w:jc w:val="both"/>
        <w:rPr>
          <w:rFonts w:eastAsia="TimesNewRoman"/>
          <w:szCs w:val="24"/>
        </w:rPr>
      </w:pPr>
      <w:r w:rsidRPr="00CF41D2">
        <w:rPr>
          <w:rFonts w:eastAsia="TimesNewRoman"/>
          <w:szCs w:val="24"/>
        </w:rPr>
        <w:t>In line with the above specific objectives, the study intends to address the following research questions:</w:t>
      </w:r>
    </w:p>
    <w:p w:rsidR="00672193" w:rsidRPr="00CF41D2" w:rsidRDefault="00672193" w:rsidP="00672193">
      <w:pPr>
        <w:pStyle w:val="ListParagraph"/>
        <w:numPr>
          <w:ilvl w:val="0"/>
          <w:numId w:val="7"/>
        </w:numPr>
        <w:autoSpaceDE w:val="0"/>
        <w:autoSpaceDN w:val="0"/>
        <w:adjustRightInd w:val="0"/>
        <w:spacing w:line="360" w:lineRule="auto"/>
        <w:jc w:val="both"/>
        <w:rPr>
          <w:rFonts w:eastAsia="TimesNewRoman"/>
          <w:szCs w:val="24"/>
        </w:rPr>
      </w:pPr>
      <w:r w:rsidRPr="00CF41D2">
        <w:rPr>
          <w:rFonts w:eastAsia="TimesNewRoman"/>
          <w:szCs w:val="24"/>
        </w:rPr>
        <w:t xml:space="preserve">What is the capital adequacy performance of CBE </w:t>
      </w:r>
      <w:r w:rsidRPr="00CF41D2">
        <w:rPr>
          <w:szCs w:val="24"/>
        </w:rPr>
        <w:t>from 2011 to 2020</w:t>
      </w:r>
      <w:r w:rsidRPr="00CF41D2">
        <w:rPr>
          <w:rFonts w:eastAsia="TimesNewRoman"/>
          <w:szCs w:val="24"/>
        </w:rPr>
        <w:t>?</w:t>
      </w:r>
    </w:p>
    <w:p w:rsidR="00672193" w:rsidRPr="00CF41D2" w:rsidRDefault="00672193" w:rsidP="00672193">
      <w:pPr>
        <w:pStyle w:val="ListParagraph"/>
        <w:numPr>
          <w:ilvl w:val="0"/>
          <w:numId w:val="7"/>
        </w:numPr>
        <w:autoSpaceDE w:val="0"/>
        <w:autoSpaceDN w:val="0"/>
        <w:adjustRightInd w:val="0"/>
        <w:spacing w:line="360" w:lineRule="auto"/>
        <w:jc w:val="both"/>
        <w:rPr>
          <w:rFonts w:eastAsia="TimesNewRoman"/>
          <w:szCs w:val="24"/>
        </w:rPr>
      </w:pPr>
      <w:r w:rsidRPr="00CF41D2">
        <w:rPr>
          <w:rFonts w:eastAsia="TimesNewRoman"/>
          <w:szCs w:val="24"/>
        </w:rPr>
        <w:t xml:space="preserve">What is the asset quality performance of CBE </w:t>
      </w:r>
      <w:r w:rsidRPr="00CF41D2">
        <w:rPr>
          <w:szCs w:val="24"/>
        </w:rPr>
        <w:t>from 2011 to 2020</w:t>
      </w:r>
      <w:r w:rsidRPr="00CF41D2">
        <w:rPr>
          <w:rFonts w:eastAsia="TimesNewRoman"/>
          <w:szCs w:val="24"/>
        </w:rPr>
        <w:t>?</w:t>
      </w:r>
    </w:p>
    <w:p w:rsidR="00672193" w:rsidRPr="00CF41D2" w:rsidRDefault="00672193" w:rsidP="00672193">
      <w:pPr>
        <w:pStyle w:val="ListParagraph"/>
        <w:numPr>
          <w:ilvl w:val="0"/>
          <w:numId w:val="7"/>
        </w:numPr>
        <w:autoSpaceDE w:val="0"/>
        <w:autoSpaceDN w:val="0"/>
        <w:adjustRightInd w:val="0"/>
        <w:spacing w:line="360" w:lineRule="auto"/>
        <w:jc w:val="both"/>
        <w:rPr>
          <w:rFonts w:eastAsia="TimesNewRoman"/>
          <w:szCs w:val="24"/>
        </w:rPr>
      </w:pPr>
      <w:r w:rsidRPr="00CF41D2">
        <w:rPr>
          <w:rFonts w:eastAsia="TimesNewRoman"/>
          <w:szCs w:val="24"/>
        </w:rPr>
        <w:t xml:space="preserve">What is the management efficiency performance of CBE </w:t>
      </w:r>
      <w:r w:rsidRPr="00CF41D2">
        <w:rPr>
          <w:szCs w:val="24"/>
        </w:rPr>
        <w:t>from 2011 to 2020</w:t>
      </w:r>
      <w:r w:rsidRPr="00CF41D2">
        <w:rPr>
          <w:rFonts w:eastAsia="TimesNewRoman"/>
          <w:szCs w:val="24"/>
        </w:rPr>
        <w:t>?</w:t>
      </w:r>
    </w:p>
    <w:p w:rsidR="00672193" w:rsidRPr="00CF41D2" w:rsidRDefault="00672193" w:rsidP="00672193">
      <w:pPr>
        <w:pStyle w:val="ListParagraph"/>
        <w:numPr>
          <w:ilvl w:val="0"/>
          <w:numId w:val="7"/>
        </w:numPr>
        <w:autoSpaceDE w:val="0"/>
        <w:autoSpaceDN w:val="0"/>
        <w:adjustRightInd w:val="0"/>
        <w:spacing w:line="360" w:lineRule="auto"/>
        <w:jc w:val="both"/>
        <w:rPr>
          <w:rFonts w:eastAsia="TimesNewRoman"/>
          <w:szCs w:val="24"/>
        </w:rPr>
      </w:pPr>
      <w:r w:rsidRPr="00CF41D2">
        <w:rPr>
          <w:rFonts w:eastAsia="TimesNewRoman"/>
          <w:szCs w:val="24"/>
        </w:rPr>
        <w:t xml:space="preserve">What is the earning ability performance of CBE </w:t>
      </w:r>
      <w:r w:rsidRPr="00CF41D2">
        <w:rPr>
          <w:szCs w:val="24"/>
        </w:rPr>
        <w:t>from 2011 to 2020</w:t>
      </w:r>
      <w:r w:rsidRPr="00CF41D2">
        <w:rPr>
          <w:rFonts w:eastAsia="TimesNewRoman"/>
          <w:szCs w:val="24"/>
        </w:rPr>
        <w:t>?</w:t>
      </w:r>
    </w:p>
    <w:p w:rsidR="00672193" w:rsidRPr="00CF41D2" w:rsidRDefault="00672193" w:rsidP="00672193">
      <w:pPr>
        <w:pStyle w:val="ListParagraph"/>
        <w:numPr>
          <w:ilvl w:val="0"/>
          <w:numId w:val="7"/>
        </w:numPr>
        <w:autoSpaceDE w:val="0"/>
        <w:autoSpaceDN w:val="0"/>
        <w:adjustRightInd w:val="0"/>
        <w:spacing w:line="360" w:lineRule="auto"/>
        <w:jc w:val="both"/>
        <w:rPr>
          <w:rFonts w:eastAsia="TimesNewRoman"/>
          <w:szCs w:val="24"/>
        </w:rPr>
      </w:pPr>
      <w:r w:rsidRPr="00CF41D2">
        <w:rPr>
          <w:rFonts w:eastAsia="TimesNewRoman"/>
          <w:szCs w:val="24"/>
        </w:rPr>
        <w:t xml:space="preserve">What is the liquidity performance of CBE </w:t>
      </w:r>
      <w:r w:rsidRPr="00CF41D2">
        <w:rPr>
          <w:szCs w:val="24"/>
        </w:rPr>
        <w:t>from 2011 to 2020</w:t>
      </w:r>
      <w:r w:rsidRPr="00CF41D2">
        <w:rPr>
          <w:rFonts w:eastAsia="TimesNewRoman"/>
          <w:szCs w:val="24"/>
        </w:rPr>
        <w:t>?</w:t>
      </w:r>
    </w:p>
    <w:p w:rsidR="00672193" w:rsidRPr="00CF41D2" w:rsidRDefault="00672193" w:rsidP="00672193">
      <w:pPr>
        <w:pStyle w:val="Heading2"/>
        <w:numPr>
          <w:ilvl w:val="1"/>
          <w:numId w:val="44"/>
        </w:numPr>
        <w:spacing w:before="0" w:after="100" w:line="360" w:lineRule="auto"/>
        <w:jc w:val="both"/>
        <w:rPr>
          <w:color w:val="auto"/>
        </w:rPr>
      </w:pPr>
      <w:bookmarkStart w:id="14" w:name="_Toc511725908"/>
      <w:bookmarkStart w:id="15" w:name="_Toc73104266"/>
      <w:r w:rsidRPr="00CF41D2">
        <w:rPr>
          <w:color w:val="auto"/>
        </w:rPr>
        <w:t>Research Objective(s)</w:t>
      </w:r>
      <w:bookmarkEnd w:id="14"/>
      <w:bookmarkEnd w:id="15"/>
    </w:p>
    <w:p w:rsidR="00672193" w:rsidRPr="00CF41D2" w:rsidRDefault="00672193" w:rsidP="00672193">
      <w:pPr>
        <w:pStyle w:val="Heading3"/>
        <w:spacing w:before="0" w:after="100" w:line="360" w:lineRule="auto"/>
        <w:jc w:val="both"/>
        <w:rPr>
          <w:rFonts w:cs="Times New Roman"/>
          <w:color w:val="auto"/>
          <w:szCs w:val="24"/>
        </w:rPr>
      </w:pPr>
      <w:bookmarkStart w:id="16" w:name="_Toc511725909"/>
      <w:bookmarkStart w:id="17" w:name="_Toc73104267"/>
      <w:r w:rsidRPr="00CF41D2">
        <w:rPr>
          <w:rFonts w:cs="Times New Roman"/>
          <w:color w:val="auto"/>
          <w:szCs w:val="24"/>
        </w:rPr>
        <w:t>1.5.1 General Objective</w:t>
      </w:r>
      <w:bookmarkEnd w:id="16"/>
      <w:bookmarkEnd w:id="17"/>
    </w:p>
    <w:p w:rsidR="00672193" w:rsidRPr="00CF41D2" w:rsidRDefault="00672193" w:rsidP="00672193">
      <w:pPr>
        <w:autoSpaceDE w:val="0"/>
        <w:autoSpaceDN w:val="0"/>
        <w:adjustRightInd w:val="0"/>
        <w:spacing w:line="360" w:lineRule="auto"/>
        <w:jc w:val="both"/>
        <w:rPr>
          <w:rFonts w:eastAsia="TimesNewRoman"/>
          <w:szCs w:val="24"/>
        </w:rPr>
      </w:pPr>
      <w:r w:rsidRPr="00CF41D2">
        <w:rPr>
          <w:rFonts w:eastAsia="TimesNewRoman"/>
          <w:szCs w:val="24"/>
        </w:rPr>
        <w:t xml:space="preserve">The general aim of the study was to evaluate the financial performance of CBE </w:t>
      </w:r>
      <w:r w:rsidRPr="00CF41D2">
        <w:rPr>
          <w:szCs w:val="24"/>
        </w:rPr>
        <w:t xml:space="preserve">from 2011 to 2020 </w:t>
      </w:r>
      <w:r w:rsidRPr="00CF41D2">
        <w:rPr>
          <w:rFonts w:eastAsia="TimesNewRoman"/>
          <w:szCs w:val="24"/>
        </w:rPr>
        <w:t xml:space="preserve">using a </w:t>
      </w:r>
      <w:r w:rsidRPr="00CF41D2">
        <w:rPr>
          <w:szCs w:val="24"/>
        </w:rPr>
        <w:t>CAMEL rating approach.</w:t>
      </w:r>
    </w:p>
    <w:p w:rsidR="00672193" w:rsidRPr="00CF41D2" w:rsidRDefault="00672193" w:rsidP="00672193">
      <w:pPr>
        <w:pStyle w:val="Heading3"/>
        <w:numPr>
          <w:ilvl w:val="2"/>
          <w:numId w:val="8"/>
        </w:numPr>
        <w:spacing w:before="0" w:after="200" w:line="360" w:lineRule="auto"/>
        <w:ind w:left="720" w:hanging="720"/>
        <w:jc w:val="both"/>
        <w:rPr>
          <w:rFonts w:cs="Times New Roman"/>
          <w:color w:val="auto"/>
          <w:szCs w:val="24"/>
        </w:rPr>
      </w:pPr>
      <w:r w:rsidRPr="00CF41D2">
        <w:rPr>
          <w:rFonts w:cs="Times New Roman"/>
          <w:color w:val="auto"/>
          <w:szCs w:val="24"/>
        </w:rPr>
        <w:t xml:space="preserve"> </w:t>
      </w:r>
      <w:bookmarkStart w:id="18" w:name="_Toc511725910"/>
      <w:bookmarkStart w:id="19" w:name="_Toc73104268"/>
      <w:r w:rsidRPr="00CF41D2">
        <w:rPr>
          <w:rFonts w:cs="Times New Roman"/>
          <w:color w:val="auto"/>
          <w:szCs w:val="24"/>
        </w:rPr>
        <w:t>Specific Objectives</w:t>
      </w:r>
      <w:bookmarkEnd w:id="18"/>
      <w:bookmarkEnd w:id="19"/>
    </w:p>
    <w:p w:rsidR="00672193" w:rsidRPr="00CF41D2" w:rsidRDefault="00672193" w:rsidP="00672193">
      <w:pPr>
        <w:pStyle w:val="ListParagraph"/>
        <w:numPr>
          <w:ilvl w:val="0"/>
          <w:numId w:val="45"/>
        </w:numPr>
        <w:autoSpaceDE w:val="0"/>
        <w:autoSpaceDN w:val="0"/>
        <w:adjustRightInd w:val="0"/>
        <w:spacing w:line="360" w:lineRule="auto"/>
        <w:jc w:val="both"/>
        <w:rPr>
          <w:rFonts w:eastAsia="TimesNewRoman"/>
          <w:szCs w:val="24"/>
        </w:rPr>
      </w:pPr>
      <w:r w:rsidRPr="00CF41D2">
        <w:rPr>
          <w:rFonts w:eastAsia="TimesNewRoman"/>
          <w:szCs w:val="24"/>
        </w:rPr>
        <w:t xml:space="preserve">To analyze the capital adequacy performance of CBE </w:t>
      </w:r>
      <w:r w:rsidRPr="00CF41D2">
        <w:rPr>
          <w:szCs w:val="24"/>
        </w:rPr>
        <w:t>from 2011 to 2020</w:t>
      </w:r>
      <w:r w:rsidRPr="00CF41D2">
        <w:rPr>
          <w:rFonts w:eastAsia="TimesNewRoman"/>
          <w:szCs w:val="24"/>
        </w:rPr>
        <w:t>.</w:t>
      </w:r>
    </w:p>
    <w:p w:rsidR="00672193" w:rsidRPr="00CF41D2" w:rsidRDefault="00672193" w:rsidP="00672193">
      <w:pPr>
        <w:pStyle w:val="ListParagraph"/>
        <w:numPr>
          <w:ilvl w:val="0"/>
          <w:numId w:val="8"/>
        </w:numPr>
        <w:autoSpaceDE w:val="0"/>
        <w:autoSpaceDN w:val="0"/>
        <w:adjustRightInd w:val="0"/>
        <w:spacing w:line="360" w:lineRule="auto"/>
        <w:jc w:val="both"/>
        <w:rPr>
          <w:rFonts w:eastAsia="TimesNewRoman"/>
          <w:szCs w:val="24"/>
        </w:rPr>
      </w:pPr>
      <w:r w:rsidRPr="00CF41D2">
        <w:rPr>
          <w:rFonts w:eastAsia="TimesNewRoman"/>
          <w:szCs w:val="24"/>
        </w:rPr>
        <w:t xml:space="preserve">To examine the asset quality performance of CBE </w:t>
      </w:r>
      <w:r w:rsidRPr="00CF41D2">
        <w:rPr>
          <w:szCs w:val="24"/>
        </w:rPr>
        <w:t>from 2011 to 2020</w:t>
      </w:r>
      <w:r w:rsidRPr="00CF41D2">
        <w:rPr>
          <w:rFonts w:eastAsia="TimesNewRoman"/>
          <w:szCs w:val="24"/>
        </w:rPr>
        <w:t>.</w:t>
      </w:r>
    </w:p>
    <w:p w:rsidR="00672193" w:rsidRPr="00CF41D2" w:rsidRDefault="00672193" w:rsidP="00672193">
      <w:pPr>
        <w:pStyle w:val="ListParagraph"/>
        <w:numPr>
          <w:ilvl w:val="0"/>
          <w:numId w:val="8"/>
        </w:numPr>
        <w:autoSpaceDE w:val="0"/>
        <w:autoSpaceDN w:val="0"/>
        <w:adjustRightInd w:val="0"/>
        <w:spacing w:line="360" w:lineRule="auto"/>
        <w:jc w:val="both"/>
        <w:rPr>
          <w:rFonts w:eastAsia="TimesNewRoman"/>
          <w:szCs w:val="24"/>
        </w:rPr>
      </w:pPr>
      <w:r w:rsidRPr="00CF41D2">
        <w:rPr>
          <w:rFonts w:eastAsia="TimesNewRoman"/>
          <w:szCs w:val="24"/>
        </w:rPr>
        <w:t xml:space="preserve">To evaluate the management efficiency performance of CBE </w:t>
      </w:r>
      <w:r w:rsidRPr="00CF41D2">
        <w:rPr>
          <w:szCs w:val="24"/>
        </w:rPr>
        <w:t>from 2011 to 2020</w:t>
      </w:r>
      <w:r w:rsidRPr="00CF41D2">
        <w:rPr>
          <w:rFonts w:eastAsia="TimesNewRoman"/>
          <w:szCs w:val="24"/>
        </w:rPr>
        <w:t>.</w:t>
      </w:r>
    </w:p>
    <w:p w:rsidR="00672193" w:rsidRPr="00CF41D2" w:rsidRDefault="00672193" w:rsidP="00672193">
      <w:pPr>
        <w:pStyle w:val="ListParagraph"/>
        <w:numPr>
          <w:ilvl w:val="0"/>
          <w:numId w:val="8"/>
        </w:numPr>
        <w:autoSpaceDE w:val="0"/>
        <w:autoSpaceDN w:val="0"/>
        <w:adjustRightInd w:val="0"/>
        <w:spacing w:line="360" w:lineRule="auto"/>
        <w:jc w:val="both"/>
        <w:rPr>
          <w:rFonts w:eastAsia="TimesNewRoman"/>
          <w:szCs w:val="24"/>
        </w:rPr>
      </w:pPr>
      <w:r w:rsidRPr="00CF41D2">
        <w:rPr>
          <w:rFonts w:eastAsia="TimesNewRoman"/>
          <w:szCs w:val="24"/>
        </w:rPr>
        <w:lastRenderedPageBreak/>
        <w:t xml:space="preserve">To assess the earning ability performance of CBE </w:t>
      </w:r>
      <w:r w:rsidRPr="00CF41D2">
        <w:rPr>
          <w:szCs w:val="24"/>
        </w:rPr>
        <w:t>from 2011 to 2020</w:t>
      </w:r>
      <w:r w:rsidRPr="00CF41D2">
        <w:rPr>
          <w:rFonts w:eastAsia="TimesNewRoman"/>
          <w:szCs w:val="24"/>
        </w:rPr>
        <w:t>.</w:t>
      </w:r>
    </w:p>
    <w:p w:rsidR="00672193" w:rsidRPr="00CF41D2" w:rsidRDefault="00672193" w:rsidP="00672193">
      <w:pPr>
        <w:pStyle w:val="ListParagraph"/>
        <w:numPr>
          <w:ilvl w:val="0"/>
          <w:numId w:val="8"/>
        </w:numPr>
        <w:autoSpaceDE w:val="0"/>
        <w:autoSpaceDN w:val="0"/>
        <w:adjustRightInd w:val="0"/>
        <w:spacing w:line="360" w:lineRule="auto"/>
        <w:jc w:val="both"/>
        <w:rPr>
          <w:rFonts w:eastAsia="TimesNewRoman"/>
          <w:szCs w:val="24"/>
        </w:rPr>
      </w:pPr>
      <w:r w:rsidRPr="00CF41D2">
        <w:rPr>
          <w:rFonts w:eastAsia="TimesNewRoman"/>
          <w:szCs w:val="24"/>
        </w:rPr>
        <w:t xml:space="preserve">To measure the liquidity performance of CBE </w:t>
      </w:r>
      <w:r w:rsidRPr="00CF41D2">
        <w:rPr>
          <w:szCs w:val="24"/>
        </w:rPr>
        <w:t>from 2011 to 2020</w:t>
      </w:r>
      <w:r w:rsidRPr="00CF41D2">
        <w:rPr>
          <w:rFonts w:eastAsia="TimesNewRoman"/>
          <w:szCs w:val="24"/>
        </w:rPr>
        <w:t>.</w:t>
      </w:r>
    </w:p>
    <w:p w:rsidR="00672193" w:rsidRPr="00CF41D2" w:rsidRDefault="00672193" w:rsidP="00672193">
      <w:pPr>
        <w:pStyle w:val="Heading2"/>
        <w:numPr>
          <w:ilvl w:val="1"/>
          <w:numId w:val="44"/>
        </w:numPr>
        <w:spacing w:before="0" w:after="200" w:line="360" w:lineRule="auto"/>
        <w:jc w:val="both"/>
        <w:rPr>
          <w:color w:val="auto"/>
        </w:rPr>
      </w:pPr>
      <w:bookmarkStart w:id="20" w:name="_Toc511725913"/>
      <w:bookmarkStart w:id="21" w:name="_Toc73104269"/>
      <w:r w:rsidRPr="00CF41D2">
        <w:rPr>
          <w:color w:val="auto"/>
        </w:rPr>
        <w:t>Significance of the Study</w:t>
      </w:r>
      <w:bookmarkEnd w:id="20"/>
      <w:bookmarkEnd w:id="21"/>
    </w:p>
    <w:p w:rsidR="00672193" w:rsidRPr="00CF41D2" w:rsidRDefault="00672193" w:rsidP="00672193">
      <w:pPr>
        <w:autoSpaceDE w:val="0"/>
        <w:autoSpaceDN w:val="0"/>
        <w:adjustRightInd w:val="0"/>
        <w:spacing w:after="0" w:line="360" w:lineRule="auto"/>
        <w:jc w:val="both"/>
        <w:rPr>
          <w:szCs w:val="24"/>
        </w:rPr>
      </w:pPr>
      <w:r w:rsidRPr="00CF41D2">
        <w:rPr>
          <w:szCs w:val="24"/>
        </w:rPr>
        <w:t xml:space="preserve">Banks serve as backbone to the financial sector, which facilitate the proper utilization of financial resources of a country. The banking sector is increasingly growing and it has witnessed a huge flow of investment. In addition to simply being involved in the financial intermediation activities, banks are operating in a rapidly innovating industry that urges them to create more specialized financial services to better satisfy the changing needs of their customers. </w:t>
      </w:r>
      <w:proofErr w:type="spellStart"/>
      <w:r w:rsidRPr="00CF41D2">
        <w:rPr>
          <w:szCs w:val="24"/>
        </w:rPr>
        <w:t>Sundararajan</w:t>
      </w:r>
      <w:proofErr w:type="spellEnd"/>
      <w:r w:rsidRPr="00CF41D2">
        <w:rPr>
          <w:szCs w:val="24"/>
        </w:rPr>
        <w:t xml:space="preserve"> et al. </w:t>
      </w:r>
      <w:r w:rsidRPr="00CF41D2">
        <w:rPr>
          <w:b/>
          <w:bCs/>
          <w:szCs w:val="24"/>
        </w:rPr>
        <w:t>(</w:t>
      </w:r>
      <w:r w:rsidRPr="00CF41D2">
        <w:rPr>
          <w:szCs w:val="24"/>
        </w:rPr>
        <w:t>2002) argues that the financial system, the bank in particular, is exposed to a variety of risks that are growing more complex nowadays. Furthermore, the economic downturn of 2008 which resulted in bank failures, are triggered in the U.S. and then wildly spread worldwide. It therefore increasingly urges the need of more frequent banking examination.</w:t>
      </w:r>
    </w:p>
    <w:p w:rsidR="00672193" w:rsidRPr="00CF41D2" w:rsidRDefault="00672193" w:rsidP="00672193">
      <w:pPr>
        <w:autoSpaceDE w:val="0"/>
        <w:autoSpaceDN w:val="0"/>
        <w:adjustRightInd w:val="0"/>
        <w:spacing w:after="0" w:line="360" w:lineRule="auto"/>
        <w:jc w:val="both"/>
        <w:rPr>
          <w:szCs w:val="24"/>
        </w:rPr>
      </w:pPr>
      <w:r w:rsidRPr="00CF41D2">
        <w:rPr>
          <w:szCs w:val="24"/>
        </w:rPr>
        <w:t>In order to cope with the complexity and a mix of risk exposure to banking system properly, responsibly, beneficially and sustainably, it is of great importance to evaluate the overall performance of banks by implementing a regulatory banking supervision framework. One of such measures of supervisory information is the CAMEL rating system.</w:t>
      </w:r>
    </w:p>
    <w:p w:rsidR="00672193" w:rsidRPr="00CF41D2" w:rsidRDefault="00672193" w:rsidP="00672193">
      <w:pPr>
        <w:autoSpaceDE w:val="0"/>
        <w:autoSpaceDN w:val="0"/>
        <w:adjustRightInd w:val="0"/>
        <w:spacing w:after="0" w:line="360" w:lineRule="auto"/>
        <w:jc w:val="both"/>
        <w:rPr>
          <w:szCs w:val="24"/>
        </w:rPr>
      </w:pPr>
      <w:r w:rsidRPr="00CF41D2">
        <w:rPr>
          <w:szCs w:val="24"/>
        </w:rPr>
        <w:t>Therefore, the current study is significant; for it assesses determinants of bank performance based on the CAMEL model and it was give for important insight to supervisors as well as managers of Commercial banks of Ethiopia. It also shades light about the importance of CAMEL Model to risk managers and others who are interested to examine the performance of the banks.</w:t>
      </w:r>
    </w:p>
    <w:p w:rsidR="00672193" w:rsidRPr="00CF41D2" w:rsidRDefault="00672193" w:rsidP="00672193">
      <w:pPr>
        <w:autoSpaceDE w:val="0"/>
        <w:autoSpaceDN w:val="0"/>
        <w:adjustRightInd w:val="0"/>
        <w:spacing w:after="0" w:line="360" w:lineRule="auto"/>
        <w:jc w:val="both"/>
        <w:rPr>
          <w:szCs w:val="24"/>
        </w:rPr>
      </w:pPr>
      <w:r w:rsidRPr="00CF41D2">
        <w:rPr>
          <w:szCs w:val="24"/>
        </w:rPr>
        <w:t>Finally, the study also helps other researchers as a source of reference and as a stepping stone for those who want to make further study on the area afterwards. Beside this, it gives the opportunity to all stake holders to gain knowledge about the CAMEL Model.</w:t>
      </w:r>
      <w:bookmarkStart w:id="22" w:name="_Toc511725914"/>
    </w:p>
    <w:p w:rsidR="00672193" w:rsidRPr="00CF41D2" w:rsidRDefault="00672193" w:rsidP="00672193">
      <w:pPr>
        <w:pStyle w:val="Heading2"/>
        <w:numPr>
          <w:ilvl w:val="1"/>
          <w:numId w:val="44"/>
        </w:numPr>
        <w:spacing w:before="0" w:after="200" w:line="360" w:lineRule="auto"/>
        <w:jc w:val="both"/>
        <w:rPr>
          <w:color w:val="auto"/>
        </w:rPr>
      </w:pPr>
      <w:bookmarkStart w:id="23" w:name="_Toc73104270"/>
      <w:r w:rsidRPr="00CF41D2">
        <w:rPr>
          <w:color w:val="auto"/>
        </w:rPr>
        <w:t>Scope of the Study</w:t>
      </w:r>
      <w:bookmarkEnd w:id="22"/>
      <w:bookmarkEnd w:id="23"/>
    </w:p>
    <w:p w:rsidR="00672193" w:rsidRPr="00CF41D2" w:rsidRDefault="00672193" w:rsidP="00672193">
      <w:pPr>
        <w:widowControl w:val="0"/>
        <w:overflowPunct w:val="0"/>
        <w:autoSpaceDE w:val="0"/>
        <w:autoSpaceDN w:val="0"/>
        <w:adjustRightInd w:val="0"/>
        <w:spacing w:line="360" w:lineRule="auto"/>
        <w:jc w:val="both"/>
        <w:rPr>
          <w:szCs w:val="24"/>
        </w:rPr>
      </w:pPr>
      <w:bookmarkStart w:id="24" w:name="_Toc511725915"/>
      <w:r w:rsidRPr="00CF41D2">
        <w:rPr>
          <w:rFonts w:eastAsia="TimesNewRoman"/>
          <w:szCs w:val="24"/>
        </w:rPr>
        <w:t xml:space="preserve">To make the rating system more risk-focused, the six components added to CAMEL model is sensitivity to market risk. </w:t>
      </w:r>
      <w:r w:rsidRPr="00CF41D2">
        <w:rPr>
          <w:szCs w:val="24"/>
        </w:rPr>
        <w:t xml:space="preserve">This measures the effect of changes in interest rates; foreign exchange rates; and commodity prices on financial institution’s earnings or economic capital. However, due to difficulty in obtaining the required data to measure sensitivity to market risk, the study limited its methodological scope measuring the capital adequacy, asset quality, management quality, earning ability and liquidity performance of CBE. In addition, the study limited its scope in evaluating the financial performance of CBE for a period of ten years from 2011 to 2020. </w:t>
      </w:r>
    </w:p>
    <w:p w:rsidR="00672193" w:rsidRPr="00CF41D2" w:rsidRDefault="00672193" w:rsidP="00672193">
      <w:pPr>
        <w:pStyle w:val="Heading2"/>
        <w:numPr>
          <w:ilvl w:val="1"/>
          <w:numId w:val="44"/>
        </w:numPr>
        <w:spacing w:before="0" w:after="200" w:line="360" w:lineRule="auto"/>
        <w:jc w:val="both"/>
        <w:rPr>
          <w:color w:val="auto"/>
        </w:rPr>
      </w:pPr>
      <w:bookmarkStart w:id="25" w:name="_Toc73104271"/>
      <w:r w:rsidRPr="00CF41D2">
        <w:rPr>
          <w:color w:val="auto"/>
        </w:rPr>
        <w:lastRenderedPageBreak/>
        <w:t>Limitations of the Study</w:t>
      </w:r>
      <w:bookmarkEnd w:id="24"/>
      <w:bookmarkEnd w:id="25"/>
    </w:p>
    <w:p w:rsidR="00672193" w:rsidRPr="00CF41D2" w:rsidRDefault="00672193" w:rsidP="00672193">
      <w:pPr>
        <w:widowControl w:val="0"/>
        <w:overflowPunct w:val="0"/>
        <w:autoSpaceDE w:val="0"/>
        <w:autoSpaceDN w:val="0"/>
        <w:adjustRightInd w:val="0"/>
        <w:spacing w:after="0" w:line="360" w:lineRule="auto"/>
        <w:jc w:val="both"/>
        <w:rPr>
          <w:szCs w:val="24"/>
        </w:rPr>
      </w:pPr>
      <w:r w:rsidRPr="00CF41D2">
        <w:rPr>
          <w:szCs w:val="24"/>
        </w:rPr>
        <w:t xml:space="preserve">The study was not carried without limitations. First, the CAMEL model comprises many financial ratios for evaluating the soundness of a firm financial and operational performance. As a result, this study accounts only the five financial ratios that are rated by the empirical researchers. </w:t>
      </w:r>
    </w:p>
    <w:p w:rsidR="00672193" w:rsidRPr="00CF41D2" w:rsidRDefault="00672193" w:rsidP="00672193">
      <w:pPr>
        <w:pStyle w:val="Heading2"/>
        <w:numPr>
          <w:ilvl w:val="1"/>
          <w:numId w:val="44"/>
        </w:numPr>
        <w:spacing w:before="0" w:after="200" w:line="360" w:lineRule="auto"/>
        <w:jc w:val="both"/>
        <w:rPr>
          <w:color w:val="auto"/>
        </w:rPr>
      </w:pPr>
      <w:bookmarkStart w:id="26" w:name="_Toc511725916"/>
      <w:bookmarkStart w:id="27" w:name="_Toc73104272"/>
      <w:r w:rsidRPr="00CF41D2">
        <w:rPr>
          <w:color w:val="auto"/>
        </w:rPr>
        <w:t>Organization of the Study</w:t>
      </w:r>
      <w:bookmarkEnd w:id="26"/>
      <w:bookmarkEnd w:id="27"/>
    </w:p>
    <w:p w:rsidR="00672193" w:rsidRDefault="00672193" w:rsidP="00672193">
      <w:pPr>
        <w:autoSpaceDE w:val="0"/>
        <w:autoSpaceDN w:val="0"/>
        <w:adjustRightInd w:val="0"/>
        <w:spacing w:line="360" w:lineRule="auto"/>
        <w:jc w:val="both"/>
        <w:rPr>
          <w:rFonts w:eastAsia="TimesNewRoman"/>
          <w:szCs w:val="24"/>
        </w:rPr>
      </w:pPr>
      <w:r w:rsidRPr="00CF41D2">
        <w:rPr>
          <w:rFonts w:eastAsia="TimesNewRoman"/>
          <w:szCs w:val="24"/>
        </w:rPr>
        <w:t>The study was organized into five chapters. Chapter one addressed background of the study, research problem, objectives of study, and scope and limitations of the study. Chapter two discusses review of literatures. Chapter three explains the research methods of the study. Chapter four present the results and discussions of the study. The final chapter presents summary, conclusions and recommendations of the study based on the findings.</w:t>
      </w:r>
    </w:p>
    <w:p w:rsidR="00672193" w:rsidRDefault="00672193" w:rsidP="00672193">
      <w:pPr>
        <w:autoSpaceDE w:val="0"/>
        <w:autoSpaceDN w:val="0"/>
        <w:adjustRightInd w:val="0"/>
        <w:spacing w:line="360" w:lineRule="auto"/>
        <w:jc w:val="both"/>
        <w:rPr>
          <w:rFonts w:eastAsia="TimesNewRoman"/>
          <w:szCs w:val="24"/>
        </w:rPr>
      </w:pPr>
    </w:p>
    <w:p w:rsidR="00672193" w:rsidRDefault="00672193" w:rsidP="00672193">
      <w:pPr>
        <w:autoSpaceDE w:val="0"/>
        <w:autoSpaceDN w:val="0"/>
        <w:adjustRightInd w:val="0"/>
        <w:spacing w:line="360" w:lineRule="auto"/>
        <w:jc w:val="both"/>
        <w:rPr>
          <w:rFonts w:eastAsia="TimesNewRoman"/>
          <w:szCs w:val="24"/>
        </w:rPr>
      </w:pPr>
    </w:p>
    <w:p w:rsidR="00672193" w:rsidRDefault="00672193" w:rsidP="00672193">
      <w:pPr>
        <w:autoSpaceDE w:val="0"/>
        <w:autoSpaceDN w:val="0"/>
        <w:adjustRightInd w:val="0"/>
        <w:spacing w:line="360" w:lineRule="auto"/>
        <w:jc w:val="both"/>
        <w:rPr>
          <w:rFonts w:eastAsia="TimesNewRoman"/>
          <w:szCs w:val="24"/>
        </w:rPr>
      </w:pPr>
    </w:p>
    <w:p w:rsidR="00672193" w:rsidRDefault="00672193" w:rsidP="00672193">
      <w:pPr>
        <w:autoSpaceDE w:val="0"/>
        <w:autoSpaceDN w:val="0"/>
        <w:adjustRightInd w:val="0"/>
        <w:spacing w:line="360" w:lineRule="auto"/>
        <w:jc w:val="both"/>
        <w:rPr>
          <w:rFonts w:eastAsia="TimesNewRoman"/>
          <w:szCs w:val="24"/>
        </w:rPr>
      </w:pPr>
    </w:p>
    <w:p w:rsidR="00672193" w:rsidRDefault="00672193" w:rsidP="00672193">
      <w:pPr>
        <w:autoSpaceDE w:val="0"/>
        <w:autoSpaceDN w:val="0"/>
        <w:adjustRightInd w:val="0"/>
        <w:spacing w:line="360" w:lineRule="auto"/>
        <w:jc w:val="both"/>
        <w:rPr>
          <w:rFonts w:eastAsia="TimesNewRoman"/>
          <w:szCs w:val="24"/>
        </w:rPr>
      </w:pPr>
    </w:p>
    <w:p w:rsidR="00672193" w:rsidRDefault="00672193" w:rsidP="00672193">
      <w:pPr>
        <w:autoSpaceDE w:val="0"/>
        <w:autoSpaceDN w:val="0"/>
        <w:adjustRightInd w:val="0"/>
        <w:spacing w:line="360" w:lineRule="auto"/>
        <w:jc w:val="both"/>
        <w:rPr>
          <w:rFonts w:eastAsia="TimesNewRoman"/>
          <w:szCs w:val="24"/>
        </w:rPr>
      </w:pPr>
    </w:p>
    <w:p w:rsidR="00672193" w:rsidRDefault="00672193" w:rsidP="00672193">
      <w:pPr>
        <w:autoSpaceDE w:val="0"/>
        <w:autoSpaceDN w:val="0"/>
        <w:adjustRightInd w:val="0"/>
        <w:spacing w:line="360" w:lineRule="auto"/>
        <w:jc w:val="both"/>
        <w:rPr>
          <w:rFonts w:eastAsia="TimesNewRoman"/>
          <w:szCs w:val="24"/>
        </w:rPr>
      </w:pPr>
    </w:p>
    <w:p w:rsidR="00672193" w:rsidRDefault="00672193" w:rsidP="00672193">
      <w:pPr>
        <w:autoSpaceDE w:val="0"/>
        <w:autoSpaceDN w:val="0"/>
        <w:adjustRightInd w:val="0"/>
        <w:spacing w:line="360" w:lineRule="auto"/>
        <w:jc w:val="both"/>
        <w:rPr>
          <w:rFonts w:eastAsia="TimesNewRoman"/>
          <w:szCs w:val="24"/>
        </w:rPr>
      </w:pPr>
    </w:p>
    <w:p w:rsidR="00672193" w:rsidRDefault="00672193" w:rsidP="00672193">
      <w:pPr>
        <w:autoSpaceDE w:val="0"/>
        <w:autoSpaceDN w:val="0"/>
        <w:adjustRightInd w:val="0"/>
        <w:spacing w:line="360" w:lineRule="auto"/>
        <w:jc w:val="both"/>
        <w:rPr>
          <w:rFonts w:eastAsia="TimesNewRoman"/>
          <w:szCs w:val="24"/>
        </w:rPr>
      </w:pPr>
    </w:p>
    <w:p w:rsidR="00672193" w:rsidRDefault="00672193" w:rsidP="00672193">
      <w:pPr>
        <w:autoSpaceDE w:val="0"/>
        <w:autoSpaceDN w:val="0"/>
        <w:adjustRightInd w:val="0"/>
        <w:spacing w:line="360" w:lineRule="auto"/>
        <w:jc w:val="both"/>
        <w:rPr>
          <w:rFonts w:eastAsia="TimesNewRoman"/>
          <w:szCs w:val="24"/>
        </w:rPr>
      </w:pPr>
    </w:p>
    <w:p w:rsidR="00672193" w:rsidRPr="00CF41D2" w:rsidRDefault="00672193" w:rsidP="00672193">
      <w:pPr>
        <w:autoSpaceDE w:val="0"/>
        <w:autoSpaceDN w:val="0"/>
        <w:adjustRightInd w:val="0"/>
        <w:spacing w:line="360" w:lineRule="auto"/>
        <w:jc w:val="both"/>
        <w:rPr>
          <w:rFonts w:eastAsia="TimesNewRoman"/>
          <w:szCs w:val="24"/>
        </w:rPr>
      </w:pPr>
    </w:p>
    <w:p w:rsidR="00672193" w:rsidRPr="00CF41D2" w:rsidRDefault="00672193" w:rsidP="00672193">
      <w:pPr>
        <w:pStyle w:val="Heading1"/>
        <w:spacing w:before="0" w:after="200" w:line="360" w:lineRule="auto"/>
        <w:jc w:val="center"/>
        <w:rPr>
          <w:rFonts w:cs="Times New Roman"/>
          <w:color w:val="auto"/>
        </w:rPr>
      </w:pPr>
      <w:bookmarkStart w:id="28" w:name="_Toc511725917"/>
      <w:bookmarkStart w:id="29" w:name="_Toc73104273"/>
      <w:r w:rsidRPr="00CF41D2">
        <w:rPr>
          <w:rFonts w:cs="Times New Roman"/>
          <w:color w:val="auto"/>
        </w:rPr>
        <w:lastRenderedPageBreak/>
        <w:t>CHAPTER TWO</w:t>
      </w:r>
      <w:r w:rsidRPr="00DF7BB2">
        <w:rPr>
          <w:rFonts w:cs="Times New Roman"/>
          <w:color w:val="auto"/>
          <w:szCs w:val="24"/>
        </w:rPr>
        <w:t xml:space="preserve">: </w:t>
      </w:r>
      <w:r w:rsidRPr="00DF7BB2">
        <w:rPr>
          <w:rFonts w:cs="Times New Roman"/>
          <w:color w:val="auto"/>
          <w:szCs w:val="24"/>
        </w:rPr>
        <w:softHyphen/>
      </w:r>
      <w:r w:rsidRPr="00DF7BB2">
        <w:rPr>
          <w:rFonts w:cs="Times New Roman"/>
          <w:b w:val="0"/>
          <w:color w:val="auto"/>
          <w:szCs w:val="24"/>
        </w:rPr>
        <w:t>-</w:t>
      </w:r>
      <w:r w:rsidRPr="00CF41D2">
        <w:rPr>
          <w:rFonts w:cs="Times New Roman"/>
          <w:szCs w:val="24"/>
        </w:rPr>
        <w:t xml:space="preserve"> </w:t>
      </w:r>
      <w:r w:rsidR="00DF7BB2" w:rsidRPr="00DF7BB2">
        <w:rPr>
          <w:rFonts w:cs="Times New Roman"/>
          <w:color w:val="auto"/>
          <w:szCs w:val="24"/>
        </w:rPr>
        <w:t xml:space="preserve">RELATED </w:t>
      </w:r>
      <w:r w:rsidRPr="00DF7BB2">
        <w:rPr>
          <w:rFonts w:cs="Times New Roman"/>
          <w:color w:val="auto"/>
        </w:rPr>
        <w:t>LITERATURE REVIEW</w:t>
      </w:r>
      <w:bookmarkEnd w:id="28"/>
      <w:bookmarkEnd w:id="29"/>
    </w:p>
    <w:p w:rsidR="00672193" w:rsidRPr="00CF41D2" w:rsidRDefault="00672193" w:rsidP="00672193">
      <w:pPr>
        <w:pStyle w:val="Heading2"/>
        <w:numPr>
          <w:ilvl w:val="1"/>
          <w:numId w:val="3"/>
        </w:numPr>
        <w:spacing w:before="0" w:after="200" w:line="360" w:lineRule="auto"/>
        <w:jc w:val="both"/>
        <w:rPr>
          <w:color w:val="auto"/>
        </w:rPr>
      </w:pPr>
      <w:bookmarkStart w:id="30" w:name="_Toc511725918"/>
      <w:bookmarkStart w:id="31" w:name="_Toc73104274"/>
      <w:r w:rsidRPr="00CF41D2">
        <w:rPr>
          <w:color w:val="auto"/>
        </w:rPr>
        <w:t>Theoretical Literature</w:t>
      </w:r>
      <w:bookmarkEnd w:id="30"/>
      <w:bookmarkEnd w:id="31"/>
    </w:p>
    <w:p w:rsidR="00672193" w:rsidRPr="00CF41D2" w:rsidRDefault="00672193" w:rsidP="00672193">
      <w:pPr>
        <w:pStyle w:val="Heading3"/>
        <w:numPr>
          <w:ilvl w:val="2"/>
          <w:numId w:val="3"/>
        </w:numPr>
        <w:spacing w:before="0" w:after="200" w:line="360" w:lineRule="auto"/>
        <w:jc w:val="both"/>
        <w:rPr>
          <w:rFonts w:cs="Times New Roman"/>
          <w:color w:val="auto"/>
          <w:szCs w:val="24"/>
        </w:rPr>
      </w:pPr>
      <w:bookmarkStart w:id="32" w:name="_Toc511725919"/>
      <w:bookmarkStart w:id="33" w:name="_Toc73104275"/>
      <w:r w:rsidRPr="00CF41D2">
        <w:rPr>
          <w:rFonts w:cs="Times New Roman"/>
          <w:color w:val="auto"/>
          <w:szCs w:val="24"/>
        </w:rPr>
        <w:t>Overview</w:t>
      </w:r>
      <w:bookmarkEnd w:id="32"/>
      <w:bookmarkEnd w:id="33"/>
    </w:p>
    <w:p w:rsidR="00672193" w:rsidRPr="00CF41D2" w:rsidRDefault="00672193" w:rsidP="00672193">
      <w:pPr>
        <w:widowControl w:val="0"/>
        <w:overflowPunct w:val="0"/>
        <w:autoSpaceDE w:val="0"/>
        <w:autoSpaceDN w:val="0"/>
        <w:adjustRightInd w:val="0"/>
        <w:spacing w:line="360" w:lineRule="auto"/>
        <w:jc w:val="both"/>
        <w:rPr>
          <w:szCs w:val="24"/>
        </w:rPr>
      </w:pPr>
      <w:bookmarkStart w:id="34" w:name="_Toc511725920"/>
      <w:r w:rsidRPr="00CF41D2">
        <w:rPr>
          <w:szCs w:val="24"/>
        </w:rPr>
        <w:t>Commercial bank mainly plays an intermediary role between the depositor and borrower. It helps attain optimum allocation of scarce national resources through accumulation of savings in the form of deposits from surplus economic units and provide this deposit to deficit economic units in the form of loans and advances. This indicates that commercial bank is at the heart of an economy’s success (</w:t>
      </w:r>
      <w:proofErr w:type="spellStart"/>
      <w:r w:rsidRPr="00CF41D2">
        <w:rPr>
          <w:szCs w:val="24"/>
        </w:rPr>
        <w:t>Tesfation</w:t>
      </w:r>
      <w:proofErr w:type="spellEnd"/>
      <w:r w:rsidRPr="00CF41D2">
        <w:rPr>
          <w:szCs w:val="24"/>
        </w:rPr>
        <w:t>, 2016).</w:t>
      </w:r>
    </w:p>
    <w:p w:rsidR="00672193" w:rsidRPr="00CF41D2" w:rsidRDefault="00672193" w:rsidP="00672193">
      <w:pPr>
        <w:widowControl w:val="0"/>
        <w:overflowPunct w:val="0"/>
        <w:autoSpaceDE w:val="0"/>
        <w:autoSpaceDN w:val="0"/>
        <w:adjustRightInd w:val="0"/>
        <w:spacing w:line="360" w:lineRule="auto"/>
        <w:jc w:val="both"/>
        <w:rPr>
          <w:szCs w:val="24"/>
        </w:rPr>
      </w:pPr>
      <w:proofErr w:type="spellStart"/>
      <w:r w:rsidRPr="00CF41D2">
        <w:rPr>
          <w:szCs w:val="24"/>
        </w:rPr>
        <w:t>Jha</w:t>
      </w:r>
      <w:proofErr w:type="spellEnd"/>
      <w:r w:rsidRPr="00CF41D2">
        <w:rPr>
          <w:szCs w:val="24"/>
        </w:rPr>
        <w:t xml:space="preserve"> and </w:t>
      </w:r>
      <w:proofErr w:type="spellStart"/>
      <w:r w:rsidRPr="00CF41D2">
        <w:rPr>
          <w:szCs w:val="24"/>
        </w:rPr>
        <w:t>Hui</w:t>
      </w:r>
      <w:proofErr w:type="spellEnd"/>
      <w:r w:rsidRPr="00CF41D2">
        <w:rPr>
          <w:szCs w:val="24"/>
        </w:rPr>
        <w:t xml:space="preserve"> (2012) explain that;</w:t>
      </w:r>
    </w:p>
    <w:p w:rsidR="00672193" w:rsidRPr="00CF41D2" w:rsidRDefault="00672193" w:rsidP="00672193">
      <w:pPr>
        <w:widowControl w:val="0"/>
        <w:overflowPunct w:val="0"/>
        <w:autoSpaceDE w:val="0"/>
        <w:autoSpaceDN w:val="0"/>
        <w:adjustRightInd w:val="0"/>
        <w:spacing w:line="360" w:lineRule="auto"/>
        <w:jc w:val="both"/>
        <w:rPr>
          <w:i/>
          <w:iCs/>
          <w:szCs w:val="24"/>
        </w:rPr>
      </w:pPr>
      <w:r w:rsidRPr="00CF41D2">
        <w:rPr>
          <w:i/>
          <w:iCs/>
          <w:szCs w:val="24"/>
        </w:rPr>
        <w:t>Financial sector is the backbone of the economy of a country. It works as a facilitator for achieving sustained economic growth through providing efficient monetary intermediation. A strong financial system promotes in-vestment by financing productive business opportunities, mobilizing savings, efficiently allocating resources and makes easy the trade of goods and services.”</w:t>
      </w:r>
    </w:p>
    <w:p w:rsidR="00672193" w:rsidRPr="00CF41D2" w:rsidRDefault="00672193" w:rsidP="00672193">
      <w:pPr>
        <w:widowControl w:val="0"/>
        <w:autoSpaceDE w:val="0"/>
        <w:autoSpaceDN w:val="0"/>
        <w:adjustRightInd w:val="0"/>
        <w:spacing w:line="360" w:lineRule="auto"/>
        <w:rPr>
          <w:szCs w:val="24"/>
        </w:rPr>
      </w:pPr>
      <w:proofErr w:type="spellStart"/>
      <w:r w:rsidRPr="00CF41D2">
        <w:rPr>
          <w:szCs w:val="24"/>
        </w:rPr>
        <w:t>Ongore</w:t>
      </w:r>
      <w:proofErr w:type="spellEnd"/>
      <w:r w:rsidRPr="00CF41D2">
        <w:rPr>
          <w:szCs w:val="24"/>
        </w:rPr>
        <w:t xml:space="preserve"> and </w:t>
      </w:r>
      <w:proofErr w:type="spellStart"/>
      <w:r w:rsidRPr="00CF41D2">
        <w:rPr>
          <w:szCs w:val="24"/>
        </w:rPr>
        <w:t>Kusa</w:t>
      </w:r>
      <w:proofErr w:type="spellEnd"/>
      <w:r w:rsidRPr="00CF41D2">
        <w:rPr>
          <w:szCs w:val="24"/>
        </w:rPr>
        <w:t xml:space="preserve"> (2013) also support that;</w:t>
      </w:r>
    </w:p>
    <w:p w:rsidR="00672193" w:rsidRPr="00CF41D2" w:rsidRDefault="00672193" w:rsidP="00672193">
      <w:pPr>
        <w:widowControl w:val="0"/>
        <w:overflowPunct w:val="0"/>
        <w:autoSpaceDE w:val="0"/>
        <w:autoSpaceDN w:val="0"/>
        <w:adjustRightInd w:val="0"/>
        <w:spacing w:line="360" w:lineRule="auto"/>
        <w:jc w:val="both"/>
        <w:rPr>
          <w:i/>
          <w:iCs/>
          <w:szCs w:val="24"/>
        </w:rPr>
      </w:pPr>
      <w:r w:rsidRPr="00CF41D2">
        <w:rPr>
          <w:i/>
          <w:iCs/>
          <w:szCs w:val="24"/>
        </w:rPr>
        <w:t>“Commercial banks play a vital role in the economic resource allocation of countries. They channel funds from depositors to investors continuously. They can do so, if they generate the necessary income to cover their operational cost they incur in the due course. In other words, for sustainable intermediation function, banks need to be profitable. Beyond the inter-mediation function, the financial performance of banks has critical implications for economic growth of countries. Good financial performance rewards the shareholders for their investment. This, in turn, encourages additional investment and brings about economic growth. On the other hand, poor banking performances can lead to banking failure and crisis, which have negative repercussions on the economic growth.”</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Bank performance can be influenced by internal factors (bank specific) and macroeconomic (external) factors such as GDP and inflation. This study is based on the bank specific factors that affect the performance of commercial banks (</w:t>
      </w:r>
      <w:proofErr w:type="spellStart"/>
      <w:r w:rsidRPr="00CF41D2">
        <w:rPr>
          <w:szCs w:val="24"/>
        </w:rPr>
        <w:t>Ongore</w:t>
      </w:r>
      <w:proofErr w:type="spellEnd"/>
      <w:r w:rsidRPr="00CF41D2">
        <w:rPr>
          <w:szCs w:val="24"/>
        </w:rPr>
        <w:t xml:space="preserve"> &amp; </w:t>
      </w:r>
      <w:proofErr w:type="spellStart"/>
      <w:r w:rsidRPr="00CF41D2">
        <w:rPr>
          <w:szCs w:val="24"/>
        </w:rPr>
        <w:t>Kusa</w:t>
      </w:r>
      <w:proofErr w:type="spellEnd"/>
      <w:r w:rsidRPr="00CF41D2">
        <w:rPr>
          <w:szCs w:val="24"/>
        </w:rPr>
        <w:t>, 2013). Among the widely used internal (bank specific) factors based performance measurements is CAMEL rating approach.</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lastRenderedPageBreak/>
        <w:t>The CAMEL model is the most widely used model by researchers and the bank managers as well as the central banks have been implementing the CAMEL framework for evaluating the financial performance of banks (</w:t>
      </w:r>
      <w:proofErr w:type="spellStart"/>
      <w:r w:rsidRPr="00CF41D2">
        <w:rPr>
          <w:szCs w:val="24"/>
        </w:rPr>
        <w:t>Baral</w:t>
      </w:r>
      <w:proofErr w:type="spellEnd"/>
      <w:r w:rsidRPr="00CF41D2">
        <w:rPr>
          <w:szCs w:val="24"/>
        </w:rPr>
        <w:t xml:space="preserve">, 2005; Dang, 2011). </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Dang (2011) argues that the CAMEL framework often used by scholars to proxy the internal (bank specific) factors. CAMEL refers to the portfolio of financial indexes that indicate the financial performance (health) of a firm. It stands for capital adequacy, asset quality, management efficiency, earnings ability and liquidity.</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The next sections present the review of literature that is related and relevant to the bank-specific factor based bank’s financial performance measure opted for this study (i.e. CAMEL).</w:t>
      </w:r>
    </w:p>
    <w:p w:rsidR="00672193" w:rsidRPr="00CF41D2" w:rsidRDefault="00672193" w:rsidP="00672193">
      <w:pPr>
        <w:pStyle w:val="Heading3"/>
        <w:numPr>
          <w:ilvl w:val="2"/>
          <w:numId w:val="3"/>
        </w:numPr>
        <w:spacing w:before="0" w:after="200" w:line="360" w:lineRule="auto"/>
        <w:jc w:val="both"/>
        <w:rPr>
          <w:rFonts w:cs="Times New Roman"/>
          <w:color w:val="auto"/>
          <w:szCs w:val="24"/>
        </w:rPr>
      </w:pPr>
      <w:bookmarkStart w:id="35" w:name="_Toc73104276"/>
      <w:r w:rsidRPr="00CF41D2">
        <w:rPr>
          <w:rFonts w:cs="Times New Roman"/>
          <w:color w:val="auto"/>
          <w:szCs w:val="24"/>
        </w:rPr>
        <w:t>Financial Performance and Financial Performance Analysis</w:t>
      </w:r>
      <w:bookmarkEnd w:id="35"/>
    </w:p>
    <w:p w:rsidR="00672193" w:rsidRPr="00CF41D2" w:rsidRDefault="00672193" w:rsidP="00672193">
      <w:pPr>
        <w:autoSpaceDE w:val="0"/>
        <w:autoSpaceDN w:val="0"/>
        <w:adjustRightInd w:val="0"/>
        <w:spacing w:line="360" w:lineRule="auto"/>
        <w:jc w:val="both"/>
        <w:rPr>
          <w:rFonts w:eastAsia="Times New Roman"/>
          <w:szCs w:val="24"/>
        </w:rPr>
      </w:pPr>
      <w:r w:rsidRPr="00CF41D2">
        <w:rPr>
          <w:rFonts w:eastAsia="Times New Roman"/>
          <w:szCs w:val="24"/>
        </w:rPr>
        <w:t>Financial performance refers to the degree to which financial objectives being or has been accomplished. It is the process of measuring the results of a firm's policies and operations in monetary terms. It is used to measure firm's overall financial health over a given period of time and can also be used to compare similar firms across the same industry or to compare industries or sectors in aggregation (</w:t>
      </w:r>
      <w:proofErr w:type="spellStart"/>
      <w:r w:rsidRPr="00CF41D2">
        <w:rPr>
          <w:iCs/>
          <w:szCs w:val="24"/>
        </w:rPr>
        <w:t>Ehrhardt</w:t>
      </w:r>
      <w:proofErr w:type="spellEnd"/>
      <w:r w:rsidRPr="00CF41D2">
        <w:rPr>
          <w:iCs/>
          <w:szCs w:val="24"/>
        </w:rPr>
        <w:t xml:space="preserve"> &amp; Brigham, 2009)</w:t>
      </w:r>
      <w:r w:rsidRPr="00CF41D2">
        <w:rPr>
          <w:rFonts w:eastAsia="Times New Roman"/>
          <w:szCs w:val="24"/>
        </w:rPr>
        <w:t>.</w:t>
      </w:r>
    </w:p>
    <w:p w:rsidR="00672193" w:rsidRPr="00CF41D2" w:rsidRDefault="00672193" w:rsidP="00672193">
      <w:pPr>
        <w:autoSpaceDE w:val="0"/>
        <w:autoSpaceDN w:val="0"/>
        <w:adjustRightInd w:val="0"/>
        <w:spacing w:line="360" w:lineRule="auto"/>
        <w:jc w:val="both"/>
        <w:rPr>
          <w:rFonts w:eastAsia="Times New Roman"/>
          <w:szCs w:val="24"/>
        </w:rPr>
      </w:pPr>
      <w:r w:rsidRPr="00CF41D2">
        <w:rPr>
          <w:rFonts w:eastAsia="Times New Roman"/>
          <w:szCs w:val="24"/>
        </w:rPr>
        <w:t>In a broader sense, financial performance refers to the degree to which financial objectives being or has been accomplished. It is the process of measuring the results of a firm's policies and operations in monetary terms. It is used to measure firm's overall financial health over a given period of time and can also be used to compare similar firms across the same industry or to compare industries or sectors in aggregation (</w:t>
      </w:r>
      <w:proofErr w:type="spellStart"/>
      <w:r w:rsidRPr="00CF41D2">
        <w:rPr>
          <w:iCs/>
          <w:szCs w:val="24"/>
        </w:rPr>
        <w:t>Ehrhardt</w:t>
      </w:r>
      <w:proofErr w:type="spellEnd"/>
      <w:r w:rsidRPr="00CF41D2">
        <w:rPr>
          <w:iCs/>
          <w:szCs w:val="24"/>
        </w:rPr>
        <w:t xml:space="preserve"> &amp; Brigham, 2009</w:t>
      </w:r>
      <w:r w:rsidRPr="00CF41D2">
        <w:rPr>
          <w:rFonts w:eastAsia="Times New Roman"/>
          <w:szCs w:val="24"/>
        </w:rPr>
        <w:t>).</w:t>
      </w:r>
    </w:p>
    <w:p w:rsidR="00672193" w:rsidRPr="00CF41D2" w:rsidRDefault="00672193" w:rsidP="00672193">
      <w:pPr>
        <w:spacing w:line="360" w:lineRule="auto"/>
        <w:jc w:val="both"/>
        <w:rPr>
          <w:rFonts w:eastAsia="Times New Roman"/>
          <w:szCs w:val="24"/>
        </w:rPr>
      </w:pPr>
      <w:r w:rsidRPr="00CF41D2">
        <w:rPr>
          <w:rFonts w:eastAsia="Times New Roman"/>
          <w:szCs w:val="24"/>
        </w:rPr>
        <w:t>Financial performance analysis is the process of identifying the financial strengths and weaknesses of the firm by properly establishing the relationship between the items of balance sheet and profit and loss account. It also helps in short-term and long term forecasting and growth can be identified with the help of financial performance analysis (</w:t>
      </w:r>
      <w:proofErr w:type="spellStart"/>
      <w:r w:rsidRPr="00CF41D2">
        <w:rPr>
          <w:iCs/>
          <w:szCs w:val="24"/>
        </w:rPr>
        <w:t>Ehrhardt</w:t>
      </w:r>
      <w:proofErr w:type="spellEnd"/>
      <w:r w:rsidRPr="00CF41D2">
        <w:rPr>
          <w:iCs/>
          <w:szCs w:val="24"/>
        </w:rPr>
        <w:t xml:space="preserve"> &amp; Brigham, 2009)</w:t>
      </w:r>
      <w:r w:rsidRPr="00CF41D2">
        <w:rPr>
          <w:rFonts w:eastAsia="Times New Roman"/>
          <w:szCs w:val="24"/>
        </w:rPr>
        <w:t xml:space="preserve">. The dictionary meaning of ‘analysis’ is to resolve or separate a thing in to its element or components parts for tracing their relation to the things as whole and to each other. </w:t>
      </w:r>
    </w:p>
    <w:p w:rsidR="00672193" w:rsidRPr="00CF41D2" w:rsidRDefault="00672193" w:rsidP="00672193">
      <w:pPr>
        <w:spacing w:line="360" w:lineRule="auto"/>
        <w:jc w:val="both"/>
        <w:rPr>
          <w:rFonts w:eastAsia="Times New Roman"/>
          <w:szCs w:val="24"/>
        </w:rPr>
      </w:pPr>
      <w:r w:rsidRPr="00CF41D2">
        <w:rPr>
          <w:rFonts w:eastAsia="Times New Roman"/>
          <w:szCs w:val="24"/>
        </w:rPr>
        <w:t xml:space="preserve">The analysis of financial statement is a process of evaluating the relationship between the component parts of financial statement to obtain a better understanding of the firm’s position and performance. This analysis can be undertaken by management of the firm or by parties outside of </w:t>
      </w:r>
      <w:r w:rsidRPr="00CF41D2">
        <w:rPr>
          <w:rFonts w:eastAsia="Times New Roman"/>
          <w:szCs w:val="24"/>
        </w:rPr>
        <w:lastRenderedPageBreak/>
        <w:t>the organization. In short, the firm itself as well as various interested groups such as managers, shareholders, creditors, tax authorities, and others seeks answers to the following important questions: What is the financial position of the firm at a given point of time? And how is the financial performance of the firm over a given period of time?</w:t>
      </w:r>
    </w:p>
    <w:p w:rsidR="00672193" w:rsidRPr="00CF41D2" w:rsidRDefault="00672193" w:rsidP="00672193">
      <w:pPr>
        <w:spacing w:line="360" w:lineRule="auto"/>
        <w:jc w:val="both"/>
        <w:rPr>
          <w:rFonts w:eastAsia="Times New Roman"/>
          <w:szCs w:val="24"/>
        </w:rPr>
      </w:pPr>
      <w:r w:rsidRPr="00CF41D2">
        <w:rPr>
          <w:rFonts w:eastAsia="Times New Roman"/>
          <w:szCs w:val="24"/>
        </w:rPr>
        <w:t>These questions can be answered with the help of financial performance analysis of a firm. Financial performance analysis involves the use of financial statements.</w:t>
      </w:r>
    </w:p>
    <w:p w:rsidR="00672193" w:rsidRPr="00CF41D2" w:rsidRDefault="00672193" w:rsidP="00672193">
      <w:pPr>
        <w:spacing w:line="360" w:lineRule="auto"/>
        <w:jc w:val="both"/>
        <w:rPr>
          <w:rFonts w:eastAsia="Times New Roman"/>
          <w:szCs w:val="24"/>
        </w:rPr>
      </w:pPr>
      <w:r w:rsidRPr="00CF41D2">
        <w:rPr>
          <w:rFonts w:eastAsia="Times New Roman"/>
          <w:szCs w:val="24"/>
        </w:rPr>
        <w:t>A financial statement is an organized collection of data according to logical and consistent accounting procedures. Its purpose is to convey an understanding of some financial aspects of a business firm. The financial statements are prepared with a view to depict the financial position of the concern. They are based on the recorded facts and are usually expressed in monetary terms. The financial statement are prepared periodically that is generally for the accounting period.</w:t>
      </w:r>
    </w:p>
    <w:p w:rsidR="00672193" w:rsidRPr="00CF41D2" w:rsidRDefault="00672193" w:rsidP="00672193">
      <w:pPr>
        <w:spacing w:line="360" w:lineRule="auto"/>
        <w:jc w:val="both"/>
        <w:rPr>
          <w:rFonts w:eastAsia="Times New Roman"/>
          <w:szCs w:val="24"/>
        </w:rPr>
      </w:pPr>
      <w:r w:rsidRPr="00CF41D2">
        <w:rPr>
          <w:rFonts w:eastAsia="Times New Roman"/>
          <w:szCs w:val="24"/>
        </w:rPr>
        <w:t>According to (</w:t>
      </w:r>
      <w:proofErr w:type="spellStart"/>
      <w:r w:rsidRPr="00CF41D2">
        <w:rPr>
          <w:iCs/>
          <w:szCs w:val="24"/>
        </w:rPr>
        <w:t>Ehrhardt</w:t>
      </w:r>
      <w:proofErr w:type="spellEnd"/>
      <w:r w:rsidRPr="00CF41D2">
        <w:rPr>
          <w:iCs/>
          <w:szCs w:val="24"/>
        </w:rPr>
        <w:t xml:space="preserve"> &amp; Brigham, 2009</w:t>
      </w:r>
      <w:r w:rsidRPr="00CF41D2">
        <w:rPr>
          <w:rFonts w:eastAsia="Times New Roman"/>
          <w:szCs w:val="24"/>
        </w:rPr>
        <w:t xml:space="preserve">) “The financial statement provides summary of accounts of a business enterprise, the balance sheet reflecting assets, liabilities and capital as on a certain date and the income statement showing the result of operation during a certain period”. It may show a position at a moment of time as in the case of a balance sheet, or may reveal a series of activities over a given period of time, as in the case of an income statement. Thus, the term ‘financial statements’ generally refers to two basic statements: the balance sheet and the income statement. </w:t>
      </w:r>
    </w:p>
    <w:p w:rsidR="00672193" w:rsidRPr="00CF41D2" w:rsidRDefault="00672193" w:rsidP="00672193">
      <w:pPr>
        <w:spacing w:line="360" w:lineRule="auto"/>
        <w:jc w:val="both"/>
        <w:rPr>
          <w:rFonts w:eastAsia="Times New Roman"/>
          <w:szCs w:val="24"/>
        </w:rPr>
      </w:pPr>
      <w:r w:rsidRPr="00CF41D2">
        <w:rPr>
          <w:rFonts w:eastAsia="Times New Roman"/>
          <w:szCs w:val="24"/>
        </w:rPr>
        <w:t xml:space="preserve">The balance sheet shows the financial position of the firm at a given point of time. It provides a snapshot and may be regarded as a static picture. “Balance sheet is a summary of a firm’s financial position on a given date that shows Total assets = Total liabilities + Owner’s equity.” </w:t>
      </w:r>
    </w:p>
    <w:p w:rsidR="00672193" w:rsidRPr="00CF41D2" w:rsidRDefault="00672193" w:rsidP="00672193">
      <w:pPr>
        <w:spacing w:line="360" w:lineRule="auto"/>
        <w:jc w:val="both"/>
        <w:rPr>
          <w:rFonts w:eastAsia="Times New Roman"/>
          <w:szCs w:val="24"/>
        </w:rPr>
      </w:pPr>
      <w:r w:rsidRPr="00CF41D2">
        <w:rPr>
          <w:rFonts w:eastAsia="Times New Roman"/>
          <w:szCs w:val="24"/>
        </w:rPr>
        <w:t>The income statement (referred as the profit and loss statement) reflects the performance of the firm over a period of time. “Income statement is a summary of a firm’s revenues and expenses over a specified period, ending with net income or loss for the period.” However, financial statements do not reveal all the information related to the financial operations of a firm, but they furnish some extremely useful information, which highlights two important factors profitability and financial soundness. Thus analysis of financial statements is an important aid to financial performance analysis.</w:t>
      </w:r>
    </w:p>
    <w:p w:rsidR="00672193" w:rsidRPr="00CF41D2" w:rsidRDefault="00672193" w:rsidP="00672193">
      <w:pPr>
        <w:pStyle w:val="Heading3"/>
        <w:numPr>
          <w:ilvl w:val="2"/>
          <w:numId w:val="3"/>
        </w:numPr>
        <w:spacing w:before="0" w:after="200" w:line="360" w:lineRule="auto"/>
        <w:jc w:val="both"/>
        <w:rPr>
          <w:rFonts w:cs="Times New Roman"/>
          <w:color w:val="auto"/>
          <w:szCs w:val="24"/>
        </w:rPr>
      </w:pPr>
      <w:bookmarkStart w:id="36" w:name="_Toc515973734"/>
      <w:bookmarkStart w:id="37" w:name="_Toc73104277"/>
      <w:bookmarkEnd w:id="34"/>
      <w:r w:rsidRPr="00CF41D2">
        <w:rPr>
          <w:rFonts w:cs="Times New Roman"/>
          <w:color w:val="auto"/>
          <w:szCs w:val="24"/>
        </w:rPr>
        <w:lastRenderedPageBreak/>
        <w:t>The Need for Banking Sector Performance Measurement</w:t>
      </w:r>
      <w:bookmarkEnd w:id="36"/>
      <w:bookmarkEnd w:id="37"/>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 xml:space="preserve">Banking sector is an important and unquestionable determinant of the economic development as it directs the flow of the funds from surplus economic units of the economy towards deficit economic units (Khan, 2006). Banking industry being an important pillar of financial sector of an economy, its performance measurement cannot be neglected. </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 xml:space="preserve">Role of financial institutions and banks in particular in economic development of a country is accepted and acknowledged by Joseph Schumpeter way back in 1911. He argued that functions performed by financial institutions such as mobilizing savings of the surplus units of an economy, risk measuring and management activities, complicated transactions being performed by these institutions and evaluation of the business projects all together increase the pace of economic growth (King &amp; Levine, 1993). </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Hicks also argued in his theory of economic development that financial institutions play an important role in the growth of an economy (</w:t>
      </w:r>
      <w:proofErr w:type="spellStart"/>
      <w:r w:rsidRPr="00CF41D2">
        <w:rPr>
          <w:szCs w:val="24"/>
        </w:rPr>
        <w:t>Samules</w:t>
      </w:r>
      <w:proofErr w:type="spellEnd"/>
      <w:r w:rsidRPr="00CF41D2">
        <w:rPr>
          <w:szCs w:val="24"/>
        </w:rPr>
        <w:t xml:space="preserve">, 1993). Goldsmith also argued that size of a financial system plays a pivotal role in economic development and proved it trough his research on a sample of 35 different countries that they show positive correlation among each other. </w:t>
      </w:r>
    </w:p>
    <w:p w:rsidR="00672193" w:rsidRPr="00CF41D2" w:rsidRDefault="00672193" w:rsidP="00672193">
      <w:pPr>
        <w:pStyle w:val="Heading3"/>
        <w:numPr>
          <w:ilvl w:val="2"/>
          <w:numId w:val="3"/>
        </w:numPr>
        <w:spacing w:before="0" w:after="200" w:line="360" w:lineRule="auto"/>
        <w:jc w:val="both"/>
        <w:rPr>
          <w:rFonts w:cs="Times New Roman"/>
          <w:color w:val="auto"/>
          <w:szCs w:val="24"/>
        </w:rPr>
      </w:pPr>
      <w:bookmarkStart w:id="38" w:name="_Toc515973735"/>
      <w:bookmarkStart w:id="39" w:name="_Toc73104278"/>
      <w:r w:rsidRPr="00CF41D2">
        <w:rPr>
          <w:rFonts w:cs="Times New Roman"/>
          <w:color w:val="auto"/>
          <w:szCs w:val="24"/>
        </w:rPr>
        <w:t>Fundamentals of CAMELS Rating Approach</w:t>
      </w:r>
      <w:bookmarkEnd w:id="38"/>
      <w:bookmarkEnd w:id="39"/>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The Uniform Financial Institution Rating System (UFIRS) which is commonly referred to as CAMEL rating was proved to be an effective internal supervisory tool for evaluating the soundness of a financial firm. The bank supervisory authorities assign each bank a score on a scale of one (best) to five (worst) for each factor. If a bank has an average score less than two it is considered to be a high-quality institution, while banks with scores greater than three are considered to be less-than-satisfactory establishments (UFIRS, 1997, as cited by Dang, 2011).</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rFonts w:eastAsia="TimesNewRoman"/>
          <w:szCs w:val="24"/>
        </w:rPr>
        <w:t xml:space="preserve">CAMEL rating system was first introduced by U.S supervisory authorities as a system of rating for onsite examinations of banking institutions. Under this system, each banking initiation subject to on-site examination is evaluated on the basis of five (now six) critical dimensions relating to the bank’s operations &amp; performance, which are referred to as the component factors. These are capital, Asset Quality, Management, Earnings, liquidity and sensitivity to market risk used to reflect the financial performance, financial condition, operations soundness and </w:t>
      </w:r>
      <w:r w:rsidRPr="00CF41D2">
        <w:rPr>
          <w:rFonts w:eastAsia="TimesNewRoman"/>
          <w:szCs w:val="24"/>
        </w:rPr>
        <w:lastRenderedPageBreak/>
        <w:t>regulatory compliance of the banking institution.</w:t>
      </w:r>
    </w:p>
    <w:p w:rsidR="00672193" w:rsidRPr="00CF41D2" w:rsidRDefault="00672193" w:rsidP="00672193">
      <w:pPr>
        <w:autoSpaceDE w:val="0"/>
        <w:autoSpaceDN w:val="0"/>
        <w:adjustRightInd w:val="0"/>
        <w:spacing w:line="360" w:lineRule="auto"/>
        <w:jc w:val="both"/>
        <w:rPr>
          <w:rFonts w:eastAsia="TimesNewRoman"/>
          <w:szCs w:val="24"/>
        </w:rPr>
      </w:pPr>
      <w:proofErr w:type="spellStart"/>
      <w:r w:rsidRPr="00CF41D2">
        <w:t>Ongore</w:t>
      </w:r>
      <w:proofErr w:type="spellEnd"/>
      <w:r w:rsidRPr="00CF41D2">
        <w:t xml:space="preserve"> and </w:t>
      </w:r>
      <w:proofErr w:type="spellStart"/>
      <w:r w:rsidRPr="00CF41D2">
        <w:t>Kusa</w:t>
      </w:r>
      <w:proofErr w:type="spellEnd"/>
      <w:r w:rsidRPr="00CF41D2">
        <w:t xml:space="preserve"> (2013) state that;</w:t>
      </w:r>
    </w:p>
    <w:p w:rsidR="00672193" w:rsidRPr="00CF41D2" w:rsidRDefault="00672193" w:rsidP="00672193">
      <w:pPr>
        <w:widowControl w:val="0"/>
        <w:overflowPunct w:val="0"/>
        <w:autoSpaceDE w:val="0"/>
        <w:autoSpaceDN w:val="0"/>
        <w:adjustRightInd w:val="0"/>
        <w:spacing w:line="360" w:lineRule="auto"/>
        <w:ind w:left="720"/>
        <w:jc w:val="both"/>
        <w:rPr>
          <w:i/>
          <w:iCs/>
          <w:szCs w:val="24"/>
        </w:rPr>
      </w:pPr>
      <w:r w:rsidRPr="00CF41D2">
        <w:rPr>
          <w:i/>
          <w:iCs/>
          <w:szCs w:val="24"/>
        </w:rPr>
        <w:t>“Profit is the ultimate goal of commercial banks. All the strategies designed and activities performed thereof are meant to realize this grand objective. However, this does not mean that commercial banks have no other goals. Commercial banks could also have additional social and economic goals.”</w:t>
      </w:r>
    </w:p>
    <w:p w:rsidR="00672193" w:rsidRPr="00CF41D2" w:rsidRDefault="00672193" w:rsidP="00672193">
      <w:pPr>
        <w:autoSpaceDE w:val="0"/>
        <w:autoSpaceDN w:val="0"/>
        <w:adjustRightInd w:val="0"/>
        <w:spacing w:line="360" w:lineRule="auto"/>
        <w:jc w:val="both"/>
        <w:rPr>
          <w:rFonts w:eastAsia="TimesNewRoman"/>
          <w:szCs w:val="24"/>
        </w:rPr>
      </w:pPr>
      <w:r w:rsidRPr="00CF41D2">
        <w:rPr>
          <w:rFonts w:eastAsia="TimesNewRoman"/>
          <w:szCs w:val="24"/>
        </w:rPr>
        <w:t>A Composite rating is assigned as an abridgement of the component rating and is taken as the prime indicator of a bank`s current financial condition .The composite rating ranges between 1 (best) and 5 (worst) and also involves a certain amount of subjectivity based on the examiners` overall assessment of the initiation in view of the individual component assessments.</w:t>
      </w:r>
    </w:p>
    <w:p w:rsidR="00672193" w:rsidRPr="00CF41D2" w:rsidRDefault="00672193" w:rsidP="00672193">
      <w:pPr>
        <w:autoSpaceDE w:val="0"/>
        <w:autoSpaceDN w:val="0"/>
        <w:adjustRightInd w:val="0"/>
        <w:spacing w:line="360" w:lineRule="auto"/>
        <w:jc w:val="both"/>
        <w:rPr>
          <w:rFonts w:eastAsia="TimesNewRoman"/>
          <w:szCs w:val="24"/>
        </w:rPr>
      </w:pPr>
      <w:r w:rsidRPr="00CF41D2">
        <w:rPr>
          <w:rFonts w:eastAsia="TimesNewRoman"/>
          <w:szCs w:val="24"/>
        </w:rPr>
        <w:t>Composite and component ratings are assigned based on a 5 to 1 numerical scale. A 5 indicates the highest rating, strongest performance and risk management processes, and least degree of supervisory concern, while a 1 indicates the lowest rating, weakest performance, inadequate risk management practices and, therefore, the highest degree of supervisory concern.</w:t>
      </w:r>
    </w:p>
    <w:p w:rsidR="00672193" w:rsidRPr="00CF41D2" w:rsidRDefault="00672193" w:rsidP="00672193">
      <w:pPr>
        <w:autoSpaceDE w:val="0"/>
        <w:autoSpaceDN w:val="0"/>
        <w:adjustRightInd w:val="0"/>
        <w:spacing w:line="360" w:lineRule="auto"/>
        <w:jc w:val="both"/>
        <w:rPr>
          <w:rFonts w:eastAsia="TimesNewRoman"/>
          <w:szCs w:val="24"/>
        </w:rPr>
      </w:pPr>
      <w:r w:rsidRPr="00CF41D2">
        <w:rPr>
          <w:rFonts w:eastAsia="TimesNewRoman"/>
          <w:szCs w:val="24"/>
        </w:rPr>
        <w:t xml:space="preserve">The composite rating generally bears a close relationship to the component ratings assigned. However, the composite rating is not derived by computing an arithmetic average of the component ratings. </w:t>
      </w:r>
    </w:p>
    <w:p w:rsidR="00672193" w:rsidRPr="00CF41D2" w:rsidRDefault="00672193" w:rsidP="00672193">
      <w:pPr>
        <w:autoSpaceDE w:val="0"/>
        <w:autoSpaceDN w:val="0"/>
        <w:adjustRightInd w:val="0"/>
        <w:spacing w:line="360" w:lineRule="auto"/>
        <w:jc w:val="both"/>
        <w:rPr>
          <w:rFonts w:eastAsia="TimesNewRoman"/>
          <w:szCs w:val="24"/>
        </w:rPr>
      </w:pPr>
      <w:r w:rsidRPr="00CF41D2">
        <w:rPr>
          <w:rFonts w:eastAsia="TimesNewRoman"/>
          <w:szCs w:val="24"/>
        </w:rPr>
        <w:t>Each component rating is based on a qualitative analysis, as well as quantitative assessment, whenever applicable, of the factors comprising that component and its interrelationship with the other components when assigning a composite rating, some components may be given more weight than other depending on the situation at the institution. In general, assignment of a composite rating may incorporate any factor that bears significantly on the overall condition and soundness of the institution.</w:t>
      </w:r>
    </w:p>
    <w:p w:rsidR="00672193" w:rsidRPr="00CF41D2" w:rsidRDefault="00672193" w:rsidP="00672193">
      <w:pPr>
        <w:autoSpaceDE w:val="0"/>
        <w:autoSpaceDN w:val="0"/>
        <w:adjustRightInd w:val="0"/>
        <w:spacing w:line="360" w:lineRule="auto"/>
        <w:jc w:val="both"/>
        <w:rPr>
          <w:szCs w:val="24"/>
        </w:rPr>
      </w:pPr>
      <w:r w:rsidRPr="00CF41D2">
        <w:rPr>
          <w:szCs w:val="24"/>
        </w:rPr>
        <w:t>The bank supervisory authorities assign each bank a score on a scale of one (best) to five (worst) for each factor. If a bank has an average score less than two it is considered to be a high-quality institution, while banks with scores greater than three are considered to be less-than-satisfactory establishments (UFIRS, 1997, as cited by Dang, 2011).</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 xml:space="preserve">According to the Federal Deposit Insurance Corporation (FDIC, 2015), following is the detail of </w:t>
      </w:r>
      <w:r w:rsidRPr="00CF41D2">
        <w:rPr>
          <w:szCs w:val="24"/>
        </w:rPr>
        <w:lastRenderedPageBreak/>
        <w:t>the CAMELS composite ratings range from 1 to 5:</w:t>
      </w:r>
    </w:p>
    <w:p w:rsidR="00672193" w:rsidRPr="00CF41D2" w:rsidRDefault="00672193" w:rsidP="00672193">
      <w:pPr>
        <w:widowControl w:val="0"/>
        <w:numPr>
          <w:ilvl w:val="0"/>
          <w:numId w:val="29"/>
        </w:numPr>
        <w:overflowPunct w:val="0"/>
        <w:autoSpaceDE w:val="0"/>
        <w:autoSpaceDN w:val="0"/>
        <w:adjustRightInd w:val="0"/>
        <w:spacing w:line="360" w:lineRule="auto"/>
        <w:ind w:left="357" w:hanging="357"/>
        <w:jc w:val="both"/>
        <w:rPr>
          <w:b/>
          <w:bCs/>
          <w:szCs w:val="24"/>
        </w:rPr>
      </w:pPr>
      <w:r w:rsidRPr="00CF41D2">
        <w:rPr>
          <w:b/>
          <w:i/>
          <w:iCs/>
          <w:szCs w:val="24"/>
        </w:rPr>
        <w:t>Composite “1”-</w:t>
      </w:r>
      <w:r w:rsidRPr="00CF41D2">
        <w:rPr>
          <w:i/>
          <w:iCs/>
          <w:szCs w:val="24"/>
        </w:rPr>
        <w:t xml:space="preserve"> </w:t>
      </w:r>
      <w:r w:rsidRPr="00CF41D2">
        <w:rPr>
          <w:szCs w:val="24"/>
        </w:rPr>
        <w:t>Institutions in this group are basically sound in every</w:t>
      </w:r>
      <w:r w:rsidRPr="00CF41D2">
        <w:rPr>
          <w:i/>
          <w:iCs/>
          <w:szCs w:val="24"/>
        </w:rPr>
        <w:t xml:space="preserve"> </w:t>
      </w:r>
      <w:r w:rsidRPr="00CF41D2">
        <w:rPr>
          <w:szCs w:val="24"/>
        </w:rPr>
        <w:t xml:space="preserve">respect. </w:t>
      </w:r>
    </w:p>
    <w:p w:rsidR="00672193" w:rsidRPr="00CF41D2" w:rsidRDefault="00672193" w:rsidP="00672193">
      <w:pPr>
        <w:widowControl w:val="0"/>
        <w:numPr>
          <w:ilvl w:val="0"/>
          <w:numId w:val="29"/>
        </w:numPr>
        <w:overflowPunct w:val="0"/>
        <w:autoSpaceDE w:val="0"/>
        <w:autoSpaceDN w:val="0"/>
        <w:adjustRightInd w:val="0"/>
        <w:spacing w:line="360" w:lineRule="auto"/>
        <w:ind w:left="357" w:hanging="357"/>
        <w:jc w:val="both"/>
        <w:rPr>
          <w:b/>
          <w:bCs/>
          <w:szCs w:val="24"/>
        </w:rPr>
      </w:pPr>
      <w:r w:rsidRPr="00CF41D2">
        <w:rPr>
          <w:b/>
          <w:i/>
          <w:iCs/>
          <w:szCs w:val="24"/>
        </w:rPr>
        <w:t>Composite “2”-</w:t>
      </w:r>
      <w:r w:rsidRPr="00CF41D2">
        <w:rPr>
          <w:szCs w:val="24"/>
        </w:rPr>
        <w:t>Institutions in this group are fundamentally sound, but</w:t>
      </w:r>
      <w:r w:rsidRPr="00CF41D2">
        <w:rPr>
          <w:i/>
          <w:iCs/>
          <w:szCs w:val="24"/>
        </w:rPr>
        <w:t xml:space="preserve"> </w:t>
      </w:r>
      <w:r w:rsidRPr="00CF41D2">
        <w:rPr>
          <w:szCs w:val="24"/>
        </w:rPr>
        <w:t xml:space="preserve">may reflect modest weaknesses correctable in the normal course of business. </w:t>
      </w:r>
    </w:p>
    <w:p w:rsidR="00672193" w:rsidRPr="00CF41D2" w:rsidRDefault="00672193" w:rsidP="00672193">
      <w:pPr>
        <w:widowControl w:val="0"/>
        <w:numPr>
          <w:ilvl w:val="0"/>
          <w:numId w:val="29"/>
        </w:numPr>
        <w:overflowPunct w:val="0"/>
        <w:autoSpaceDE w:val="0"/>
        <w:autoSpaceDN w:val="0"/>
        <w:adjustRightInd w:val="0"/>
        <w:spacing w:line="360" w:lineRule="auto"/>
        <w:ind w:left="357" w:hanging="357"/>
        <w:jc w:val="both"/>
        <w:rPr>
          <w:b/>
          <w:bCs/>
        </w:rPr>
      </w:pPr>
      <w:r w:rsidRPr="00CF41D2">
        <w:rPr>
          <w:b/>
          <w:i/>
          <w:iCs/>
        </w:rPr>
        <w:t>Composite “3”-</w:t>
      </w:r>
      <w:r w:rsidRPr="00CF41D2">
        <w:rPr>
          <w:i/>
          <w:iCs/>
        </w:rPr>
        <w:t xml:space="preserve"> </w:t>
      </w:r>
      <w:r w:rsidRPr="00CF41D2">
        <w:t xml:space="preserve">Institutions in this category exhibit financial, operational, or compliance weaknesses ranging from moderately severe to unsatisfactory. </w:t>
      </w:r>
    </w:p>
    <w:p w:rsidR="00672193" w:rsidRPr="00CF41D2" w:rsidRDefault="00672193" w:rsidP="00672193">
      <w:pPr>
        <w:widowControl w:val="0"/>
        <w:numPr>
          <w:ilvl w:val="0"/>
          <w:numId w:val="29"/>
        </w:numPr>
        <w:overflowPunct w:val="0"/>
        <w:autoSpaceDE w:val="0"/>
        <w:autoSpaceDN w:val="0"/>
        <w:adjustRightInd w:val="0"/>
        <w:spacing w:line="360" w:lineRule="auto"/>
        <w:ind w:left="357" w:hanging="357"/>
        <w:jc w:val="both"/>
        <w:rPr>
          <w:b/>
          <w:bCs/>
        </w:rPr>
      </w:pPr>
      <w:r w:rsidRPr="00CF41D2">
        <w:rPr>
          <w:b/>
          <w:i/>
          <w:iCs/>
        </w:rPr>
        <w:t>Composite “4”-</w:t>
      </w:r>
      <w:r w:rsidRPr="00CF41D2">
        <w:rPr>
          <w:i/>
          <w:iCs/>
        </w:rPr>
        <w:t xml:space="preserve"> </w:t>
      </w:r>
      <w:r w:rsidRPr="00CF41D2">
        <w:t>Institutions in this group have an immoderate volume</w:t>
      </w:r>
      <w:r w:rsidRPr="00CF41D2">
        <w:rPr>
          <w:i/>
          <w:iCs/>
        </w:rPr>
        <w:t xml:space="preserve"> </w:t>
      </w:r>
      <w:r w:rsidRPr="00CF41D2">
        <w:t xml:space="preserve">of serious financial weaknesses or a combination of other conditions that are unsatisfactory. </w:t>
      </w:r>
    </w:p>
    <w:p w:rsidR="00672193" w:rsidRPr="00CF41D2" w:rsidRDefault="00672193" w:rsidP="00672193">
      <w:pPr>
        <w:widowControl w:val="0"/>
        <w:numPr>
          <w:ilvl w:val="0"/>
          <w:numId w:val="29"/>
        </w:numPr>
        <w:overflowPunct w:val="0"/>
        <w:autoSpaceDE w:val="0"/>
        <w:autoSpaceDN w:val="0"/>
        <w:adjustRightInd w:val="0"/>
        <w:spacing w:line="360" w:lineRule="auto"/>
        <w:ind w:left="357" w:hanging="357"/>
        <w:jc w:val="both"/>
        <w:rPr>
          <w:b/>
          <w:bCs/>
        </w:rPr>
      </w:pPr>
      <w:r w:rsidRPr="00CF41D2">
        <w:rPr>
          <w:b/>
          <w:i/>
          <w:iCs/>
        </w:rPr>
        <w:t>Composite “5”-</w:t>
      </w:r>
      <w:r w:rsidRPr="00CF41D2">
        <w:t>This category is reserved for institutions with an extremely high immediate or near term probability of failure.</w:t>
      </w:r>
    </w:p>
    <w:p w:rsidR="00672193" w:rsidRPr="00CF41D2" w:rsidRDefault="00672193" w:rsidP="00672193">
      <w:pPr>
        <w:pStyle w:val="Heading3"/>
        <w:numPr>
          <w:ilvl w:val="2"/>
          <w:numId w:val="3"/>
        </w:numPr>
        <w:spacing w:before="0" w:after="200" w:line="360" w:lineRule="auto"/>
        <w:jc w:val="both"/>
        <w:rPr>
          <w:rFonts w:cs="Times New Roman"/>
          <w:color w:val="auto"/>
          <w:szCs w:val="24"/>
        </w:rPr>
      </w:pPr>
      <w:bookmarkStart w:id="40" w:name="_Toc515973736"/>
      <w:bookmarkStart w:id="41" w:name="_Toc73104279"/>
      <w:r w:rsidRPr="00CF41D2">
        <w:rPr>
          <w:rFonts w:cs="Times New Roman"/>
          <w:color w:val="auto"/>
          <w:szCs w:val="24"/>
        </w:rPr>
        <w:t>Components of CAMEL Rating System</w:t>
      </w:r>
      <w:bookmarkEnd w:id="40"/>
      <w:bookmarkEnd w:id="41"/>
    </w:p>
    <w:p w:rsidR="00672193" w:rsidRPr="00CF41D2" w:rsidRDefault="00672193" w:rsidP="00672193">
      <w:pPr>
        <w:autoSpaceDE w:val="0"/>
        <w:autoSpaceDN w:val="0"/>
        <w:adjustRightInd w:val="0"/>
        <w:spacing w:line="360" w:lineRule="auto"/>
        <w:jc w:val="both"/>
        <w:rPr>
          <w:rFonts w:eastAsia="TimesNewRoman"/>
          <w:szCs w:val="24"/>
        </w:rPr>
      </w:pPr>
      <w:r w:rsidRPr="00CF41D2">
        <w:rPr>
          <w:rFonts w:eastAsia="TimesNewRoman"/>
          <w:szCs w:val="24"/>
        </w:rPr>
        <w:t xml:space="preserve">According to </w:t>
      </w:r>
      <w:proofErr w:type="spellStart"/>
      <w:r w:rsidRPr="00CF41D2">
        <w:rPr>
          <w:rFonts w:eastAsia="TimesNewRoman"/>
          <w:szCs w:val="24"/>
        </w:rPr>
        <w:t>Sarker</w:t>
      </w:r>
      <w:proofErr w:type="spellEnd"/>
      <w:r w:rsidRPr="00CF41D2">
        <w:rPr>
          <w:rFonts w:eastAsia="TimesNewRoman"/>
          <w:szCs w:val="24"/>
        </w:rPr>
        <w:t xml:space="preserve"> (2006), CAMEL ratings generally assess the overall soundness of the banks, and identify and predict different risk factors that may contribute to turn the bank into a problem or failed bank. </w:t>
      </w:r>
    </w:p>
    <w:p w:rsidR="00672193" w:rsidRPr="00CF41D2" w:rsidRDefault="00672193" w:rsidP="00672193">
      <w:pPr>
        <w:autoSpaceDE w:val="0"/>
        <w:autoSpaceDN w:val="0"/>
        <w:adjustRightInd w:val="0"/>
        <w:spacing w:line="360" w:lineRule="auto"/>
        <w:jc w:val="both"/>
        <w:rPr>
          <w:rFonts w:eastAsia="TimesNewRoman"/>
          <w:szCs w:val="24"/>
        </w:rPr>
      </w:pPr>
      <w:r w:rsidRPr="00CF41D2">
        <w:rPr>
          <w:rFonts w:eastAsia="TimesNewRoman"/>
          <w:szCs w:val="24"/>
        </w:rPr>
        <w:t>The components of CAMEL are further described as follows (</w:t>
      </w:r>
      <w:proofErr w:type="spellStart"/>
      <w:r w:rsidRPr="00CF41D2">
        <w:rPr>
          <w:rFonts w:eastAsia="TimesNewRoman"/>
          <w:szCs w:val="24"/>
        </w:rPr>
        <w:t>Sarker</w:t>
      </w:r>
      <w:proofErr w:type="spellEnd"/>
      <w:r w:rsidRPr="00CF41D2">
        <w:rPr>
          <w:rFonts w:eastAsia="TimesNewRoman"/>
          <w:szCs w:val="24"/>
        </w:rPr>
        <w:t>, 2006 and Dang, 2011).</w:t>
      </w:r>
    </w:p>
    <w:p w:rsidR="00672193" w:rsidRPr="00CF41D2" w:rsidRDefault="00672193" w:rsidP="00672193">
      <w:pPr>
        <w:pStyle w:val="Heading4"/>
        <w:numPr>
          <w:ilvl w:val="3"/>
          <w:numId w:val="3"/>
        </w:numPr>
        <w:spacing w:before="0" w:after="200" w:line="360" w:lineRule="auto"/>
        <w:rPr>
          <w:rFonts w:eastAsia="TimesNewRoman" w:cs="Times New Roman"/>
          <w:color w:val="auto"/>
          <w:sz w:val="24"/>
          <w:szCs w:val="24"/>
        </w:rPr>
      </w:pPr>
      <w:r w:rsidRPr="00CF41D2">
        <w:rPr>
          <w:rFonts w:cs="Times New Roman"/>
          <w:color w:val="auto"/>
          <w:sz w:val="24"/>
          <w:szCs w:val="24"/>
        </w:rPr>
        <w:t>Capital Adequacy</w:t>
      </w:r>
      <w:r w:rsidRPr="00CF41D2">
        <w:rPr>
          <w:rFonts w:eastAsia="TimesNewRoman" w:cs="Times New Roman"/>
          <w:color w:val="auto"/>
          <w:sz w:val="24"/>
          <w:szCs w:val="24"/>
        </w:rPr>
        <w:t xml:space="preserve"> </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Capital adequacy is the capital expected to maintain balance with the risks exposure of the financial institution such as credit risk, market risk and operational risk, in order to absorb the potential losses and protect the financial institution‘s debt holder. “Meeting statutory minimum capital requirement is the key factor in deciding the capital adequacy, and maintaining an adequate level of capital is a critical element” (Dang, 2011).</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IT refers to the adequacy of the amount of own capital available to support the bank’s business and act as a buffer in case of adverse situation or any shock. It is judged on the basis of Capital Adequacy Ratio (CAR). CAR shows the internal strength of the bank to withstand losses during the crisis.</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 xml:space="preserve">Capital adequacy is assumed to be a crucial reflector of the financial soundness of a bank. In </w:t>
      </w:r>
      <w:r w:rsidRPr="00CF41D2">
        <w:rPr>
          <w:szCs w:val="24"/>
        </w:rPr>
        <w:lastRenderedPageBreak/>
        <w:t>order to survive, it is indispensable to protect the stakeholder confidence and preventing its bankruptcy. Capital is assumed to be a cushion that offers protection to stakeholder’ and it enhances the stability and efficiency of bank. Capital adequacy represents the overall financial position of a bank. It reflects whether the bank has sufficient capital to bear unexpected losses in the future and bank leverage.</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 xml:space="preserve">Researchers define the capital adequacy in term of capital-deposit ratio because the primary risk is depository risk derived from the sudden and considerably large scale of deposit withdrawals. For example, in 1930, FDIC created a new capital model as capital-asset ratios since the default on loans came to expose the greatest risk instead of deposit withdrawals (FDIC, 2015). </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To gauge the capital adequacy, bank supervisors currently use the capital-risk asset ratio. The adequacy of capital is examined based upon the two most important measures such as Capital Adequacy Ratio (CAR) or Capital to Risk-weighted Assets ratio, and the ratio of capital to assets.</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szCs w:val="24"/>
        </w:rPr>
        <w:t>The study measures capital adequacy as the ratio of gross capital to total assets to measure capital adequacy ratio (</w:t>
      </w:r>
      <w:proofErr w:type="spellStart"/>
      <w:r w:rsidRPr="00CF41D2">
        <w:rPr>
          <w:iCs/>
          <w:szCs w:val="24"/>
        </w:rPr>
        <w:t>Ehrhardt</w:t>
      </w:r>
      <w:proofErr w:type="spellEnd"/>
      <w:r w:rsidRPr="00CF41D2">
        <w:rPr>
          <w:iCs/>
          <w:szCs w:val="24"/>
        </w:rPr>
        <w:t xml:space="preserve"> &amp; Brigham, 2009</w:t>
      </w:r>
      <w:r w:rsidRPr="00CF41D2">
        <w:rPr>
          <w:szCs w:val="24"/>
        </w:rPr>
        <w:t>). Gross capital includes paid up capital, retained earnings and other reserves of the bank. The ratio is measured using the following formula:</w:t>
      </w:r>
    </w:p>
    <w:p w:rsidR="00672193" w:rsidRPr="00CF41D2" w:rsidRDefault="00672193" w:rsidP="00672193">
      <w:pPr>
        <w:pStyle w:val="ListParagraph"/>
        <w:autoSpaceDE w:val="0"/>
        <w:autoSpaceDN w:val="0"/>
        <w:adjustRightInd w:val="0"/>
        <w:spacing w:line="360" w:lineRule="auto"/>
        <w:ind w:left="360"/>
        <w:jc w:val="both"/>
        <w:rPr>
          <w:iCs/>
          <w:szCs w:val="24"/>
        </w:rPr>
      </w:pPr>
      <m:oMathPara>
        <m:oMath>
          <m:r>
            <w:rPr>
              <w:rFonts w:ascii="Cambria Math" w:hAnsi="Cambria Math"/>
              <w:szCs w:val="24"/>
            </w:rPr>
            <m:t>Capital</m:t>
          </m:r>
          <m:r>
            <w:rPr>
              <w:rFonts w:ascii="Cambria Math"/>
              <w:szCs w:val="24"/>
            </w:rPr>
            <m:t xml:space="preserve"> </m:t>
          </m:r>
          <m:r>
            <w:rPr>
              <w:rFonts w:ascii="Cambria Math" w:hAnsi="Cambria Math"/>
              <w:szCs w:val="24"/>
            </w:rPr>
            <m:t>Adequecy</m:t>
          </m:r>
          <m:r>
            <w:rPr>
              <w:rFonts w:ascii="Cambria Math"/>
              <w:szCs w:val="24"/>
            </w:rPr>
            <m:t xml:space="preserve"> </m:t>
          </m:r>
          <m:r>
            <w:rPr>
              <w:rFonts w:ascii="Cambria Math" w:hAnsi="Cambria Math"/>
              <w:szCs w:val="24"/>
            </w:rPr>
            <m:t>Ratio</m:t>
          </m:r>
          <m:r>
            <w:rPr>
              <w:rFonts w:ascii="Cambria Math"/>
              <w:szCs w:val="24"/>
            </w:rPr>
            <m:t>=</m:t>
          </m:r>
          <m:f>
            <m:fPr>
              <m:ctrlPr>
                <w:rPr>
                  <w:rFonts w:ascii="Cambria Math" w:hAnsi="Cambria Math"/>
                  <w:i/>
                  <w:iCs/>
                  <w:szCs w:val="24"/>
                </w:rPr>
              </m:ctrlPr>
            </m:fPr>
            <m:num>
              <m:r>
                <w:rPr>
                  <w:rFonts w:ascii="Cambria Math" w:hAnsi="Cambria Math"/>
                  <w:szCs w:val="24"/>
                </w:rPr>
                <m:t>Gross</m:t>
              </m:r>
              <m:r>
                <w:rPr>
                  <w:rFonts w:ascii="Cambria Math"/>
                  <w:szCs w:val="24"/>
                </w:rPr>
                <m:t xml:space="preserve"> </m:t>
              </m:r>
              <m:r>
                <w:rPr>
                  <w:rFonts w:ascii="Cambria Math" w:hAnsi="Cambria Math"/>
                  <w:szCs w:val="24"/>
                </w:rPr>
                <m:t>Capital</m:t>
              </m:r>
            </m:num>
            <m:den>
              <m:r>
                <w:rPr>
                  <w:rFonts w:ascii="Cambria Math" w:hAnsi="Cambria Math"/>
                  <w:szCs w:val="24"/>
                </w:rPr>
                <m:t>Total</m:t>
              </m:r>
              <m:r>
                <w:rPr>
                  <w:rFonts w:ascii="Cambria Math"/>
                  <w:szCs w:val="24"/>
                </w:rPr>
                <m:t xml:space="preserve"> </m:t>
              </m:r>
              <m:r>
                <w:rPr>
                  <w:rFonts w:ascii="Cambria Math" w:hAnsi="Cambria Math"/>
                  <w:szCs w:val="24"/>
                </w:rPr>
                <m:t>Assets</m:t>
              </m:r>
            </m:den>
          </m:f>
        </m:oMath>
      </m:oMathPara>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To make rating of the capital adequacy performance of Banks, each of components in the CAMEL model is scored from 1 to 5. Then, in the context of capital adequacy, a composite rating of 1 indicates a strong capital level relative to the financial institution’s risk. Meanwhile, the rating of 5 indicates a critical deficient level of capital, in which immediate assistance from shareholders or external resources is required.</w:t>
      </w:r>
    </w:p>
    <w:p w:rsidR="00672193" w:rsidRPr="00CF41D2" w:rsidRDefault="00672193" w:rsidP="00672193">
      <w:pPr>
        <w:widowControl w:val="0"/>
        <w:overflowPunct w:val="0"/>
        <w:autoSpaceDE w:val="0"/>
        <w:autoSpaceDN w:val="0"/>
        <w:adjustRightInd w:val="0"/>
        <w:spacing w:line="360" w:lineRule="auto"/>
        <w:jc w:val="both"/>
        <w:rPr>
          <w:rFonts w:eastAsia="TimesNewRoman"/>
          <w:sz w:val="2"/>
          <w:szCs w:val="24"/>
        </w:rPr>
      </w:pPr>
    </w:p>
    <w:p w:rsidR="00672193" w:rsidRPr="00CF41D2" w:rsidRDefault="00672193" w:rsidP="00672193">
      <w:pPr>
        <w:pStyle w:val="Heading4"/>
        <w:numPr>
          <w:ilvl w:val="3"/>
          <w:numId w:val="3"/>
        </w:numPr>
        <w:spacing w:before="0" w:after="200" w:line="360" w:lineRule="auto"/>
        <w:rPr>
          <w:rFonts w:cs="Times New Roman"/>
          <w:color w:val="auto"/>
          <w:sz w:val="24"/>
          <w:szCs w:val="24"/>
        </w:rPr>
      </w:pPr>
      <w:r w:rsidRPr="00CF41D2">
        <w:rPr>
          <w:rFonts w:cs="Times New Roman"/>
          <w:color w:val="auto"/>
          <w:sz w:val="24"/>
          <w:szCs w:val="24"/>
        </w:rPr>
        <w:t>Asset Quality</w:t>
      </w:r>
    </w:p>
    <w:p w:rsidR="00672193" w:rsidRPr="00CF41D2" w:rsidRDefault="00672193" w:rsidP="00672193">
      <w:pPr>
        <w:autoSpaceDE w:val="0"/>
        <w:autoSpaceDN w:val="0"/>
        <w:adjustRightInd w:val="0"/>
        <w:spacing w:line="360" w:lineRule="auto"/>
        <w:jc w:val="both"/>
        <w:rPr>
          <w:szCs w:val="24"/>
        </w:rPr>
      </w:pPr>
      <w:r w:rsidRPr="00CF41D2">
        <w:rPr>
          <w:i/>
          <w:iCs/>
          <w:szCs w:val="24"/>
        </w:rPr>
        <w:t xml:space="preserve"> </w:t>
      </w:r>
      <w:r w:rsidRPr="00CF41D2">
        <w:rPr>
          <w:szCs w:val="24"/>
        </w:rPr>
        <w:t xml:space="preserve">It refers to the quality of the bank’s loan which is the major asset that generates the major share of its income. The quality of assets is significant aspect to assess the degree of financial strength of a bank. </w:t>
      </w:r>
    </w:p>
    <w:p w:rsidR="00672193" w:rsidRPr="00CF41D2" w:rsidRDefault="00672193" w:rsidP="00672193">
      <w:pPr>
        <w:autoSpaceDE w:val="0"/>
        <w:autoSpaceDN w:val="0"/>
        <w:adjustRightInd w:val="0"/>
        <w:spacing w:line="360" w:lineRule="auto"/>
        <w:jc w:val="both"/>
        <w:rPr>
          <w:szCs w:val="24"/>
        </w:rPr>
      </w:pPr>
      <w:r w:rsidRPr="00CF41D2">
        <w:rPr>
          <w:szCs w:val="24"/>
        </w:rPr>
        <w:lastRenderedPageBreak/>
        <w:t>The principal purpose to measure the assets quality is to determine the composition of non-performing assets as a percentage of the total assets. The quality of credit portfolio expresses the profitability of banks. The major concern of all commercial banks is to keep the amount of non-performing loans to low level. This is so because high non-performing loan affects the profitability of the bank.</w:t>
      </w:r>
    </w:p>
    <w:p w:rsidR="00672193" w:rsidRPr="00CF41D2" w:rsidRDefault="00672193" w:rsidP="00672193">
      <w:pPr>
        <w:autoSpaceDE w:val="0"/>
        <w:autoSpaceDN w:val="0"/>
        <w:adjustRightInd w:val="0"/>
        <w:spacing w:line="360" w:lineRule="auto"/>
        <w:jc w:val="both"/>
        <w:rPr>
          <w:szCs w:val="24"/>
        </w:rPr>
      </w:pPr>
      <w:r w:rsidRPr="00CF41D2">
        <w:rPr>
          <w:szCs w:val="24"/>
        </w:rPr>
        <w:t xml:space="preserve">According to Dang (2011), “poor asset quality is the major cause of most bank failures”. A most important asset category is the loan portfolio; the greatest risk facing the bank is the risk of loan losses derived from the delinquent loans. </w:t>
      </w:r>
    </w:p>
    <w:p w:rsidR="00672193" w:rsidRPr="00CF41D2" w:rsidRDefault="00672193" w:rsidP="00672193">
      <w:pPr>
        <w:autoSpaceDE w:val="0"/>
        <w:autoSpaceDN w:val="0"/>
        <w:adjustRightInd w:val="0"/>
        <w:spacing w:line="360" w:lineRule="auto"/>
        <w:jc w:val="both"/>
        <w:rPr>
          <w:szCs w:val="24"/>
        </w:rPr>
      </w:pPr>
      <w:r w:rsidRPr="00CF41D2">
        <w:rPr>
          <w:szCs w:val="24"/>
        </w:rPr>
        <w:t>The credit analyst should carry out the asset quality assessment by performing the credit risk management and evaluating the quality of loan portfolio using trend analysis and peer comparison. Measuring the asset quality is difficult because it is mostly derived from the analyst’s subjectivity.</w:t>
      </w:r>
    </w:p>
    <w:p w:rsidR="00672193" w:rsidRPr="00CF41D2" w:rsidRDefault="00672193" w:rsidP="00672193">
      <w:pPr>
        <w:autoSpaceDE w:val="0"/>
        <w:autoSpaceDN w:val="0"/>
        <w:adjustRightInd w:val="0"/>
        <w:spacing w:line="360" w:lineRule="auto"/>
        <w:jc w:val="both"/>
        <w:rPr>
          <w:szCs w:val="24"/>
        </w:rPr>
      </w:pPr>
      <w:r w:rsidRPr="00CF41D2">
        <w:rPr>
          <w:szCs w:val="24"/>
        </w:rPr>
        <w:t>It is measured by the Non-Performing Loans Ratio (NPLR). It measures the risk facing a bank, i.e., the loss derived from delinquent loans. The lower the ratio, the better the bank is performing. The study measures asset quality as the ratio of provision for loan loss to total loan (</w:t>
      </w:r>
      <w:proofErr w:type="spellStart"/>
      <w:r w:rsidRPr="00CF41D2">
        <w:rPr>
          <w:iCs/>
          <w:szCs w:val="24"/>
        </w:rPr>
        <w:t>Ehrhardt</w:t>
      </w:r>
      <w:proofErr w:type="spellEnd"/>
      <w:r w:rsidRPr="00CF41D2">
        <w:rPr>
          <w:iCs/>
          <w:szCs w:val="24"/>
        </w:rPr>
        <w:t xml:space="preserve"> &amp; Brigham, 2009</w:t>
      </w:r>
      <w:r w:rsidRPr="00CF41D2">
        <w:rPr>
          <w:szCs w:val="24"/>
        </w:rPr>
        <w:t xml:space="preserve">). The ratio is measured using the following formula: </w:t>
      </w:r>
    </w:p>
    <w:p w:rsidR="00672193" w:rsidRPr="00CF41D2" w:rsidRDefault="00672193" w:rsidP="00672193">
      <w:pPr>
        <w:autoSpaceDE w:val="0"/>
        <w:autoSpaceDN w:val="0"/>
        <w:adjustRightInd w:val="0"/>
        <w:spacing w:line="360" w:lineRule="auto"/>
        <w:jc w:val="both"/>
        <w:rPr>
          <w:iCs/>
          <w:szCs w:val="24"/>
        </w:rPr>
      </w:pPr>
      <m:oMathPara>
        <m:oMath>
          <m:r>
            <w:rPr>
              <w:rFonts w:ascii="Cambria Math" w:hAnsi="Cambria Math"/>
              <w:szCs w:val="24"/>
            </w:rPr>
            <m:t>Asset</m:t>
          </m:r>
          <m:r>
            <w:rPr>
              <w:rFonts w:ascii="Cambria Math"/>
              <w:szCs w:val="24"/>
            </w:rPr>
            <m:t xml:space="preserve"> </m:t>
          </m:r>
          <m:r>
            <w:rPr>
              <w:rFonts w:ascii="Cambria Math" w:hAnsi="Cambria Math"/>
              <w:szCs w:val="24"/>
            </w:rPr>
            <m:t>Quality</m:t>
          </m:r>
          <m:r>
            <w:rPr>
              <w:rFonts w:ascii="Cambria Math"/>
              <w:szCs w:val="24"/>
            </w:rPr>
            <m:t xml:space="preserve"> </m:t>
          </m:r>
          <m:r>
            <w:rPr>
              <w:rFonts w:ascii="Cambria Math" w:hAnsi="Cambria Math"/>
              <w:szCs w:val="24"/>
            </w:rPr>
            <m:t>Ratio</m:t>
          </m:r>
          <m:r>
            <w:rPr>
              <w:rFonts w:ascii="Cambria Math"/>
              <w:szCs w:val="24"/>
            </w:rPr>
            <m:t>=</m:t>
          </m:r>
          <m:f>
            <m:fPr>
              <m:ctrlPr>
                <w:rPr>
                  <w:rFonts w:ascii="Cambria Math" w:hAnsi="Cambria Math"/>
                  <w:i/>
                  <w:iCs/>
                  <w:szCs w:val="24"/>
                </w:rPr>
              </m:ctrlPr>
            </m:fPr>
            <m:num>
              <m:r>
                <w:rPr>
                  <w:rFonts w:ascii="Cambria Math" w:hAnsi="Cambria Math"/>
                  <w:szCs w:val="24"/>
                </w:rPr>
                <m:t>Provision</m:t>
              </m:r>
              <m:r>
                <w:rPr>
                  <w:rFonts w:ascii="Cambria Math"/>
                  <w:szCs w:val="24"/>
                </w:rPr>
                <m:t xml:space="preserve"> </m:t>
              </m:r>
              <m:r>
                <w:rPr>
                  <w:rFonts w:ascii="Cambria Math" w:hAnsi="Cambria Math"/>
                  <w:szCs w:val="24"/>
                </w:rPr>
                <m:t>for</m:t>
              </m:r>
              <m:r>
                <w:rPr>
                  <w:rFonts w:ascii="Cambria Math"/>
                  <w:szCs w:val="24"/>
                </w:rPr>
                <m:t xml:space="preserve"> </m:t>
              </m:r>
              <m:r>
                <w:rPr>
                  <w:rFonts w:ascii="Cambria Math" w:hAnsi="Cambria Math"/>
                  <w:szCs w:val="24"/>
                </w:rPr>
                <m:t>Lo</m:t>
              </m:r>
              <m:r>
                <w:rPr>
                  <w:rFonts w:ascii="Cambria Math" w:hAnsi="Cambria Math"/>
                  <w:szCs w:val="24"/>
                </w:rPr>
                <m:t>ans</m:t>
              </m:r>
            </m:num>
            <m:den>
              <m:r>
                <w:rPr>
                  <w:rFonts w:ascii="Cambria Math" w:hAnsi="Cambria Math"/>
                  <w:szCs w:val="24"/>
                </w:rPr>
                <m:t>Total</m:t>
              </m:r>
              <m:r>
                <w:rPr>
                  <w:rFonts w:ascii="Cambria Math"/>
                  <w:szCs w:val="24"/>
                </w:rPr>
                <m:t xml:space="preserve"> </m:t>
              </m:r>
              <m:r>
                <w:rPr>
                  <w:rFonts w:ascii="Cambria Math" w:hAnsi="Cambria Math"/>
                  <w:szCs w:val="24"/>
                </w:rPr>
                <m:t>Loans</m:t>
              </m:r>
            </m:den>
          </m:f>
        </m:oMath>
      </m:oMathPara>
    </w:p>
    <w:p w:rsidR="00672193" w:rsidRPr="00CF41D2" w:rsidRDefault="00672193" w:rsidP="00672193">
      <w:pPr>
        <w:autoSpaceDE w:val="0"/>
        <w:autoSpaceDN w:val="0"/>
        <w:adjustRightInd w:val="0"/>
        <w:spacing w:line="360" w:lineRule="auto"/>
        <w:jc w:val="both"/>
        <w:rPr>
          <w:szCs w:val="24"/>
        </w:rPr>
      </w:pPr>
      <w:r w:rsidRPr="00CF41D2">
        <w:rPr>
          <w:szCs w:val="24"/>
        </w:rPr>
        <w:t>In the context of asset quality, a composite rating of 1 indicates a strong asset quality and minimal portfolio risks. On the other hand, a rating of 5 reflects a critically deficient asset quality that presents an imminent threat to the institution’s viability.</w:t>
      </w:r>
    </w:p>
    <w:p w:rsidR="00672193" w:rsidRPr="00CF41D2" w:rsidRDefault="00672193" w:rsidP="00672193">
      <w:pPr>
        <w:pStyle w:val="Heading4"/>
        <w:numPr>
          <w:ilvl w:val="3"/>
          <w:numId w:val="3"/>
        </w:numPr>
        <w:spacing w:before="0" w:after="200" w:line="360" w:lineRule="auto"/>
        <w:rPr>
          <w:rFonts w:cs="Times New Roman"/>
          <w:color w:val="auto"/>
          <w:sz w:val="24"/>
          <w:szCs w:val="24"/>
        </w:rPr>
      </w:pPr>
      <w:r w:rsidRPr="00CF41D2">
        <w:rPr>
          <w:rFonts w:cs="Times New Roman"/>
          <w:color w:val="auto"/>
          <w:sz w:val="24"/>
          <w:szCs w:val="24"/>
        </w:rPr>
        <w:t>Management Efficiency</w:t>
      </w:r>
    </w:p>
    <w:p w:rsidR="00672193" w:rsidRPr="00CF41D2" w:rsidRDefault="00672193" w:rsidP="00672193">
      <w:pPr>
        <w:autoSpaceDE w:val="0"/>
        <w:autoSpaceDN w:val="0"/>
        <w:adjustRightInd w:val="0"/>
        <w:spacing w:line="360" w:lineRule="auto"/>
        <w:jc w:val="both"/>
        <w:rPr>
          <w:szCs w:val="24"/>
        </w:rPr>
      </w:pPr>
      <w:r w:rsidRPr="00CF41D2">
        <w:rPr>
          <w:szCs w:val="24"/>
        </w:rPr>
        <w:t>It refers to the quality of the bank’s management</w:t>
      </w:r>
      <w:r w:rsidRPr="00CF41D2">
        <w:rPr>
          <w:i/>
          <w:iCs/>
          <w:szCs w:val="24"/>
        </w:rPr>
        <w:t xml:space="preserve"> </w:t>
      </w:r>
      <w:r w:rsidRPr="00CF41D2">
        <w:rPr>
          <w:szCs w:val="24"/>
        </w:rPr>
        <w:t>in deploying its resources efficiently, income maximization, and reducing operating costs. Among others, it can be captured by different financial ratios like total asset growth, loan growth rate, and earnings growth rate. Management efficiency is another indispensable constituent of the CAMEL model that guarantees the growth and endurance of a bank. Management efficiency signifies adherence with prescribed norms, capability to counter to changing environment, leadership and administrative capability of the bank.</w:t>
      </w:r>
    </w:p>
    <w:p w:rsidR="00672193" w:rsidRPr="00CF41D2" w:rsidRDefault="00672193" w:rsidP="00672193">
      <w:pPr>
        <w:autoSpaceDE w:val="0"/>
        <w:autoSpaceDN w:val="0"/>
        <w:adjustRightInd w:val="0"/>
        <w:spacing w:line="360" w:lineRule="auto"/>
        <w:jc w:val="both"/>
        <w:rPr>
          <w:szCs w:val="24"/>
        </w:rPr>
      </w:pPr>
      <w:r w:rsidRPr="00CF41D2">
        <w:rPr>
          <w:szCs w:val="24"/>
        </w:rPr>
        <w:lastRenderedPageBreak/>
        <w:t>The management efficiency is measured as the ratio of non-interest expense to net interest income plus non-interest income (</w:t>
      </w:r>
      <w:proofErr w:type="spellStart"/>
      <w:r w:rsidRPr="00CF41D2">
        <w:rPr>
          <w:iCs/>
          <w:szCs w:val="24"/>
        </w:rPr>
        <w:t>Ehrhardt</w:t>
      </w:r>
      <w:proofErr w:type="spellEnd"/>
      <w:r w:rsidRPr="00CF41D2">
        <w:rPr>
          <w:iCs/>
          <w:szCs w:val="24"/>
        </w:rPr>
        <w:t xml:space="preserve"> &amp; Brigham, 2009</w:t>
      </w:r>
      <w:r w:rsidRPr="00CF41D2">
        <w:rPr>
          <w:szCs w:val="24"/>
        </w:rPr>
        <w:t xml:space="preserve">). The ratio is measured using the following formula: </w:t>
      </w:r>
    </w:p>
    <w:p w:rsidR="00672193" w:rsidRPr="00CF41D2" w:rsidRDefault="00672193" w:rsidP="00672193">
      <w:pPr>
        <w:autoSpaceDE w:val="0"/>
        <w:autoSpaceDN w:val="0"/>
        <w:adjustRightInd w:val="0"/>
        <w:spacing w:line="360" w:lineRule="auto"/>
        <w:jc w:val="both"/>
        <w:rPr>
          <w:iCs/>
          <w:szCs w:val="24"/>
        </w:rPr>
      </w:pPr>
      <m:oMathPara>
        <m:oMath>
          <m:r>
            <w:rPr>
              <w:rFonts w:ascii="Cambria Math" w:hAnsi="Cambria Math"/>
              <w:szCs w:val="24"/>
            </w:rPr>
            <m:t>Management</m:t>
          </m:r>
          <m:r>
            <w:rPr>
              <w:rFonts w:ascii="Cambria Math"/>
              <w:szCs w:val="24"/>
            </w:rPr>
            <m:t xml:space="preserve"> </m:t>
          </m:r>
          <m:r>
            <w:rPr>
              <w:rFonts w:ascii="Cambria Math" w:hAnsi="Cambria Math"/>
              <w:szCs w:val="24"/>
            </w:rPr>
            <m:t>Efficiency</m:t>
          </m:r>
          <m:r>
            <w:rPr>
              <w:rFonts w:ascii="Cambria Math"/>
              <w:szCs w:val="24"/>
            </w:rPr>
            <m:t xml:space="preserve"> </m:t>
          </m:r>
          <m:r>
            <w:rPr>
              <w:rFonts w:ascii="Cambria Math" w:hAnsi="Cambria Math"/>
              <w:szCs w:val="24"/>
            </w:rPr>
            <m:t>Ratio</m:t>
          </m:r>
          <m:r>
            <w:rPr>
              <w:rFonts w:ascii="Cambria Math"/>
              <w:szCs w:val="24"/>
            </w:rPr>
            <m:t>=</m:t>
          </m:r>
          <m:f>
            <m:fPr>
              <m:ctrlPr>
                <w:rPr>
                  <w:rFonts w:ascii="Cambria Math" w:hAnsi="Cambria Math"/>
                  <w:i/>
                  <w:iCs/>
                  <w:szCs w:val="24"/>
                </w:rPr>
              </m:ctrlPr>
            </m:fPr>
            <m:num>
              <m:r>
                <w:rPr>
                  <w:rFonts w:ascii="Cambria Math" w:hAnsi="Cambria Math"/>
                  <w:szCs w:val="24"/>
                </w:rPr>
                <m:t>Non-Interest</m:t>
              </m:r>
              <m:r>
                <w:rPr>
                  <w:rFonts w:ascii="Cambria Math"/>
                  <w:szCs w:val="24"/>
                </w:rPr>
                <m:t xml:space="preserve"> </m:t>
              </m:r>
              <m:r>
                <w:rPr>
                  <w:rFonts w:ascii="Cambria Math" w:hAnsi="Cambria Math"/>
                  <w:szCs w:val="24"/>
                </w:rPr>
                <m:t>Expense</m:t>
              </m:r>
            </m:num>
            <m:den>
              <m:r>
                <w:rPr>
                  <w:rFonts w:ascii="Cambria Math" w:hAnsi="Cambria Math"/>
                  <w:szCs w:val="24"/>
                </w:rPr>
                <m:t>Net-Interst</m:t>
              </m:r>
              <m:r>
                <w:rPr>
                  <w:rFonts w:ascii="Cambria Math"/>
                  <w:szCs w:val="24"/>
                </w:rPr>
                <m:t xml:space="preserve"> </m:t>
              </m:r>
              <m:r>
                <w:rPr>
                  <w:rFonts w:ascii="Cambria Math" w:hAnsi="Cambria Math"/>
                  <w:szCs w:val="24"/>
                </w:rPr>
                <m:t>Income</m:t>
              </m:r>
              <m:r>
                <w:rPr>
                  <w:rFonts w:ascii="Cambria Math"/>
                  <w:szCs w:val="24"/>
                </w:rPr>
                <m:t>+</m:t>
              </m:r>
              <m:r>
                <w:rPr>
                  <w:rFonts w:ascii="Cambria Math" w:hAnsi="Cambria Math"/>
                  <w:szCs w:val="24"/>
                </w:rPr>
                <m:t>Non-Interst</m:t>
              </m:r>
              <m:r>
                <w:rPr>
                  <w:rFonts w:ascii="Cambria Math"/>
                  <w:szCs w:val="24"/>
                </w:rPr>
                <m:t xml:space="preserve"> </m:t>
              </m:r>
              <m:r>
                <w:rPr>
                  <w:rFonts w:ascii="Cambria Math" w:hAnsi="Cambria Math"/>
                  <w:szCs w:val="24"/>
                </w:rPr>
                <m:t>Income</m:t>
              </m:r>
            </m:den>
          </m:f>
        </m:oMath>
      </m:oMathPara>
    </w:p>
    <w:p w:rsidR="00672193" w:rsidRPr="00CF41D2" w:rsidRDefault="00672193" w:rsidP="00672193">
      <w:pPr>
        <w:autoSpaceDE w:val="0"/>
        <w:autoSpaceDN w:val="0"/>
        <w:adjustRightInd w:val="0"/>
        <w:spacing w:line="360" w:lineRule="auto"/>
        <w:jc w:val="both"/>
        <w:rPr>
          <w:szCs w:val="24"/>
        </w:rPr>
      </w:pPr>
      <w:r w:rsidRPr="00CF41D2">
        <w:rPr>
          <w:szCs w:val="24"/>
        </w:rPr>
        <w:t>In the context of management quality, a composite rating of 1 is assigned to note the management and board of directors are fully effective. On the other hand, the rating of 5 is applicable to critically deficient management. Replacing or strengthening may be needed to achieve sound and safe operations.</w:t>
      </w:r>
    </w:p>
    <w:p w:rsidR="00672193" w:rsidRPr="00CF41D2" w:rsidRDefault="00672193" w:rsidP="00672193">
      <w:pPr>
        <w:pStyle w:val="Heading4"/>
        <w:numPr>
          <w:ilvl w:val="3"/>
          <w:numId w:val="3"/>
        </w:numPr>
        <w:spacing w:before="0" w:after="200" w:line="360" w:lineRule="auto"/>
        <w:rPr>
          <w:rFonts w:cs="Times New Roman"/>
          <w:color w:val="auto"/>
          <w:sz w:val="24"/>
          <w:szCs w:val="24"/>
        </w:rPr>
      </w:pPr>
      <w:r w:rsidRPr="00CF41D2">
        <w:rPr>
          <w:rFonts w:cs="Times New Roman"/>
          <w:color w:val="auto"/>
          <w:sz w:val="24"/>
          <w:szCs w:val="24"/>
        </w:rPr>
        <w:t>Earnings Ability</w:t>
      </w:r>
    </w:p>
    <w:p w:rsidR="00672193" w:rsidRPr="00CF41D2" w:rsidRDefault="00672193" w:rsidP="00672193">
      <w:pPr>
        <w:autoSpaceDE w:val="0"/>
        <w:autoSpaceDN w:val="0"/>
        <w:adjustRightInd w:val="0"/>
        <w:spacing w:line="360" w:lineRule="auto"/>
        <w:jc w:val="both"/>
        <w:rPr>
          <w:szCs w:val="24"/>
        </w:rPr>
      </w:pPr>
      <w:r w:rsidRPr="00CF41D2">
        <w:t xml:space="preserve">It refers to how losses are absorbed and capital is augmented. Strong earnings profile of banks reflects the ability to support present and future operations. </w:t>
      </w:r>
      <w:r w:rsidRPr="00CF41D2">
        <w:rPr>
          <w:szCs w:val="24"/>
        </w:rPr>
        <w:t>High earnings quality should reflect the firm’s current operating performance and a good indicator of future operating performance. The quality of earnings is an extremely significant parameter which expresses the quality of profitability and capability of a bank to sustain quality and earning consistently. It primarily reflects the profitability of bank and enlightens consistency of future earnings (</w:t>
      </w:r>
      <w:proofErr w:type="spellStart"/>
      <w:r w:rsidRPr="00CF41D2">
        <w:rPr>
          <w:noProof/>
          <w:szCs w:val="24"/>
        </w:rPr>
        <w:t>Muhabie</w:t>
      </w:r>
      <w:proofErr w:type="spellEnd"/>
      <w:r w:rsidRPr="00CF41D2">
        <w:rPr>
          <w:szCs w:val="24"/>
        </w:rPr>
        <w:t>, 2015).</w:t>
      </w:r>
    </w:p>
    <w:p w:rsidR="00672193" w:rsidRPr="00CF41D2" w:rsidRDefault="00672193" w:rsidP="00672193">
      <w:pPr>
        <w:widowControl w:val="0"/>
        <w:overflowPunct w:val="0"/>
        <w:autoSpaceDE w:val="0"/>
        <w:autoSpaceDN w:val="0"/>
        <w:adjustRightInd w:val="0"/>
        <w:spacing w:after="0" w:line="360" w:lineRule="auto"/>
        <w:jc w:val="both"/>
      </w:pPr>
      <w:r w:rsidRPr="00CF41D2">
        <w:t>This rating reflects not only the quantity and trend in earning, but also the factors that may affect the sustainability of earnings. Inadequate management may result in loan losses and in return require higher loan allowance or pose high level of market risks. The future performance in earning should be given equal or greater value than past and present performance (Dang, 2010).</w:t>
      </w:r>
    </w:p>
    <w:p w:rsidR="00672193" w:rsidRPr="00CF41D2" w:rsidRDefault="00672193" w:rsidP="00672193">
      <w:pPr>
        <w:widowControl w:val="0"/>
        <w:autoSpaceDE w:val="0"/>
        <w:autoSpaceDN w:val="0"/>
        <w:adjustRightInd w:val="0"/>
        <w:spacing w:after="0" w:line="360" w:lineRule="auto"/>
        <w:rPr>
          <w:szCs w:val="24"/>
        </w:rPr>
      </w:pPr>
    </w:p>
    <w:p w:rsidR="00672193" w:rsidRPr="00CF41D2" w:rsidRDefault="00672193" w:rsidP="00672193">
      <w:pPr>
        <w:autoSpaceDE w:val="0"/>
        <w:autoSpaceDN w:val="0"/>
        <w:adjustRightInd w:val="0"/>
        <w:spacing w:line="360" w:lineRule="auto"/>
        <w:jc w:val="both"/>
        <w:rPr>
          <w:szCs w:val="24"/>
        </w:rPr>
      </w:pPr>
      <w:r w:rsidRPr="00CF41D2">
        <w:rPr>
          <w:szCs w:val="24"/>
        </w:rPr>
        <w:t xml:space="preserve">In accordance with Dang (2011)’s opinion, a consistent profit not only builds the public confidence in the bank but absorbs loan losses and provides sufficient provisions. It is also necessary for a balanced financial structure and helps provide shareholder reward. Thus consistently healthy earnings are essential to the sustainability of banking institutions. </w:t>
      </w:r>
    </w:p>
    <w:p w:rsidR="00672193" w:rsidRPr="00CF41D2" w:rsidRDefault="00672193" w:rsidP="00672193">
      <w:pPr>
        <w:autoSpaceDE w:val="0"/>
        <w:autoSpaceDN w:val="0"/>
        <w:adjustRightInd w:val="0"/>
        <w:spacing w:line="360" w:lineRule="auto"/>
        <w:jc w:val="both"/>
        <w:rPr>
          <w:szCs w:val="24"/>
        </w:rPr>
      </w:pPr>
      <w:r w:rsidRPr="00CF41D2">
        <w:rPr>
          <w:szCs w:val="24"/>
        </w:rPr>
        <w:t>The study measures earnings ratio as the ratio of net-interest income to total interest income (</w:t>
      </w:r>
      <w:proofErr w:type="spellStart"/>
      <w:r w:rsidRPr="00CF41D2">
        <w:rPr>
          <w:iCs/>
          <w:szCs w:val="24"/>
        </w:rPr>
        <w:t>Ehrhardt</w:t>
      </w:r>
      <w:proofErr w:type="spellEnd"/>
      <w:r w:rsidRPr="00CF41D2">
        <w:rPr>
          <w:iCs/>
          <w:szCs w:val="24"/>
        </w:rPr>
        <w:t xml:space="preserve"> &amp; Brigham, 2009</w:t>
      </w:r>
      <w:r w:rsidRPr="00CF41D2">
        <w:rPr>
          <w:szCs w:val="24"/>
        </w:rPr>
        <w:t xml:space="preserve">). The ratio is measured using the following formula: </w:t>
      </w:r>
    </w:p>
    <w:p w:rsidR="00672193" w:rsidRPr="00CF41D2" w:rsidRDefault="00672193" w:rsidP="00672193">
      <w:pPr>
        <w:autoSpaceDE w:val="0"/>
        <w:autoSpaceDN w:val="0"/>
        <w:adjustRightInd w:val="0"/>
        <w:spacing w:line="360" w:lineRule="auto"/>
        <w:jc w:val="both"/>
        <w:rPr>
          <w:iCs/>
          <w:szCs w:val="24"/>
        </w:rPr>
      </w:pPr>
      <m:oMathPara>
        <m:oMath>
          <m:r>
            <w:rPr>
              <w:rFonts w:ascii="Cambria Math" w:hAnsi="Cambria Math"/>
              <w:szCs w:val="24"/>
            </w:rPr>
            <m:t>Earnings</m:t>
          </m:r>
          <m:r>
            <w:rPr>
              <w:rFonts w:ascii="Cambria Math"/>
              <w:szCs w:val="24"/>
            </w:rPr>
            <m:t xml:space="preserve"> </m:t>
          </m:r>
          <m:r>
            <w:rPr>
              <w:rFonts w:ascii="Cambria Math" w:hAnsi="Cambria Math"/>
              <w:szCs w:val="24"/>
            </w:rPr>
            <m:t>Ratio</m:t>
          </m:r>
          <m:r>
            <w:rPr>
              <w:rFonts w:ascii="Cambria Math"/>
              <w:szCs w:val="24"/>
            </w:rPr>
            <m:t>=</m:t>
          </m:r>
          <m:f>
            <m:fPr>
              <m:ctrlPr>
                <w:rPr>
                  <w:rFonts w:ascii="Cambria Math" w:hAnsi="Cambria Math"/>
                  <w:i/>
                  <w:iCs/>
                  <w:szCs w:val="24"/>
                </w:rPr>
              </m:ctrlPr>
            </m:fPr>
            <m:num>
              <m:r>
                <w:rPr>
                  <w:rFonts w:ascii="Cambria Math" w:hAnsi="Cambria Math"/>
                  <w:szCs w:val="24"/>
                </w:rPr>
                <m:t>Net</m:t>
              </m:r>
              <m:r>
                <w:rPr>
                  <w:rFonts w:ascii="Cambria Math"/>
                  <w:szCs w:val="24"/>
                </w:rPr>
                <m:t xml:space="preserve"> </m:t>
              </m:r>
              <m:r>
                <w:rPr>
                  <w:rFonts w:ascii="Cambria Math" w:hAnsi="Cambria Math"/>
                  <w:szCs w:val="24"/>
                </w:rPr>
                <m:t>Interst</m:t>
              </m:r>
              <m:r>
                <w:rPr>
                  <w:rFonts w:ascii="Cambria Math"/>
                  <w:szCs w:val="24"/>
                </w:rPr>
                <m:t xml:space="preserve"> </m:t>
              </m:r>
              <m:r>
                <w:rPr>
                  <w:rFonts w:ascii="Cambria Math" w:hAnsi="Cambria Math"/>
                  <w:szCs w:val="24"/>
                </w:rPr>
                <m:t>Income</m:t>
              </m:r>
            </m:num>
            <m:den>
              <m:r>
                <w:rPr>
                  <w:rFonts w:ascii="Cambria Math" w:hAnsi="Cambria Math"/>
                  <w:szCs w:val="24"/>
                </w:rPr>
                <m:t>Total</m:t>
              </m:r>
              <m:r>
                <w:rPr>
                  <w:rFonts w:ascii="Cambria Math"/>
                  <w:szCs w:val="24"/>
                </w:rPr>
                <m:t xml:space="preserve"> </m:t>
              </m:r>
              <m:r>
                <w:rPr>
                  <w:rFonts w:ascii="Cambria Math" w:hAnsi="Cambria Math"/>
                  <w:szCs w:val="24"/>
                </w:rPr>
                <m:t>Interst</m:t>
              </m:r>
              <m:r>
                <w:rPr>
                  <w:rFonts w:ascii="Cambria Math"/>
                  <w:szCs w:val="24"/>
                </w:rPr>
                <m:t xml:space="preserve"> </m:t>
              </m:r>
              <m:r>
                <w:rPr>
                  <w:rFonts w:ascii="Cambria Math" w:hAnsi="Cambria Math"/>
                  <w:szCs w:val="24"/>
                </w:rPr>
                <m:t>Income</m:t>
              </m:r>
            </m:den>
          </m:f>
        </m:oMath>
      </m:oMathPara>
    </w:p>
    <w:p w:rsidR="00672193" w:rsidRPr="00CF41D2" w:rsidRDefault="00672193" w:rsidP="00672193">
      <w:pPr>
        <w:autoSpaceDE w:val="0"/>
        <w:autoSpaceDN w:val="0"/>
        <w:adjustRightInd w:val="0"/>
        <w:spacing w:line="360" w:lineRule="auto"/>
        <w:jc w:val="both"/>
        <w:rPr>
          <w:szCs w:val="24"/>
        </w:rPr>
      </w:pPr>
      <w:r w:rsidRPr="00CF41D2">
        <w:rPr>
          <w:szCs w:val="24"/>
        </w:rPr>
        <w:lastRenderedPageBreak/>
        <w:t>In the context of earning, a composite rating of 1 reflects strong earnings that are sufficient to maintain adequate capital and loan allowance, and support operations. On the other hand, a rating of 5 reflects consistent losses and represents a distinct threat to the institution’s solvency through the erosion of capital.</w:t>
      </w:r>
    </w:p>
    <w:p w:rsidR="00672193" w:rsidRPr="00CF41D2" w:rsidRDefault="00672193" w:rsidP="00672193">
      <w:pPr>
        <w:pStyle w:val="Heading4"/>
        <w:numPr>
          <w:ilvl w:val="3"/>
          <w:numId w:val="3"/>
        </w:numPr>
        <w:spacing w:before="0" w:after="200" w:line="360" w:lineRule="auto"/>
        <w:rPr>
          <w:rFonts w:cs="Times New Roman"/>
          <w:color w:val="auto"/>
          <w:sz w:val="24"/>
          <w:szCs w:val="24"/>
        </w:rPr>
      </w:pPr>
      <w:r w:rsidRPr="00CF41D2">
        <w:rPr>
          <w:rFonts w:cs="Times New Roman"/>
          <w:color w:val="auto"/>
          <w:sz w:val="24"/>
          <w:szCs w:val="24"/>
        </w:rPr>
        <w:t>Liquidity Management</w:t>
      </w:r>
    </w:p>
    <w:p w:rsidR="00672193" w:rsidRPr="00CF41D2" w:rsidRDefault="00672193" w:rsidP="00672193">
      <w:pPr>
        <w:autoSpaceDE w:val="0"/>
        <w:autoSpaceDN w:val="0"/>
        <w:adjustRightInd w:val="0"/>
        <w:spacing w:line="360" w:lineRule="auto"/>
        <w:jc w:val="both"/>
      </w:pPr>
      <w:r w:rsidRPr="00CF41D2">
        <w:t>It refers to the ability of the bank to fulfill its obligations, mainly of depositors. It can be measured by different ratios such as, ceteris paribus, customer deposit to total assets, total loan to customer deposit, and cash to deposit.</w:t>
      </w:r>
    </w:p>
    <w:p w:rsidR="00672193" w:rsidRPr="00CF41D2" w:rsidRDefault="00672193" w:rsidP="00672193">
      <w:pPr>
        <w:autoSpaceDE w:val="0"/>
        <w:autoSpaceDN w:val="0"/>
        <w:adjustRightInd w:val="0"/>
        <w:spacing w:line="360" w:lineRule="auto"/>
        <w:jc w:val="both"/>
      </w:pPr>
      <w:r w:rsidRPr="00CF41D2">
        <w:t>The liquidity ratio expresses the degree to which a bank is capable of fulfilling its respective obligations. Banks makes money by mobilizing short-term deposits at lower interest rate, and lending or investing these funds in long-term at higher rates, so it is hazardous for banks mismatching their lending interest rate.</w:t>
      </w:r>
    </w:p>
    <w:p w:rsidR="00672193" w:rsidRPr="00CF41D2" w:rsidRDefault="00672193" w:rsidP="00672193">
      <w:pPr>
        <w:autoSpaceDE w:val="0"/>
        <w:autoSpaceDN w:val="0"/>
        <w:adjustRightInd w:val="0"/>
        <w:spacing w:line="360" w:lineRule="auto"/>
        <w:jc w:val="both"/>
      </w:pPr>
      <w:r w:rsidRPr="00CF41D2">
        <w:t>There should be adequacy of liquidity sources compared to present and future needs, and availability of assets readily convertible to cash without undue loss. The fund management practices should ensure an institution is able to maintain a level of liquidity sufficient to meet its financial obligations in a timely manner; and capable of quickly liquidating assets with minimal loss.</w:t>
      </w:r>
    </w:p>
    <w:p w:rsidR="00672193" w:rsidRPr="00CF41D2" w:rsidRDefault="00672193" w:rsidP="00672193">
      <w:pPr>
        <w:autoSpaceDE w:val="0"/>
        <w:autoSpaceDN w:val="0"/>
        <w:adjustRightInd w:val="0"/>
        <w:spacing w:line="360" w:lineRule="auto"/>
        <w:jc w:val="both"/>
        <w:rPr>
          <w:szCs w:val="24"/>
        </w:rPr>
      </w:pPr>
      <w:r w:rsidRPr="00CF41D2">
        <w:rPr>
          <w:szCs w:val="24"/>
        </w:rPr>
        <w:t>The study measures liquidity ratio as the ratio of total loans to deposits (</w:t>
      </w:r>
      <w:proofErr w:type="spellStart"/>
      <w:r w:rsidRPr="00CF41D2">
        <w:rPr>
          <w:iCs/>
          <w:szCs w:val="24"/>
        </w:rPr>
        <w:t>Ehrhardt</w:t>
      </w:r>
      <w:proofErr w:type="spellEnd"/>
      <w:r w:rsidRPr="00CF41D2">
        <w:rPr>
          <w:iCs/>
          <w:szCs w:val="24"/>
        </w:rPr>
        <w:t xml:space="preserve"> &amp; Brigham, 2009</w:t>
      </w:r>
      <w:r w:rsidRPr="00CF41D2">
        <w:rPr>
          <w:szCs w:val="24"/>
        </w:rPr>
        <w:t xml:space="preserve">). The ratio is measured using the following formula: </w:t>
      </w:r>
    </w:p>
    <w:p w:rsidR="00672193" w:rsidRPr="00CF41D2" w:rsidRDefault="00672193" w:rsidP="00672193">
      <w:pPr>
        <w:autoSpaceDE w:val="0"/>
        <w:autoSpaceDN w:val="0"/>
        <w:adjustRightInd w:val="0"/>
        <w:spacing w:line="360" w:lineRule="auto"/>
        <w:jc w:val="both"/>
        <w:rPr>
          <w:iCs/>
          <w:szCs w:val="24"/>
        </w:rPr>
      </w:pPr>
      <m:oMathPara>
        <m:oMath>
          <m:r>
            <w:rPr>
              <w:rFonts w:ascii="Cambria Math" w:hAnsi="Cambria Math"/>
              <w:szCs w:val="24"/>
            </w:rPr>
            <m:t>Liquidity</m:t>
          </m:r>
          <m:r>
            <w:rPr>
              <w:rFonts w:ascii="Cambria Math"/>
              <w:szCs w:val="24"/>
            </w:rPr>
            <m:t xml:space="preserve"> </m:t>
          </m:r>
          <m:r>
            <w:rPr>
              <w:rFonts w:ascii="Cambria Math" w:hAnsi="Cambria Math"/>
              <w:szCs w:val="24"/>
            </w:rPr>
            <m:t>Ratio</m:t>
          </m:r>
          <m:r>
            <w:rPr>
              <w:rFonts w:ascii="Cambria Math"/>
              <w:szCs w:val="24"/>
            </w:rPr>
            <m:t>=</m:t>
          </m:r>
          <m:f>
            <m:fPr>
              <m:ctrlPr>
                <w:rPr>
                  <w:rFonts w:ascii="Cambria Math" w:hAnsi="Cambria Math"/>
                  <w:i/>
                  <w:iCs/>
                  <w:szCs w:val="24"/>
                </w:rPr>
              </m:ctrlPr>
            </m:fPr>
            <m:num>
              <m:r>
                <w:rPr>
                  <w:rFonts w:ascii="Cambria Math" w:hAnsi="Cambria Math"/>
                  <w:szCs w:val="24"/>
                </w:rPr>
                <m:t>Total</m:t>
              </m:r>
              <m:r>
                <w:rPr>
                  <w:rFonts w:ascii="Cambria Math"/>
                  <w:szCs w:val="24"/>
                </w:rPr>
                <m:t xml:space="preserve"> </m:t>
              </m:r>
              <m:r>
                <w:rPr>
                  <w:rFonts w:ascii="Cambria Math" w:hAnsi="Cambria Math"/>
                  <w:szCs w:val="24"/>
                </w:rPr>
                <m:t>Loans</m:t>
              </m:r>
            </m:num>
            <m:den>
              <m:r>
                <w:rPr>
                  <w:rFonts w:ascii="Cambria Math" w:hAnsi="Cambria Math"/>
                  <w:szCs w:val="24"/>
                </w:rPr>
                <m:t>Total</m:t>
              </m:r>
              <m:r>
                <w:rPr>
                  <w:rFonts w:ascii="Cambria Math"/>
                  <w:szCs w:val="24"/>
                </w:rPr>
                <m:t xml:space="preserve"> </m:t>
              </m:r>
              <m:r>
                <w:rPr>
                  <w:rFonts w:ascii="Cambria Math" w:hAnsi="Cambria Math"/>
                  <w:szCs w:val="24"/>
                </w:rPr>
                <m:t>Deposits</m:t>
              </m:r>
            </m:den>
          </m:f>
        </m:oMath>
      </m:oMathPara>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In the context of liquidity, a rating of 1 represents strong liquidity levels and well-developed funds as the institution has access to sufficient sources of funds to meet present and anticipated liquidity needs. On the other hand, the rating of 5 signifies critical liquidity-deficiency, and the institution demands immediate external assistance to meet liquidity needs (Dang, 2011).</w:t>
      </w:r>
    </w:p>
    <w:p w:rsidR="00672193" w:rsidRPr="00CF41D2" w:rsidRDefault="00672193" w:rsidP="00672193">
      <w:pPr>
        <w:pStyle w:val="Heading4"/>
        <w:numPr>
          <w:ilvl w:val="3"/>
          <w:numId w:val="3"/>
        </w:numPr>
        <w:spacing w:before="0" w:after="200" w:line="360" w:lineRule="auto"/>
        <w:rPr>
          <w:rFonts w:cs="Times New Roman"/>
          <w:color w:val="auto"/>
          <w:sz w:val="24"/>
          <w:szCs w:val="24"/>
        </w:rPr>
      </w:pPr>
      <w:r w:rsidRPr="00CF41D2">
        <w:rPr>
          <w:rFonts w:cs="Times New Roman"/>
          <w:color w:val="auto"/>
          <w:sz w:val="24"/>
          <w:szCs w:val="24"/>
        </w:rPr>
        <w:t>Sensitivity to Market Risk</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A sixths component relating to sensitivity to market risk has been added to the CAMEL rating to make the rating system more risk-focused, each of the component factors is rated on a scale of 1 </w:t>
      </w:r>
      <w:r w:rsidRPr="00CF41D2">
        <w:rPr>
          <w:rFonts w:eastAsia="TimesNewRoman"/>
          <w:szCs w:val="24"/>
        </w:rPr>
        <w:lastRenderedPageBreak/>
        <w:t xml:space="preserve">(best) to 5 (worst). </w:t>
      </w:r>
    </w:p>
    <w:p w:rsidR="00672193" w:rsidRPr="00CF41D2" w:rsidRDefault="00672193" w:rsidP="00672193">
      <w:pPr>
        <w:autoSpaceDE w:val="0"/>
        <w:autoSpaceDN w:val="0"/>
        <w:adjustRightInd w:val="0"/>
        <w:spacing w:line="360" w:lineRule="auto"/>
        <w:jc w:val="both"/>
        <w:rPr>
          <w:rFonts w:eastAsia="TimesNewRoman"/>
          <w:szCs w:val="24"/>
        </w:rPr>
      </w:pPr>
      <w:r w:rsidRPr="00CF41D2">
        <w:rPr>
          <w:szCs w:val="24"/>
        </w:rPr>
        <w:t xml:space="preserve">It reflects the degree to which changes in interest rates, foreign exchange rates, commodity prices, or equity prices can adversely affect a financial institution’s earnings or economic capital. </w:t>
      </w:r>
    </w:p>
    <w:p w:rsidR="00672193" w:rsidRPr="00CF41D2" w:rsidRDefault="00672193" w:rsidP="00672193">
      <w:pPr>
        <w:widowControl w:val="0"/>
        <w:overflowPunct w:val="0"/>
        <w:autoSpaceDE w:val="0"/>
        <w:autoSpaceDN w:val="0"/>
        <w:adjustRightInd w:val="0"/>
        <w:spacing w:line="360" w:lineRule="auto"/>
        <w:ind w:right="278"/>
        <w:jc w:val="both"/>
        <w:rPr>
          <w:szCs w:val="24"/>
        </w:rPr>
      </w:pPr>
      <w:r w:rsidRPr="00CF41D2">
        <w:rPr>
          <w:szCs w:val="24"/>
        </w:rPr>
        <w:t>The American International Assurance (AIA) described the composite CAMEL rating as a tool to select the best banks among potential banks by evaluating the level of their financial performance (</w:t>
      </w:r>
      <w:proofErr w:type="spellStart"/>
      <w:r w:rsidRPr="00CF41D2">
        <w:rPr>
          <w:iCs/>
          <w:szCs w:val="24"/>
        </w:rPr>
        <w:t>Sarwar</w:t>
      </w:r>
      <w:proofErr w:type="spellEnd"/>
      <w:r w:rsidRPr="00CF41D2">
        <w:rPr>
          <w:iCs/>
          <w:szCs w:val="24"/>
        </w:rPr>
        <w:t xml:space="preserve"> and </w:t>
      </w:r>
      <w:proofErr w:type="spellStart"/>
      <w:r w:rsidRPr="00CF41D2">
        <w:rPr>
          <w:iCs/>
          <w:szCs w:val="24"/>
        </w:rPr>
        <w:t>Asif</w:t>
      </w:r>
      <w:proofErr w:type="spellEnd"/>
      <w:r w:rsidRPr="00CF41D2">
        <w:rPr>
          <w:szCs w:val="24"/>
        </w:rPr>
        <w:t xml:space="preserve">, 2011). </w:t>
      </w:r>
    </w:p>
    <w:p w:rsidR="00672193" w:rsidRPr="00CF41D2" w:rsidRDefault="00672193" w:rsidP="00672193">
      <w:pPr>
        <w:widowControl w:val="0"/>
        <w:overflowPunct w:val="0"/>
        <w:autoSpaceDE w:val="0"/>
        <w:autoSpaceDN w:val="0"/>
        <w:adjustRightInd w:val="0"/>
        <w:spacing w:line="360" w:lineRule="auto"/>
        <w:ind w:right="278"/>
        <w:jc w:val="both"/>
        <w:rPr>
          <w:szCs w:val="24"/>
        </w:rPr>
      </w:pPr>
      <w:r w:rsidRPr="00CF41D2">
        <w:rPr>
          <w:szCs w:val="24"/>
        </w:rPr>
        <w:t xml:space="preserve">It also helps to propose bank’s exposure to operational, financial and market risks based on the composite rating of an individual bank. The AIA’s CAMEL ratios, formula and criteria are presented in </w:t>
      </w:r>
      <w:r w:rsidRPr="00CF41D2">
        <w:rPr>
          <w:iCs/>
          <w:szCs w:val="24"/>
        </w:rPr>
        <w:t xml:space="preserve">Table 1 </w:t>
      </w:r>
      <w:r w:rsidRPr="00CF41D2">
        <w:rPr>
          <w:szCs w:val="24"/>
        </w:rPr>
        <w:t>below.</w:t>
      </w:r>
    </w:p>
    <w:p w:rsidR="00672193" w:rsidRPr="00CF41D2" w:rsidRDefault="00672193" w:rsidP="00672193">
      <w:pPr>
        <w:widowControl w:val="0"/>
        <w:overflowPunct w:val="0"/>
        <w:autoSpaceDE w:val="0"/>
        <w:autoSpaceDN w:val="0"/>
        <w:adjustRightInd w:val="0"/>
        <w:spacing w:line="360" w:lineRule="auto"/>
        <w:ind w:right="278"/>
        <w:jc w:val="both"/>
        <w:rPr>
          <w:szCs w:val="24"/>
        </w:rPr>
      </w:pPr>
    </w:p>
    <w:p w:rsidR="00672193" w:rsidRDefault="00672193" w:rsidP="00672193">
      <w:pPr>
        <w:widowControl w:val="0"/>
        <w:overflowPunct w:val="0"/>
        <w:autoSpaceDE w:val="0"/>
        <w:autoSpaceDN w:val="0"/>
        <w:adjustRightInd w:val="0"/>
        <w:spacing w:line="360" w:lineRule="auto"/>
        <w:ind w:right="278"/>
        <w:jc w:val="both"/>
        <w:rPr>
          <w:szCs w:val="24"/>
        </w:rPr>
      </w:pPr>
    </w:p>
    <w:p w:rsidR="00672193" w:rsidRPr="00D7262A" w:rsidRDefault="00672193" w:rsidP="00672193">
      <w:pPr>
        <w:rPr>
          <w:szCs w:val="24"/>
        </w:rPr>
      </w:pPr>
    </w:p>
    <w:p w:rsidR="00672193" w:rsidRPr="00D7262A" w:rsidRDefault="00672193" w:rsidP="00672193">
      <w:pPr>
        <w:rPr>
          <w:szCs w:val="24"/>
        </w:rPr>
      </w:pPr>
    </w:p>
    <w:p w:rsidR="00672193" w:rsidRPr="00D7262A" w:rsidRDefault="00672193" w:rsidP="00672193">
      <w:pPr>
        <w:rPr>
          <w:szCs w:val="24"/>
        </w:rPr>
      </w:pPr>
    </w:p>
    <w:p w:rsidR="00672193" w:rsidRPr="00D7262A" w:rsidRDefault="00672193" w:rsidP="00672193">
      <w:pPr>
        <w:rPr>
          <w:szCs w:val="24"/>
        </w:rPr>
      </w:pPr>
    </w:p>
    <w:p w:rsidR="00672193" w:rsidRPr="00D7262A" w:rsidRDefault="00672193" w:rsidP="00672193">
      <w:pPr>
        <w:rPr>
          <w:szCs w:val="24"/>
        </w:rPr>
      </w:pPr>
    </w:p>
    <w:p w:rsidR="00672193" w:rsidRPr="00D7262A" w:rsidRDefault="00672193" w:rsidP="00672193">
      <w:pPr>
        <w:rPr>
          <w:szCs w:val="24"/>
        </w:rPr>
      </w:pPr>
    </w:p>
    <w:p w:rsidR="00672193" w:rsidRPr="00D7262A" w:rsidRDefault="00672193" w:rsidP="00672193">
      <w:pPr>
        <w:rPr>
          <w:szCs w:val="24"/>
        </w:rPr>
      </w:pPr>
    </w:p>
    <w:p w:rsidR="00672193" w:rsidRPr="00D7262A" w:rsidRDefault="00672193" w:rsidP="00672193">
      <w:pPr>
        <w:rPr>
          <w:szCs w:val="24"/>
        </w:rPr>
      </w:pPr>
    </w:p>
    <w:p w:rsidR="00672193" w:rsidRPr="00D7262A" w:rsidRDefault="00672193" w:rsidP="00672193">
      <w:pPr>
        <w:rPr>
          <w:szCs w:val="24"/>
        </w:rPr>
      </w:pPr>
    </w:p>
    <w:p w:rsidR="00672193" w:rsidRPr="00D7262A" w:rsidRDefault="00672193" w:rsidP="00672193">
      <w:pPr>
        <w:rPr>
          <w:szCs w:val="24"/>
        </w:rPr>
      </w:pPr>
    </w:p>
    <w:p w:rsidR="00672193" w:rsidRPr="00D7262A" w:rsidRDefault="00672193" w:rsidP="00672193">
      <w:pPr>
        <w:rPr>
          <w:szCs w:val="24"/>
        </w:rPr>
      </w:pPr>
    </w:p>
    <w:p w:rsidR="00672193" w:rsidRPr="00D7262A" w:rsidRDefault="00672193" w:rsidP="00672193">
      <w:pPr>
        <w:rPr>
          <w:szCs w:val="24"/>
        </w:rPr>
      </w:pPr>
    </w:p>
    <w:p w:rsidR="00672193" w:rsidRDefault="00672193" w:rsidP="00672193">
      <w:pPr>
        <w:rPr>
          <w:szCs w:val="24"/>
        </w:rPr>
      </w:pPr>
    </w:p>
    <w:p w:rsidR="00672193" w:rsidRDefault="00672193" w:rsidP="00672193">
      <w:pPr>
        <w:jc w:val="right"/>
        <w:rPr>
          <w:szCs w:val="24"/>
        </w:rPr>
      </w:pPr>
    </w:p>
    <w:p w:rsidR="00672193" w:rsidRPr="00D7262A" w:rsidRDefault="00672193" w:rsidP="00672193">
      <w:pPr>
        <w:jc w:val="right"/>
        <w:rPr>
          <w:szCs w:val="24"/>
        </w:rPr>
      </w:pPr>
    </w:p>
    <w:p w:rsidR="00A85CCC" w:rsidRPr="00CF41D2" w:rsidRDefault="00672193" w:rsidP="00672193">
      <w:pPr>
        <w:widowControl w:val="0"/>
        <w:autoSpaceDE w:val="0"/>
        <w:autoSpaceDN w:val="0"/>
        <w:adjustRightInd w:val="0"/>
        <w:spacing w:after="0" w:line="360" w:lineRule="auto"/>
        <w:ind w:left="301"/>
        <w:jc w:val="center"/>
        <w:rPr>
          <w:szCs w:val="24"/>
        </w:rPr>
      </w:pPr>
      <w:r w:rsidRPr="00CF41D2">
        <w:rPr>
          <w:b/>
          <w:bCs/>
        </w:rPr>
        <w:lastRenderedPageBreak/>
        <w:t xml:space="preserve">Table 1:  </w:t>
      </w:r>
      <w:r w:rsidRPr="00CF41D2">
        <w:t>AIA’s CAMEL Approach for Bank Analysis</w:t>
      </w:r>
    </w:p>
    <w:tbl>
      <w:tblPr>
        <w:tblpPr w:leftFromText="180" w:rightFromText="180" w:vertAnchor="text" w:horzAnchor="margin" w:tblpY="-736"/>
        <w:tblW w:w="5000" w:type="pct"/>
        <w:tblCellMar>
          <w:left w:w="0" w:type="dxa"/>
          <w:right w:w="0" w:type="dxa"/>
        </w:tblCellMar>
        <w:tblLook w:val="0000"/>
      </w:tblPr>
      <w:tblGrid>
        <w:gridCol w:w="1448"/>
        <w:gridCol w:w="2423"/>
        <w:gridCol w:w="4181"/>
        <w:gridCol w:w="1282"/>
        <w:gridCol w:w="36"/>
      </w:tblGrid>
      <w:tr w:rsidR="00A85CCC" w:rsidRPr="00C4611B" w:rsidTr="00786789">
        <w:trPr>
          <w:trHeight w:val="245"/>
        </w:trPr>
        <w:tc>
          <w:tcPr>
            <w:tcW w:w="773" w:type="pct"/>
            <w:tcBorders>
              <w:top w:val="single" w:sz="8" w:space="0" w:color="auto"/>
              <w:left w:val="single" w:sz="8" w:space="0" w:color="auto"/>
              <w:bottom w:val="single" w:sz="8" w:space="0" w:color="auto"/>
              <w:right w:val="single" w:sz="8" w:space="0" w:color="auto"/>
            </w:tcBorders>
            <w:shd w:val="clear" w:color="auto" w:fill="C3C3C4"/>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b/>
                <w:bCs/>
                <w:w w:val="87"/>
                <w:szCs w:val="24"/>
              </w:rPr>
              <w:t>CAMEL</w:t>
            </w:r>
          </w:p>
        </w:tc>
        <w:tc>
          <w:tcPr>
            <w:tcW w:w="1293" w:type="pct"/>
            <w:tcBorders>
              <w:top w:val="single" w:sz="8" w:space="0" w:color="auto"/>
              <w:left w:val="nil"/>
              <w:bottom w:val="single" w:sz="8" w:space="0" w:color="auto"/>
              <w:right w:val="single" w:sz="8" w:space="0" w:color="auto"/>
            </w:tcBorders>
            <w:shd w:val="clear" w:color="auto" w:fill="C3C3C4"/>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b/>
                <w:bCs/>
                <w:w w:val="87"/>
                <w:szCs w:val="24"/>
              </w:rPr>
              <w:t>Ratios</w:t>
            </w:r>
          </w:p>
        </w:tc>
        <w:tc>
          <w:tcPr>
            <w:tcW w:w="2231" w:type="pct"/>
            <w:tcBorders>
              <w:top w:val="single" w:sz="8" w:space="0" w:color="auto"/>
              <w:left w:val="nil"/>
              <w:bottom w:val="single" w:sz="8" w:space="0" w:color="auto"/>
              <w:right w:val="single" w:sz="8" w:space="0" w:color="auto"/>
            </w:tcBorders>
            <w:shd w:val="clear" w:color="auto" w:fill="C3C3C4"/>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b/>
                <w:bCs/>
                <w:w w:val="90"/>
                <w:szCs w:val="24"/>
              </w:rPr>
              <w:t>Formula</w:t>
            </w:r>
          </w:p>
        </w:tc>
        <w:tc>
          <w:tcPr>
            <w:tcW w:w="684" w:type="pct"/>
            <w:tcBorders>
              <w:top w:val="single" w:sz="8" w:space="0" w:color="auto"/>
              <w:left w:val="nil"/>
              <w:bottom w:val="single" w:sz="8" w:space="0" w:color="auto"/>
              <w:right w:val="single" w:sz="8" w:space="0" w:color="auto"/>
            </w:tcBorders>
            <w:shd w:val="clear" w:color="auto" w:fill="C3C3C4"/>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b/>
                <w:bCs/>
                <w:w w:val="88"/>
                <w:szCs w:val="24"/>
              </w:rPr>
              <w:t>Criteria</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209"/>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Capital Adequacy</w:t>
            </w:r>
          </w:p>
        </w:tc>
        <w:tc>
          <w:tcPr>
            <w:tcW w:w="2231"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 xml:space="preserve">(Tier 1 Capital – Goodwill) + Tier 2 </w:t>
            </w:r>
            <w:r w:rsidRPr="00C4611B">
              <w:rPr>
                <w:szCs w:val="24"/>
                <w:u w:val="single"/>
              </w:rPr>
              <w:t>Capital</w:t>
            </w:r>
          </w:p>
        </w:tc>
        <w:tc>
          <w:tcPr>
            <w:tcW w:w="684"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u w:val="single"/>
              </w:rPr>
              <w:t>&gt;</w:t>
            </w:r>
            <w:r w:rsidRPr="00C4611B">
              <w:rPr>
                <w:szCs w:val="24"/>
              </w:rPr>
              <w:t>8%</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15"/>
        </w:trPr>
        <w:tc>
          <w:tcPr>
            <w:tcW w:w="773" w:type="pct"/>
            <w:vMerge w:val="restar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b/>
                <w:szCs w:val="24"/>
              </w:rPr>
            </w:pPr>
            <w:r w:rsidRPr="00C4611B">
              <w:rPr>
                <w:b/>
                <w:szCs w:val="24"/>
              </w:rPr>
              <w:t>Capital</w:t>
            </w:r>
          </w:p>
        </w:tc>
        <w:tc>
          <w:tcPr>
            <w:tcW w:w="1293"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Ratio</w:t>
            </w:r>
          </w:p>
        </w:tc>
        <w:tc>
          <w:tcPr>
            <w:tcW w:w="2231"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Risk-Weighted Assets</w:t>
            </w:r>
          </w:p>
        </w:tc>
        <w:tc>
          <w:tcPr>
            <w:tcW w:w="684"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05"/>
        </w:trPr>
        <w:tc>
          <w:tcPr>
            <w:tcW w:w="773" w:type="pct"/>
            <w:vMerge/>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b/>
                <w:szCs w:val="24"/>
              </w:rPr>
            </w:pPr>
          </w:p>
        </w:tc>
        <w:tc>
          <w:tcPr>
            <w:tcW w:w="1293"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2231"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208"/>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b/>
                <w:szCs w:val="24"/>
              </w:rPr>
            </w:pPr>
            <w:r w:rsidRPr="00C4611B">
              <w:rPr>
                <w:b/>
                <w:szCs w:val="24"/>
              </w:rPr>
              <w:t>Adequacy</w:t>
            </w:r>
          </w:p>
        </w:tc>
        <w:tc>
          <w:tcPr>
            <w:tcW w:w="1293"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Equity Capital to Total</w:t>
            </w:r>
          </w:p>
        </w:tc>
        <w:tc>
          <w:tcPr>
            <w:tcW w:w="2231"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Total Capital/Total Assets</w:t>
            </w:r>
          </w:p>
        </w:tc>
        <w:tc>
          <w:tcPr>
            <w:tcW w:w="684"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&gt;4-6%</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15"/>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Assets</w:t>
            </w:r>
          </w:p>
        </w:tc>
        <w:tc>
          <w:tcPr>
            <w:tcW w:w="2231"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04"/>
        </w:trPr>
        <w:tc>
          <w:tcPr>
            <w:tcW w:w="773" w:type="pct"/>
            <w:tcBorders>
              <w:top w:val="nil"/>
              <w:left w:val="single" w:sz="8" w:space="0" w:color="auto"/>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228"/>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NPLs to Total Loans</w:t>
            </w:r>
          </w:p>
        </w:tc>
        <w:tc>
          <w:tcPr>
            <w:tcW w:w="2231"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NPLs/Total Loans</w:t>
            </w:r>
          </w:p>
        </w:tc>
        <w:tc>
          <w:tcPr>
            <w:tcW w:w="684"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&lt;1%</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225"/>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NPLs to Total Equity</w:t>
            </w:r>
          </w:p>
        </w:tc>
        <w:tc>
          <w:tcPr>
            <w:tcW w:w="2231"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NPLs/Total Equity</w:t>
            </w:r>
          </w:p>
        </w:tc>
        <w:tc>
          <w:tcPr>
            <w:tcW w:w="684"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&lt;1%</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85"/>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b/>
                <w:szCs w:val="24"/>
              </w:rPr>
            </w:pPr>
            <w:r w:rsidRPr="00C4611B">
              <w:rPr>
                <w:b/>
                <w:szCs w:val="24"/>
              </w:rPr>
              <w:t>Asset</w:t>
            </w:r>
          </w:p>
        </w:tc>
        <w:tc>
          <w:tcPr>
            <w:tcW w:w="1293"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Allowance for Loan Loss</w:t>
            </w:r>
          </w:p>
        </w:tc>
        <w:tc>
          <w:tcPr>
            <w:tcW w:w="2231"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Allowance for Loan Loss/Total Loans</w:t>
            </w:r>
          </w:p>
        </w:tc>
        <w:tc>
          <w:tcPr>
            <w:tcW w:w="684"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&gt;1.5%</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43"/>
        </w:trPr>
        <w:tc>
          <w:tcPr>
            <w:tcW w:w="773" w:type="pct"/>
            <w:vMerge w:val="restar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b/>
                <w:szCs w:val="24"/>
              </w:rPr>
            </w:pPr>
            <w:r w:rsidRPr="00C4611B">
              <w:rPr>
                <w:b/>
                <w:szCs w:val="24"/>
              </w:rPr>
              <w:t>Quality</w:t>
            </w:r>
          </w:p>
        </w:tc>
        <w:tc>
          <w:tcPr>
            <w:tcW w:w="1293"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Ratio</w:t>
            </w:r>
          </w:p>
        </w:tc>
        <w:tc>
          <w:tcPr>
            <w:tcW w:w="2231"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04"/>
        </w:trPr>
        <w:tc>
          <w:tcPr>
            <w:tcW w:w="773" w:type="pct"/>
            <w:vMerge/>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b/>
                <w:szCs w:val="24"/>
              </w:rPr>
            </w:pPr>
          </w:p>
        </w:tc>
        <w:tc>
          <w:tcPr>
            <w:tcW w:w="1293"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209"/>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b/>
                <w:szCs w:val="24"/>
              </w:rPr>
            </w:pPr>
          </w:p>
        </w:tc>
        <w:tc>
          <w:tcPr>
            <w:tcW w:w="1293"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Provision for Loan Loss</w:t>
            </w:r>
          </w:p>
        </w:tc>
        <w:tc>
          <w:tcPr>
            <w:tcW w:w="2231"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Provision for Loan Loss/Total Loans</w:t>
            </w:r>
          </w:p>
        </w:tc>
        <w:tc>
          <w:tcPr>
            <w:tcW w:w="684"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&gt;100%</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15"/>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Ratio</w:t>
            </w:r>
          </w:p>
        </w:tc>
        <w:tc>
          <w:tcPr>
            <w:tcW w:w="2231"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04"/>
        </w:trPr>
        <w:tc>
          <w:tcPr>
            <w:tcW w:w="773" w:type="pct"/>
            <w:tcBorders>
              <w:top w:val="nil"/>
              <w:left w:val="single" w:sz="8" w:space="0" w:color="auto"/>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209"/>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Total Asset Growth Rate</w:t>
            </w:r>
          </w:p>
        </w:tc>
        <w:tc>
          <w:tcPr>
            <w:tcW w:w="2231"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Average of Historical Asset Growth Rate</w:t>
            </w:r>
          </w:p>
        </w:tc>
        <w:tc>
          <w:tcPr>
            <w:tcW w:w="684"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Nominal</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15"/>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GNP Growth</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04"/>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209"/>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b/>
                <w:szCs w:val="24"/>
              </w:rPr>
            </w:pPr>
            <w:r w:rsidRPr="00C4611B">
              <w:rPr>
                <w:b/>
                <w:szCs w:val="24"/>
              </w:rPr>
              <w:t>Management</w:t>
            </w:r>
          </w:p>
        </w:tc>
        <w:tc>
          <w:tcPr>
            <w:tcW w:w="1293"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Loan Growth Rate</w:t>
            </w:r>
          </w:p>
        </w:tc>
        <w:tc>
          <w:tcPr>
            <w:tcW w:w="2231"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Average of Historical Loan Growth Rate</w:t>
            </w:r>
          </w:p>
        </w:tc>
        <w:tc>
          <w:tcPr>
            <w:tcW w:w="684"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Nominal</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15"/>
        </w:trPr>
        <w:tc>
          <w:tcPr>
            <w:tcW w:w="773" w:type="pct"/>
            <w:vMerge w:val="restar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b/>
                <w:szCs w:val="24"/>
              </w:rPr>
            </w:pPr>
            <w:r w:rsidRPr="00C4611B">
              <w:rPr>
                <w:b/>
                <w:szCs w:val="24"/>
              </w:rPr>
              <w:t>Quality</w:t>
            </w:r>
          </w:p>
        </w:tc>
        <w:tc>
          <w:tcPr>
            <w:tcW w:w="1293"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GNP Growth</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08"/>
        </w:trPr>
        <w:tc>
          <w:tcPr>
            <w:tcW w:w="773" w:type="pct"/>
            <w:vMerge/>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348"/>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Earnings Growth Rate</w:t>
            </w:r>
          </w:p>
        </w:tc>
        <w:tc>
          <w:tcPr>
            <w:tcW w:w="2231"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Average of Historical Earning Growth Rate</w:t>
            </w:r>
          </w:p>
        </w:tc>
        <w:tc>
          <w:tcPr>
            <w:tcW w:w="684"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&gt;10-15%</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35"/>
        </w:trPr>
        <w:tc>
          <w:tcPr>
            <w:tcW w:w="773" w:type="pct"/>
            <w:tcBorders>
              <w:top w:val="nil"/>
              <w:left w:val="single" w:sz="8" w:space="0" w:color="auto"/>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205"/>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Net Interest Income</w:t>
            </w:r>
          </w:p>
        </w:tc>
        <w:tc>
          <w:tcPr>
            <w:tcW w:w="2231"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Net Interest Income/Average Earning Assets</w:t>
            </w:r>
          </w:p>
        </w:tc>
        <w:tc>
          <w:tcPr>
            <w:tcW w:w="684"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&gt;4.5%</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15"/>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Margin (NIM)</w:t>
            </w:r>
          </w:p>
        </w:tc>
        <w:tc>
          <w:tcPr>
            <w:tcW w:w="2231"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04"/>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209"/>
        </w:trPr>
        <w:tc>
          <w:tcPr>
            <w:tcW w:w="773" w:type="pct"/>
            <w:vMerge w:val="restar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b/>
                <w:szCs w:val="24"/>
              </w:rPr>
            </w:pPr>
            <w:r w:rsidRPr="00C4611B">
              <w:rPr>
                <w:b/>
                <w:szCs w:val="24"/>
              </w:rPr>
              <w:t>Earnings</w:t>
            </w:r>
          </w:p>
        </w:tc>
        <w:tc>
          <w:tcPr>
            <w:tcW w:w="1293"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Cost to Income Ratio</w:t>
            </w:r>
          </w:p>
        </w:tc>
        <w:tc>
          <w:tcPr>
            <w:tcW w:w="2231"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Operating Expenses (Excludes Provision Loss)</w:t>
            </w:r>
          </w:p>
        </w:tc>
        <w:tc>
          <w:tcPr>
            <w:tcW w:w="684"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&lt;70%</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21"/>
        </w:trPr>
        <w:tc>
          <w:tcPr>
            <w:tcW w:w="773" w:type="pct"/>
            <w:vMerge/>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b/>
                <w:szCs w:val="24"/>
              </w:rPr>
            </w:pPr>
          </w:p>
        </w:tc>
        <w:tc>
          <w:tcPr>
            <w:tcW w:w="1293"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Net Interest Income + Non-Interest Income</w:t>
            </w:r>
          </w:p>
        </w:tc>
        <w:tc>
          <w:tcPr>
            <w:tcW w:w="684"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99"/>
        </w:trPr>
        <w:tc>
          <w:tcPr>
            <w:tcW w:w="773" w:type="pct"/>
            <w:vMerge w:val="restar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b/>
                <w:szCs w:val="24"/>
              </w:rPr>
            </w:pPr>
            <w:r w:rsidRPr="00C4611B">
              <w:rPr>
                <w:b/>
                <w:szCs w:val="24"/>
              </w:rPr>
              <w:t>Ability</w:t>
            </w:r>
          </w:p>
        </w:tc>
        <w:tc>
          <w:tcPr>
            <w:tcW w:w="1293"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00"/>
        </w:trPr>
        <w:tc>
          <w:tcPr>
            <w:tcW w:w="773" w:type="pct"/>
            <w:vMerge/>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Return on Assets (ROA)</w:t>
            </w:r>
          </w:p>
        </w:tc>
        <w:tc>
          <w:tcPr>
            <w:tcW w:w="2231"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Net Interest Income/Asset Growth Rate</w:t>
            </w:r>
          </w:p>
        </w:tc>
        <w:tc>
          <w:tcPr>
            <w:tcW w:w="684"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&gt;1%</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33"/>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209"/>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Return on Equity (ROE)</w:t>
            </w:r>
          </w:p>
        </w:tc>
        <w:tc>
          <w:tcPr>
            <w:tcW w:w="2231"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Net Interest Income</w:t>
            </w:r>
          </w:p>
        </w:tc>
        <w:tc>
          <w:tcPr>
            <w:tcW w:w="684"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&gt;15%</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15"/>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Shareholder’s Equity Growth Rate</w:t>
            </w:r>
          </w:p>
        </w:tc>
        <w:tc>
          <w:tcPr>
            <w:tcW w:w="684"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04"/>
        </w:trPr>
        <w:tc>
          <w:tcPr>
            <w:tcW w:w="773" w:type="pct"/>
            <w:tcBorders>
              <w:top w:val="nil"/>
              <w:left w:val="single" w:sz="8" w:space="0" w:color="auto"/>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209"/>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Customer Deposits to</w:t>
            </w:r>
          </w:p>
        </w:tc>
        <w:tc>
          <w:tcPr>
            <w:tcW w:w="2231"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Total Customer Deposits/Total Assets</w:t>
            </w:r>
          </w:p>
        </w:tc>
        <w:tc>
          <w:tcPr>
            <w:tcW w:w="684"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&gt;=75%</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15"/>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Total Assets</w:t>
            </w:r>
          </w:p>
        </w:tc>
        <w:tc>
          <w:tcPr>
            <w:tcW w:w="2231"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04"/>
        </w:trPr>
        <w:tc>
          <w:tcPr>
            <w:tcW w:w="773" w:type="pct"/>
            <w:vMerge w:val="restar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b/>
                <w:szCs w:val="24"/>
              </w:rPr>
            </w:pPr>
            <w:r w:rsidRPr="00C4611B">
              <w:rPr>
                <w:b/>
                <w:szCs w:val="24"/>
              </w:rPr>
              <w:t>Liquidity</w:t>
            </w:r>
          </w:p>
        </w:tc>
        <w:tc>
          <w:tcPr>
            <w:tcW w:w="1293"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00"/>
        </w:trPr>
        <w:tc>
          <w:tcPr>
            <w:tcW w:w="773" w:type="pct"/>
            <w:vMerge/>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293"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Total Loan to Customer</w:t>
            </w:r>
          </w:p>
        </w:tc>
        <w:tc>
          <w:tcPr>
            <w:tcW w:w="2231"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Total Loans/Total Customer Deposits</w:t>
            </w:r>
          </w:p>
        </w:tc>
        <w:tc>
          <w:tcPr>
            <w:tcW w:w="684"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&lt;80%</w:t>
            </w: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09"/>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293"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2231"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115"/>
        </w:trPr>
        <w:tc>
          <w:tcPr>
            <w:tcW w:w="773" w:type="pct"/>
            <w:tcBorders>
              <w:top w:val="nil"/>
              <w:left w:val="single" w:sz="8" w:space="0" w:color="auto"/>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val="restart"/>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r w:rsidRPr="00C4611B">
              <w:rPr>
                <w:szCs w:val="24"/>
              </w:rPr>
              <w:t>Deposits (LTD)</w:t>
            </w:r>
          </w:p>
        </w:tc>
        <w:tc>
          <w:tcPr>
            <w:tcW w:w="2231"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vMerge/>
            <w:tcBorders>
              <w:top w:val="nil"/>
              <w:left w:val="nil"/>
              <w:bottom w:val="nil"/>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r w:rsidR="00A85CCC" w:rsidRPr="00C4611B" w:rsidTr="00786789">
        <w:trPr>
          <w:trHeight w:val="89"/>
        </w:trPr>
        <w:tc>
          <w:tcPr>
            <w:tcW w:w="773" w:type="pct"/>
            <w:tcBorders>
              <w:top w:val="nil"/>
              <w:left w:val="single" w:sz="8" w:space="0" w:color="auto"/>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1293" w:type="pct"/>
            <w:vMerge/>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rPr>
                <w:szCs w:val="24"/>
              </w:rPr>
            </w:pPr>
          </w:p>
        </w:tc>
        <w:tc>
          <w:tcPr>
            <w:tcW w:w="2231"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684" w:type="pct"/>
            <w:tcBorders>
              <w:top w:val="nil"/>
              <w:left w:val="nil"/>
              <w:bottom w:val="single" w:sz="8" w:space="0" w:color="auto"/>
              <w:right w:val="single" w:sz="8" w:space="0" w:color="auto"/>
            </w:tcBorders>
            <w:vAlign w:val="bottom"/>
          </w:tcPr>
          <w:p w:rsidR="00A85CCC" w:rsidRPr="00C4611B" w:rsidRDefault="00A85CCC" w:rsidP="00786789">
            <w:pPr>
              <w:widowControl w:val="0"/>
              <w:autoSpaceDE w:val="0"/>
              <w:autoSpaceDN w:val="0"/>
              <w:adjustRightInd w:val="0"/>
              <w:spacing w:after="0" w:line="240" w:lineRule="auto"/>
              <w:jc w:val="center"/>
              <w:rPr>
                <w:szCs w:val="24"/>
              </w:rPr>
            </w:pPr>
          </w:p>
        </w:tc>
        <w:tc>
          <w:tcPr>
            <w:tcW w:w="19" w:type="pct"/>
            <w:tcBorders>
              <w:top w:val="nil"/>
              <w:left w:val="nil"/>
              <w:bottom w:val="nil"/>
              <w:right w:val="nil"/>
            </w:tcBorders>
            <w:vAlign w:val="bottom"/>
          </w:tcPr>
          <w:p w:rsidR="00A85CCC" w:rsidRPr="00C4611B" w:rsidRDefault="00A85CCC" w:rsidP="00786789">
            <w:pPr>
              <w:widowControl w:val="0"/>
              <w:autoSpaceDE w:val="0"/>
              <w:autoSpaceDN w:val="0"/>
              <w:adjustRightInd w:val="0"/>
              <w:spacing w:after="0" w:line="240" w:lineRule="auto"/>
              <w:rPr>
                <w:szCs w:val="24"/>
              </w:rPr>
            </w:pPr>
          </w:p>
        </w:tc>
      </w:tr>
    </w:tbl>
    <w:p w:rsidR="00672193" w:rsidRPr="00CF41D2" w:rsidRDefault="00A85CCC" w:rsidP="00672193">
      <w:pPr>
        <w:widowControl w:val="0"/>
        <w:autoSpaceDE w:val="0"/>
        <w:autoSpaceDN w:val="0"/>
        <w:adjustRightInd w:val="0"/>
        <w:spacing w:after="100" w:line="360" w:lineRule="auto"/>
        <w:rPr>
          <w:szCs w:val="24"/>
        </w:rPr>
      </w:pPr>
      <w:r>
        <w:rPr>
          <w:szCs w:val="24"/>
        </w:rPr>
        <w:t xml:space="preserve">                                    </w:t>
      </w:r>
      <w:r w:rsidR="00672193" w:rsidRPr="00CF41D2">
        <w:rPr>
          <w:b/>
          <w:bCs/>
          <w:szCs w:val="24"/>
        </w:rPr>
        <w:t>Source</w:t>
      </w:r>
      <w:r w:rsidR="00672193" w:rsidRPr="00CF41D2">
        <w:rPr>
          <w:iCs/>
          <w:szCs w:val="24"/>
        </w:rPr>
        <w:t xml:space="preserve">: </w:t>
      </w:r>
      <w:proofErr w:type="spellStart"/>
      <w:r w:rsidR="00672193" w:rsidRPr="00CF41D2">
        <w:rPr>
          <w:iCs/>
          <w:szCs w:val="24"/>
        </w:rPr>
        <w:t>Sarwar</w:t>
      </w:r>
      <w:proofErr w:type="spellEnd"/>
      <w:r w:rsidR="00672193" w:rsidRPr="00CF41D2">
        <w:rPr>
          <w:iCs/>
          <w:szCs w:val="24"/>
        </w:rPr>
        <w:t xml:space="preserve"> and </w:t>
      </w:r>
      <w:proofErr w:type="spellStart"/>
      <w:r w:rsidR="00672193" w:rsidRPr="00CF41D2">
        <w:rPr>
          <w:iCs/>
          <w:szCs w:val="24"/>
        </w:rPr>
        <w:t>Asif</w:t>
      </w:r>
      <w:proofErr w:type="spellEnd"/>
      <w:r w:rsidR="00672193" w:rsidRPr="00CF41D2">
        <w:rPr>
          <w:iCs/>
          <w:szCs w:val="24"/>
        </w:rPr>
        <w:t xml:space="preserve"> (2011)</w:t>
      </w:r>
    </w:p>
    <w:p w:rsidR="00672193" w:rsidRPr="00CF41D2" w:rsidRDefault="00672193" w:rsidP="00672193">
      <w:pPr>
        <w:widowControl w:val="0"/>
        <w:autoSpaceDE w:val="0"/>
        <w:autoSpaceDN w:val="0"/>
        <w:adjustRightInd w:val="0"/>
        <w:spacing w:after="100" w:line="360" w:lineRule="auto"/>
        <w:rPr>
          <w:szCs w:val="24"/>
        </w:rPr>
      </w:pPr>
      <w:r w:rsidRPr="00CF41D2">
        <w:rPr>
          <w:rFonts w:eastAsia="TimesNewRoman"/>
          <w:szCs w:val="24"/>
        </w:rPr>
        <w:lastRenderedPageBreak/>
        <w:t>The ability of management to respond to changing circumstances and to address the risks that may arise from changing business conditions, or the initiation of new activities or products, is an important factor in evaluating an institution’s overall risk profile and the level of supervisory attention warranted. For this reason, the management component is given special consideration when assigning a composite rating.</w:t>
      </w:r>
    </w:p>
    <w:p w:rsidR="00672193" w:rsidRPr="00CF41D2" w:rsidRDefault="00672193" w:rsidP="00672193">
      <w:pPr>
        <w:autoSpaceDE w:val="0"/>
        <w:autoSpaceDN w:val="0"/>
        <w:adjustRightInd w:val="0"/>
        <w:spacing w:line="360" w:lineRule="auto"/>
        <w:jc w:val="both"/>
        <w:rPr>
          <w:rFonts w:eastAsia="TimesNewRoman"/>
          <w:szCs w:val="24"/>
        </w:rPr>
      </w:pPr>
      <w:r w:rsidRPr="00CF41D2">
        <w:rPr>
          <w:rFonts w:eastAsia="TimesNewRoman"/>
          <w:szCs w:val="24"/>
        </w:rPr>
        <w:t xml:space="preserve">The ability of management to identify, measure, monitor, and control the risks of its operations is also taken into account when assigning each composite rating, It is recognized, however, that appropriate management practices vary considerably among financial institutions, depending on their size, complexity, and risk profile. For less complex institutions engaged solely in traditional banking activities and whose directors and senior managers, in their respective roles, are actively involved in the oversight and management of day-to-day operations, relatively basic management systems and controls may be adequate. </w:t>
      </w:r>
    </w:p>
    <w:p w:rsidR="00672193" w:rsidRPr="00D7262A" w:rsidRDefault="00672193" w:rsidP="00672193">
      <w:pPr>
        <w:autoSpaceDE w:val="0"/>
        <w:autoSpaceDN w:val="0"/>
        <w:adjustRightInd w:val="0"/>
        <w:spacing w:line="360" w:lineRule="auto"/>
        <w:jc w:val="both"/>
        <w:rPr>
          <w:rFonts w:eastAsia="TimesNewRoman"/>
          <w:szCs w:val="24"/>
        </w:rPr>
      </w:pPr>
      <w:r w:rsidRPr="00CF41D2">
        <w:rPr>
          <w:rFonts w:eastAsia="TimesNewRoman"/>
          <w:szCs w:val="24"/>
        </w:rPr>
        <w:t>At more complex institutions, on the other hand, detailed and formal management systems and controls are needed to address their broader range of financial activities and to provide senior managers and directors, in their respective roles, with the information they need to monitor and direct day-to-day activities. All institutions are expected to properly manage their risks. For less complex institutions engaging in less sophisticated risk taking activities, detailed or highly formalized management systems and controls are not required to receive strong or satisfactory component or composite ratings. Table 2 below presents the rating, rating range, rating analysis and interpretation of the CAMEL component and composite rating.</w:t>
      </w:r>
    </w:p>
    <w:p w:rsidR="00AC2682" w:rsidRDefault="00AC2682" w:rsidP="00672193">
      <w:pPr>
        <w:widowControl w:val="0"/>
        <w:autoSpaceDE w:val="0"/>
        <w:autoSpaceDN w:val="0"/>
        <w:adjustRightInd w:val="0"/>
        <w:spacing w:after="0" w:line="360" w:lineRule="auto"/>
        <w:ind w:left="80"/>
        <w:rPr>
          <w:b/>
          <w:bCs/>
        </w:rPr>
      </w:pPr>
    </w:p>
    <w:p w:rsidR="00AC2682" w:rsidRDefault="00AC2682" w:rsidP="00672193">
      <w:pPr>
        <w:widowControl w:val="0"/>
        <w:autoSpaceDE w:val="0"/>
        <w:autoSpaceDN w:val="0"/>
        <w:adjustRightInd w:val="0"/>
        <w:spacing w:after="0" w:line="360" w:lineRule="auto"/>
        <w:ind w:left="80"/>
        <w:rPr>
          <w:b/>
          <w:bCs/>
        </w:rPr>
      </w:pPr>
    </w:p>
    <w:p w:rsidR="00AC2682" w:rsidRDefault="00AC2682" w:rsidP="00672193">
      <w:pPr>
        <w:widowControl w:val="0"/>
        <w:autoSpaceDE w:val="0"/>
        <w:autoSpaceDN w:val="0"/>
        <w:adjustRightInd w:val="0"/>
        <w:spacing w:after="0" w:line="360" w:lineRule="auto"/>
        <w:ind w:left="80"/>
        <w:rPr>
          <w:b/>
          <w:bCs/>
        </w:rPr>
      </w:pPr>
    </w:p>
    <w:p w:rsidR="00AC2682" w:rsidRDefault="00AC2682" w:rsidP="00672193">
      <w:pPr>
        <w:widowControl w:val="0"/>
        <w:autoSpaceDE w:val="0"/>
        <w:autoSpaceDN w:val="0"/>
        <w:adjustRightInd w:val="0"/>
        <w:spacing w:after="0" w:line="360" w:lineRule="auto"/>
        <w:ind w:left="80"/>
        <w:rPr>
          <w:b/>
          <w:bCs/>
        </w:rPr>
      </w:pPr>
    </w:p>
    <w:p w:rsidR="00AC2682" w:rsidRDefault="00AC2682" w:rsidP="00672193">
      <w:pPr>
        <w:widowControl w:val="0"/>
        <w:autoSpaceDE w:val="0"/>
        <w:autoSpaceDN w:val="0"/>
        <w:adjustRightInd w:val="0"/>
        <w:spacing w:after="0" w:line="360" w:lineRule="auto"/>
        <w:ind w:left="80"/>
        <w:rPr>
          <w:b/>
          <w:bCs/>
        </w:rPr>
      </w:pPr>
    </w:p>
    <w:p w:rsidR="00AC2682" w:rsidRDefault="00AC2682" w:rsidP="00672193">
      <w:pPr>
        <w:widowControl w:val="0"/>
        <w:autoSpaceDE w:val="0"/>
        <w:autoSpaceDN w:val="0"/>
        <w:adjustRightInd w:val="0"/>
        <w:spacing w:after="0" w:line="360" w:lineRule="auto"/>
        <w:ind w:left="80"/>
        <w:rPr>
          <w:b/>
          <w:bCs/>
        </w:rPr>
      </w:pPr>
    </w:p>
    <w:p w:rsidR="00AC2682" w:rsidRDefault="00AC2682" w:rsidP="00672193">
      <w:pPr>
        <w:widowControl w:val="0"/>
        <w:autoSpaceDE w:val="0"/>
        <w:autoSpaceDN w:val="0"/>
        <w:adjustRightInd w:val="0"/>
        <w:spacing w:after="0" w:line="360" w:lineRule="auto"/>
        <w:ind w:left="80"/>
        <w:rPr>
          <w:b/>
          <w:bCs/>
        </w:rPr>
      </w:pPr>
    </w:p>
    <w:p w:rsidR="00AC2682" w:rsidRDefault="00AC2682" w:rsidP="00672193">
      <w:pPr>
        <w:widowControl w:val="0"/>
        <w:autoSpaceDE w:val="0"/>
        <w:autoSpaceDN w:val="0"/>
        <w:adjustRightInd w:val="0"/>
        <w:spacing w:after="0" w:line="360" w:lineRule="auto"/>
        <w:ind w:left="80"/>
        <w:rPr>
          <w:b/>
          <w:bCs/>
        </w:rPr>
      </w:pPr>
    </w:p>
    <w:p w:rsidR="00AC2682" w:rsidRDefault="00AC2682" w:rsidP="00672193">
      <w:pPr>
        <w:widowControl w:val="0"/>
        <w:autoSpaceDE w:val="0"/>
        <w:autoSpaceDN w:val="0"/>
        <w:adjustRightInd w:val="0"/>
        <w:spacing w:after="0" w:line="360" w:lineRule="auto"/>
        <w:ind w:left="80"/>
        <w:rPr>
          <w:b/>
          <w:bCs/>
        </w:rPr>
      </w:pPr>
    </w:p>
    <w:p w:rsidR="00AC2682" w:rsidRDefault="00AC2682" w:rsidP="00672193">
      <w:pPr>
        <w:widowControl w:val="0"/>
        <w:autoSpaceDE w:val="0"/>
        <w:autoSpaceDN w:val="0"/>
        <w:adjustRightInd w:val="0"/>
        <w:spacing w:after="0" w:line="360" w:lineRule="auto"/>
        <w:ind w:left="80"/>
        <w:rPr>
          <w:b/>
          <w:bCs/>
        </w:rPr>
      </w:pPr>
    </w:p>
    <w:p w:rsidR="00AC2682" w:rsidRDefault="00AC2682" w:rsidP="00672193">
      <w:pPr>
        <w:widowControl w:val="0"/>
        <w:autoSpaceDE w:val="0"/>
        <w:autoSpaceDN w:val="0"/>
        <w:adjustRightInd w:val="0"/>
        <w:spacing w:after="0" w:line="360" w:lineRule="auto"/>
        <w:ind w:left="80"/>
        <w:rPr>
          <w:b/>
          <w:bCs/>
        </w:rPr>
      </w:pPr>
    </w:p>
    <w:p w:rsidR="00672193" w:rsidRPr="00CF41D2" w:rsidRDefault="00672193" w:rsidP="00672193">
      <w:pPr>
        <w:widowControl w:val="0"/>
        <w:autoSpaceDE w:val="0"/>
        <w:autoSpaceDN w:val="0"/>
        <w:adjustRightInd w:val="0"/>
        <w:spacing w:after="0" w:line="360" w:lineRule="auto"/>
        <w:ind w:left="80"/>
        <w:rPr>
          <w:szCs w:val="24"/>
        </w:rPr>
      </w:pPr>
      <w:r w:rsidRPr="00CF41D2">
        <w:rPr>
          <w:b/>
          <w:bCs/>
        </w:rPr>
        <w:lastRenderedPageBreak/>
        <w:t xml:space="preserve">Table 2: </w:t>
      </w:r>
      <w:r w:rsidRPr="00CF41D2">
        <w:rPr>
          <w:b/>
        </w:rPr>
        <w:t>CAMEL’s Composite Rating</w:t>
      </w:r>
    </w:p>
    <w:tbl>
      <w:tblPr>
        <w:tblW w:w="5427" w:type="pct"/>
        <w:tblInd w:w="-260" w:type="dxa"/>
        <w:tblCellMar>
          <w:left w:w="0" w:type="dxa"/>
          <w:right w:w="0" w:type="dxa"/>
        </w:tblCellMar>
        <w:tblLook w:val="0000"/>
      </w:tblPr>
      <w:tblGrid>
        <w:gridCol w:w="1063"/>
        <w:gridCol w:w="1005"/>
        <w:gridCol w:w="3035"/>
        <w:gridCol w:w="4489"/>
        <w:gridCol w:w="578"/>
      </w:tblGrid>
      <w:tr w:rsidR="00672193" w:rsidRPr="00CF41D2" w:rsidTr="00642B54">
        <w:trPr>
          <w:trHeight w:val="222"/>
        </w:trPr>
        <w:tc>
          <w:tcPr>
            <w:tcW w:w="523" w:type="pct"/>
            <w:vMerge w:val="restart"/>
            <w:tcBorders>
              <w:top w:val="single" w:sz="8" w:space="0" w:color="auto"/>
              <w:left w:val="single" w:sz="8" w:space="0" w:color="auto"/>
              <w:bottom w:val="nil"/>
              <w:right w:val="single" w:sz="8" w:space="0" w:color="auto"/>
            </w:tcBorders>
            <w:shd w:val="clear" w:color="auto" w:fill="C3C3C4"/>
            <w:vAlign w:val="bottom"/>
          </w:tcPr>
          <w:p w:rsidR="00672193" w:rsidRPr="00CF41D2" w:rsidRDefault="00672193" w:rsidP="00642B54">
            <w:pPr>
              <w:widowControl w:val="0"/>
              <w:autoSpaceDE w:val="0"/>
              <w:autoSpaceDN w:val="0"/>
              <w:adjustRightInd w:val="0"/>
              <w:spacing w:after="0" w:line="360" w:lineRule="auto"/>
              <w:jc w:val="center"/>
              <w:rPr>
                <w:b/>
                <w:szCs w:val="24"/>
              </w:rPr>
            </w:pPr>
            <w:r w:rsidRPr="00CF41D2">
              <w:rPr>
                <w:b/>
                <w:szCs w:val="24"/>
              </w:rPr>
              <w:t>Rating</w:t>
            </w:r>
          </w:p>
        </w:tc>
        <w:tc>
          <w:tcPr>
            <w:tcW w:w="494" w:type="pct"/>
            <w:tcBorders>
              <w:top w:val="single" w:sz="8" w:space="0" w:color="auto"/>
              <w:left w:val="nil"/>
              <w:bottom w:val="nil"/>
              <w:right w:val="single" w:sz="8" w:space="0" w:color="auto"/>
            </w:tcBorders>
            <w:shd w:val="clear" w:color="auto" w:fill="C3C3C4"/>
            <w:vAlign w:val="bottom"/>
          </w:tcPr>
          <w:p w:rsidR="00672193" w:rsidRPr="00CF41D2" w:rsidRDefault="00672193" w:rsidP="00642B54">
            <w:pPr>
              <w:widowControl w:val="0"/>
              <w:autoSpaceDE w:val="0"/>
              <w:autoSpaceDN w:val="0"/>
              <w:adjustRightInd w:val="0"/>
              <w:spacing w:after="0" w:line="360" w:lineRule="auto"/>
              <w:jc w:val="center"/>
              <w:rPr>
                <w:b/>
                <w:szCs w:val="24"/>
              </w:rPr>
            </w:pPr>
            <w:r w:rsidRPr="00CF41D2">
              <w:rPr>
                <w:b/>
                <w:szCs w:val="24"/>
              </w:rPr>
              <w:t>Rating</w:t>
            </w:r>
          </w:p>
        </w:tc>
        <w:tc>
          <w:tcPr>
            <w:tcW w:w="1492" w:type="pct"/>
            <w:vMerge w:val="restart"/>
            <w:tcBorders>
              <w:top w:val="single" w:sz="8" w:space="0" w:color="auto"/>
              <w:left w:val="nil"/>
              <w:bottom w:val="nil"/>
              <w:right w:val="single" w:sz="8" w:space="0" w:color="auto"/>
            </w:tcBorders>
            <w:shd w:val="clear" w:color="auto" w:fill="C3C3C4"/>
            <w:vAlign w:val="bottom"/>
          </w:tcPr>
          <w:p w:rsidR="00672193" w:rsidRPr="00CF41D2" w:rsidRDefault="00672193" w:rsidP="00642B54">
            <w:pPr>
              <w:widowControl w:val="0"/>
              <w:autoSpaceDE w:val="0"/>
              <w:autoSpaceDN w:val="0"/>
              <w:adjustRightInd w:val="0"/>
              <w:spacing w:after="0" w:line="360" w:lineRule="auto"/>
              <w:ind w:left="600"/>
              <w:rPr>
                <w:b/>
                <w:szCs w:val="24"/>
              </w:rPr>
            </w:pPr>
            <w:r w:rsidRPr="00CF41D2">
              <w:rPr>
                <w:b/>
                <w:szCs w:val="24"/>
              </w:rPr>
              <w:t>Rating Analysis</w:t>
            </w:r>
          </w:p>
        </w:tc>
        <w:tc>
          <w:tcPr>
            <w:tcW w:w="2207" w:type="pct"/>
            <w:vMerge w:val="restart"/>
            <w:tcBorders>
              <w:top w:val="single" w:sz="8" w:space="0" w:color="auto"/>
              <w:left w:val="nil"/>
              <w:bottom w:val="nil"/>
              <w:right w:val="single" w:sz="8" w:space="0" w:color="auto"/>
            </w:tcBorders>
            <w:shd w:val="clear" w:color="auto" w:fill="C3C3C4"/>
            <w:vAlign w:val="bottom"/>
          </w:tcPr>
          <w:p w:rsidR="00672193" w:rsidRPr="00CF41D2" w:rsidRDefault="00672193" w:rsidP="00642B54">
            <w:pPr>
              <w:widowControl w:val="0"/>
              <w:autoSpaceDE w:val="0"/>
              <w:autoSpaceDN w:val="0"/>
              <w:adjustRightInd w:val="0"/>
              <w:spacing w:after="0" w:line="360" w:lineRule="auto"/>
              <w:ind w:left="1240"/>
              <w:rPr>
                <w:b/>
                <w:szCs w:val="24"/>
              </w:rPr>
            </w:pPr>
            <w:r w:rsidRPr="00CF41D2">
              <w:rPr>
                <w:b/>
                <w:szCs w:val="24"/>
              </w:rPr>
              <w:t>Interpretation</w:t>
            </w: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119"/>
        </w:trPr>
        <w:tc>
          <w:tcPr>
            <w:tcW w:w="523" w:type="pct"/>
            <w:vMerge/>
            <w:tcBorders>
              <w:top w:val="nil"/>
              <w:left w:val="single" w:sz="8" w:space="0" w:color="auto"/>
              <w:bottom w:val="nil"/>
              <w:right w:val="single" w:sz="8" w:space="0" w:color="auto"/>
            </w:tcBorders>
            <w:shd w:val="clear" w:color="auto" w:fill="C3C3C4"/>
            <w:vAlign w:val="bottom"/>
          </w:tcPr>
          <w:p w:rsidR="00672193" w:rsidRPr="00CF41D2" w:rsidRDefault="00672193" w:rsidP="00642B54">
            <w:pPr>
              <w:widowControl w:val="0"/>
              <w:autoSpaceDE w:val="0"/>
              <w:autoSpaceDN w:val="0"/>
              <w:adjustRightInd w:val="0"/>
              <w:spacing w:after="0" w:line="360" w:lineRule="auto"/>
              <w:jc w:val="center"/>
              <w:rPr>
                <w:b/>
                <w:szCs w:val="24"/>
              </w:rPr>
            </w:pPr>
          </w:p>
        </w:tc>
        <w:tc>
          <w:tcPr>
            <w:tcW w:w="494" w:type="pct"/>
            <w:vMerge w:val="restart"/>
            <w:tcBorders>
              <w:top w:val="nil"/>
              <w:left w:val="nil"/>
              <w:bottom w:val="nil"/>
              <w:right w:val="single" w:sz="8" w:space="0" w:color="auto"/>
            </w:tcBorders>
            <w:shd w:val="clear" w:color="auto" w:fill="C3C3C4"/>
            <w:vAlign w:val="bottom"/>
          </w:tcPr>
          <w:p w:rsidR="00672193" w:rsidRPr="00CF41D2" w:rsidRDefault="00672193" w:rsidP="00642B54">
            <w:pPr>
              <w:widowControl w:val="0"/>
              <w:autoSpaceDE w:val="0"/>
              <w:autoSpaceDN w:val="0"/>
              <w:adjustRightInd w:val="0"/>
              <w:spacing w:after="0" w:line="360" w:lineRule="auto"/>
              <w:jc w:val="center"/>
              <w:rPr>
                <w:b/>
                <w:szCs w:val="24"/>
              </w:rPr>
            </w:pPr>
            <w:r w:rsidRPr="00CF41D2">
              <w:rPr>
                <w:b/>
                <w:szCs w:val="24"/>
              </w:rPr>
              <w:t>Range</w:t>
            </w:r>
          </w:p>
        </w:tc>
        <w:tc>
          <w:tcPr>
            <w:tcW w:w="1492" w:type="pct"/>
            <w:vMerge/>
            <w:tcBorders>
              <w:top w:val="nil"/>
              <w:left w:val="nil"/>
              <w:bottom w:val="nil"/>
              <w:right w:val="single" w:sz="8" w:space="0" w:color="auto"/>
            </w:tcBorders>
            <w:shd w:val="clear" w:color="auto" w:fill="C3C3C4"/>
            <w:vAlign w:val="bottom"/>
          </w:tcPr>
          <w:p w:rsidR="00672193" w:rsidRPr="00CF41D2" w:rsidRDefault="00672193" w:rsidP="00642B54">
            <w:pPr>
              <w:widowControl w:val="0"/>
              <w:autoSpaceDE w:val="0"/>
              <w:autoSpaceDN w:val="0"/>
              <w:adjustRightInd w:val="0"/>
              <w:spacing w:after="0" w:line="360" w:lineRule="auto"/>
              <w:jc w:val="center"/>
              <w:rPr>
                <w:b/>
                <w:szCs w:val="24"/>
              </w:rPr>
            </w:pPr>
          </w:p>
        </w:tc>
        <w:tc>
          <w:tcPr>
            <w:tcW w:w="2207" w:type="pct"/>
            <w:vMerge/>
            <w:tcBorders>
              <w:top w:val="nil"/>
              <w:left w:val="nil"/>
              <w:bottom w:val="nil"/>
              <w:right w:val="single" w:sz="8" w:space="0" w:color="auto"/>
            </w:tcBorders>
            <w:shd w:val="clear" w:color="auto" w:fill="C3C3C4"/>
            <w:vAlign w:val="bottom"/>
          </w:tcPr>
          <w:p w:rsidR="00672193" w:rsidRPr="00CF41D2" w:rsidRDefault="00672193" w:rsidP="00642B54">
            <w:pPr>
              <w:widowControl w:val="0"/>
              <w:autoSpaceDE w:val="0"/>
              <w:autoSpaceDN w:val="0"/>
              <w:adjustRightInd w:val="0"/>
              <w:spacing w:after="0" w:line="360" w:lineRule="auto"/>
              <w:jc w:val="center"/>
              <w:rPr>
                <w:b/>
                <w:szCs w:val="24"/>
              </w:rPr>
            </w:pP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104"/>
        </w:trPr>
        <w:tc>
          <w:tcPr>
            <w:tcW w:w="523" w:type="pct"/>
            <w:tcBorders>
              <w:top w:val="nil"/>
              <w:left w:val="single" w:sz="8" w:space="0" w:color="auto"/>
              <w:bottom w:val="single" w:sz="8" w:space="0" w:color="auto"/>
              <w:right w:val="single" w:sz="8" w:space="0" w:color="auto"/>
            </w:tcBorders>
            <w:shd w:val="clear" w:color="auto" w:fill="C3C3C4"/>
            <w:vAlign w:val="bottom"/>
          </w:tcPr>
          <w:p w:rsidR="00672193" w:rsidRPr="00CF41D2" w:rsidRDefault="00672193" w:rsidP="00642B54">
            <w:pPr>
              <w:widowControl w:val="0"/>
              <w:autoSpaceDE w:val="0"/>
              <w:autoSpaceDN w:val="0"/>
              <w:adjustRightInd w:val="0"/>
              <w:spacing w:after="0" w:line="360" w:lineRule="auto"/>
              <w:jc w:val="center"/>
              <w:rPr>
                <w:b/>
                <w:szCs w:val="24"/>
              </w:rPr>
            </w:pPr>
          </w:p>
        </w:tc>
        <w:tc>
          <w:tcPr>
            <w:tcW w:w="494" w:type="pct"/>
            <w:vMerge/>
            <w:tcBorders>
              <w:top w:val="nil"/>
              <w:left w:val="nil"/>
              <w:bottom w:val="single" w:sz="8" w:space="0" w:color="auto"/>
              <w:right w:val="single" w:sz="8" w:space="0" w:color="auto"/>
            </w:tcBorders>
            <w:shd w:val="clear" w:color="auto" w:fill="C3C3C4"/>
            <w:vAlign w:val="bottom"/>
          </w:tcPr>
          <w:p w:rsidR="00672193" w:rsidRPr="00CF41D2" w:rsidRDefault="00672193" w:rsidP="00642B54">
            <w:pPr>
              <w:widowControl w:val="0"/>
              <w:autoSpaceDE w:val="0"/>
              <w:autoSpaceDN w:val="0"/>
              <w:adjustRightInd w:val="0"/>
              <w:spacing w:after="0" w:line="360" w:lineRule="auto"/>
              <w:jc w:val="center"/>
              <w:rPr>
                <w:b/>
                <w:szCs w:val="24"/>
              </w:rPr>
            </w:pPr>
          </w:p>
        </w:tc>
        <w:tc>
          <w:tcPr>
            <w:tcW w:w="1492" w:type="pct"/>
            <w:tcBorders>
              <w:top w:val="nil"/>
              <w:left w:val="nil"/>
              <w:bottom w:val="single" w:sz="8" w:space="0" w:color="auto"/>
              <w:right w:val="single" w:sz="8" w:space="0" w:color="auto"/>
            </w:tcBorders>
            <w:shd w:val="clear" w:color="auto" w:fill="C3C3C4"/>
            <w:vAlign w:val="bottom"/>
          </w:tcPr>
          <w:p w:rsidR="00672193" w:rsidRPr="00CF41D2" w:rsidRDefault="00672193" w:rsidP="00642B54">
            <w:pPr>
              <w:widowControl w:val="0"/>
              <w:autoSpaceDE w:val="0"/>
              <w:autoSpaceDN w:val="0"/>
              <w:adjustRightInd w:val="0"/>
              <w:spacing w:after="0" w:line="360" w:lineRule="auto"/>
              <w:jc w:val="center"/>
              <w:rPr>
                <w:b/>
                <w:szCs w:val="24"/>
              </w:rPr>
            </w:pPr>
          </w:p>
        </w:tc>
        <w:tc>
          <w:tcPr>
            <w:tcW w:w="2207" w:type="pct"/>
            <w:tcBorders>
              <w:top w:val="nil"/>
              <w:left w:val="nil"/>
              <w:bottom w:val="single" w:sz="8" w:space="0" w:color="auto"/>
              <w:right w:val="single" w:sz="8" w:space="0" w:color="auto"/>
            </w:tcBorders>
            <w:shd w:val="clear" w:color="auto" w:fill="C3C3C4"/>
            <w:vAlign w:val="bottom"/>
          </w:tcPr>
          <w:p w:rsidR="00672193" w:rsidRPr="00CF41D2" w:rsidRDefault="00672193" w:rsidP="00642B54">
            <w:pPr>
              <w:widowControl w:val="0"/>
              <w:autoSpaceDE w:val="0"/>
              <w:autoSpaceDN w:val="0"/>
              <w:adjustRightInd w:val="0"/>
              <w:spacing w:after="0" w:line="360" w:lineRule="auto"/>
              <w:jc w:val="center"/>
              <w:rPr>
                <w:b/>
                <w:szCs w:val="24"/>
              </w:rPr>
            </w:pP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228"/>
        </w:trPr>
        <w:tc>
          <w:tcPr>
            <w:tcW w:w="523" w:type="pct"/>
            <w:tcBorders>
              <w:top w:val="nil"/>
              <w:left w:val="single" w:sz="8" w:space="0" w:color="auto"/>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r w:rsidRPr="00CF41D2">
              <w:rPr>
                <w:szCs w:val="24"/>
              </w:rPr>
              <w:t>1</w:t>
            </w:r>
          </w:p>
        </w:tc>
        <w:tc>
          <w:tcPr>
            <w:tcW w:w="494"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r w:rsidRPr="00CF41D2">
              <w:rPr>
                <w:szCs w:val="24"/>
              </w:rPr>
              <w:t>1.0 - 1.4</w:t>
            </w:r>
          </w:p>
        </w:tc>
        <w:tc>
          <w:tcPr>
            <w:tcW w:w="1492"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40"/>
              <w:rPr>
                <w:szCs w:val="24"/>
              </w:rPr>
            </w:pPr>
            <w:r w:rsidRPr="00CF41D2">
              <w:rPr>
                <w:szCs w:val="24"/>
              </w:rPr>
              <w:t>Strong (or outstanding)</w:t>
            </w:r>
          </w:p>
        </w:tc>
        <w:tc>
          <w:tcPr>
            <w:tcW w:w="2207"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60"/>
              <w:jc w:val="both"/>
              <w:rPr>
                <w:szCs w:val="24"/>
              </w:rPr>
            </w:pPr>
            <w:r w:rsidRPr="00CF41D2">
              <w:rPr>
                <w:szCs w:val="24"/>
              </w:rPr>
              <w:t>The bank is basically good in every aspect.</w:t>
            </w: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209"/>
        </w:trPr>
        <w:tc>
          <w:tcPr>
            <w:tcW w:w="523" w:type="pct"/>
            <w:tcBorders>
              <w:top w:val="nil"/>
              <w:left w:val="single" w:sz="8" w:space="0" w:color="auto"/>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r w:rsidRPr="00CF41D2">
              <w:rPr>
                <w:szCs w:val="24"/>
              </w:rPr>
              <w:t>2</w:t>
            </w:r>
          </w:p>
        </w:tc>
        <w:tc>
          <w:tcPr>
            <w:tcW w:w="494"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r w:rsidRPr="00CF41D2">
              <w:rPr>
                <w:szCs w:val="24"/>
              </w:rPr>
              <w:t>1.6 - 2.4</w:t>
            </w:r>
          </w:p>
        </w:tc>
        <w:tc>
          <w:tcPr>
            <w:tcW w:w="1492"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40"/>
              <w:rPr>
                <w:szCs w:val="24"/>
              </w:rPr>
            </w:pPr>
            <w:r w:rsidRPr="00CF41D2">
              <w:rPr>
                <w:szCs w:val="24"/>
              </w:rPr>
              <w:t>Satisfactory (or superior)</w:t>
            </w:r>
          </w:p>
        </w:tc>
        <w:tc>
          <w:tcPr>
            <w:tcW w:w="2207"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60"/>
              <w:jc w:val="both"/>
              <w:rPr>
                <w:szCs w:val="24"/>
              </w:rPr>
            </w:pPr>
            <w:r w:rsidRPr="00CF41D2">
              <w:rPr>
                <w:szCs w:val="24"/>
              </w:rPr>
              <w:t>The bank is primarily good, but has several</w:t>
            </w: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90"/>
        </w:trPr>
        <w:tc>
          <w:tcPr>
            <w:tcW w:w="523" w:type="pct"/>
            <w:tcBorders>
              <w:top w:val="nil"/>
              <w:left w:val="single" w:sz="8" w:space="0" w:color="auto"/>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494"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1492"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2207"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60"/>
              <w:jc w:val="both"/>
              <w:rPr>
                <w:szCs w:val="24"/>
              </w:rPr>
            </w:pPr>
            <w:r w:rsidRPr="00CF41D2">
              <w:rPr>
                <w:szCs w:val="24"/>
              </w:rPr>
              <w:t>Identified weaknesses.</w:t>
            </w: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209"/>
        </w:trPr>
        <w:tc>
          <w:tcPr>
            <w:tcW w:w="523" w:type="pct"/>
            <w:tcBorders>
              <w:top w:val="nil"/>
              <w:left w:val="single" w:sz="8" w:space="0" w:color="auto"/>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r w:rsidRPr="00CF41D2">
              <w:rPr>
                <w:szCs w:val="24"/>
              </w:rPr>
              <w:t>3</w:t>
            </w:r>
          </w:p>
        </w:tc>
        <w:tc>
          <w:tcPr>
            <w:tcW w:w="494"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r w:rsidRPr="00CF41D2">
              <w:rPr>
                <w:szCs w:val="24"/>
              </w:rPr>
              <w:t>2.6 - 3.4</w:t>
            </w:r>
          </w:p>
        </w:tc>
        <w:tc>
          <w:tcPr>
            <w:tcW w:w="1492"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40"/>
              <w:rPr>
                <w:szCs w:val="24"/>
              </w:rPr>
            </w:pPr>
            <w:r w:rsidRPr="00CF41D2">
              <w:rPr>
                <w:szCs w:val="24"/>
              </w:rPr>
              <w:t>Fair (or average), with some</w:t>
            </w:r>
          </w:p>
        </w:tc>
        <w:tc>
          <w:tcPr>
            <w:tcW w:w="2207"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60"/>
              <w:jc w:val="both"/>
              <w:rPr>
                <w:szCs w:val="24"/>
              </w:rPr>
            </w:pPr>
            <w:r w:rsidRPr="00CF41D2">
              <w:rPr>
                <w:szCs w:val="24"/>
              </w:rPr>
              <w:t>The bank have financial, operational, or</w:t>
            </w: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200"/>
        </w:trPr>
        <w:tc>
          <w:tcPr>
            <w:tcW w:w="523" w:type="pct"/>
            <w:tcBorders>
              <w:top w:val="nil"/>
              <w:left w:val="single" w:sz="8" w:space="0" w:color="auto"/>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494"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1492"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40"/>
              <w:jc w:val="center"/>
              <w:rPr>
                <w:szCs w:val="24"/>
              </w:rPr>
            </w:pPr>
            <w:r w:rsidRPr="00CF41D2">
              <w:rPr>
                <w:szCs w:val="24"/>
              </w:rPr>
              <w:t>categories to be watched</w:t>
            </w:r>
          </w:p>
        </w:tc>
        <w:tc>
          <w:tcPr>
            <w:tcW w:w="2207"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60"/>
              <w:jc w:val="both"/>
              <w:rPr>
                <w:szCs w:val="24"/>
              </w:rPr>
            </w:pPr>
            <w:r w:rsidRPr="00CF41D2">
              <w:rPr>
                <w:szCs w:val="24"/>
              </w:rPr>
              <w:t>compliance weaknesses that would give</w:t>
            </w: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180"/>
        </w:trPr>
        <w:tc>
          <w:tcPr>
            <w:tcW w:w="523" w:type="pct"/>
            <w:tcBorders>
              <w:top w:val="nil"/>
              <w:left w:val="single" w:sz="8" w:space="0" w:color="auto"/>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494"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1492"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2207"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60"/>
              <w:jc w:val="both"/>
              <w:rPr>
                <w:szCs w:val="24"/>
              </w:rPr>
            </w:pPr>
            <w:r w:rsidRPr="00CF41D2">
              <w:rPr>
                <w:szCs w:val="24"/>
              </w:rPr>
              <w:t>Reasons for supervisory concern.</w:t>
            </w: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209"/>
        </w:trPr>
        <w:tc>
          <w:tcPr>
            <w:tcW w:w="523" w:type="pct"/>
            <w:tcBorders>
              <w:top w:val="nil"/>
              <w:left w:val="single" w:sz="8" w:space="0" w:color="auto"/>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r w:rsidRPr="00CF41D2">
              <w:rPr>
                <w:szCs w:val="24"/>
              </w:rPr>
              <w:t>4</w:t>
            </w:r>
          </w:p>
        </w:tc>
        <w:tc>
          <w:tcPr>
            <w:tcW w:w="494"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r w:rsidRPr="00CF41D2">
              <w:rPr>
                <w:szCs w:val="24"/>
              </w:rPr>
              <w:t>3.6 - 4.4</w:t>
            </w:r>
          </w:p>
        </w:tc>
        <w:tc>
          <w:tcPr>
            <w:tcW w:w="1492"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40"/>
              <w:rPr>
                <w:szCs w:val="24"/>
              </w:rPr>
            </w:pPr>
            <w:r w:rsidRPr="00CF41D2">
              <w:rPr>
                <w:szCs w:val="24"/>
              </w:rPr>
              <w:t>Marginal (or underperform),</w:t>
            </w:r>
          </w:p>
        </w:tc>
        <w:tc>
          <w:tcPr>
            <w:tcW w:w="2207"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60"/>
              <w:jc w:val="both"/>
              <w:rPr>
                <w:szCs w:val="24"/>
              </w:rPr>
            </w:pPr>
            <w:r w:rsidRPr="00CF41D2">
              <w:rPr>
                <w:szCs w:val="24"/>
              </w:rPr>
              <w:t>The bank has serious financial weaknesses</w:t>
            </w: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200"/>
        </w:trPr>
        <w:tc>
          <w:tcPr>
            <w:tcW w:w="523" w:type="pct"/>
            <w:tcBorders>
              <w:top w:val="nil"/>
              <w:left w:val="single" w:sz="8" w:space="0" w:color="auto"/>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494"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1492"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40"/>
              <w:jc w:val="center"/>
              <w:rPr>
                <w:szCs w:val="24"/>
              </w:rPr>
            </w:pPr>
            <w:r w:rsidRPr="00CF41D2">
              <w:rPr>
                <w:szCs w:val="24"/>
              </w:rPr>
              <w:t>with some risk of failure</w:t>
            </w:r>
          </w:p>
        </w:tc>
        <w:tc>
          <w:tcPr>
            <w:tcW w:w="2207"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60"/>
              <w:jc w:val="both"/>
              <w:rPr>
                <w:szCs w:val="24"/>
              </w:rPr>
            </w:pPr>
            <w:r w:rsidRPr="00CF41D2">
              <w:rPr>
                <w:szCs w:val="24"/>
              </w:rPr>
              <w:t>that could damage future capability to ensure</w:t>
            </w: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219"/>
        </w:trPr>
        <w:tc>
          <w:tcPr>
            <w:tcW w:w="523" w:type="pct"/>
            <w:tcBorders>
              <w:top w:val="nil"/>
              <w:left w:val="single" w:sz="8" w:space="0" w:color="auto"/>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494"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1492"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2207"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60"/>
              <w:jc w:val="both"/>
              <w:rPr>
                <w:szCs w:val="24"/>
              </w:rPr>
            </w:pPr>
            <w:r w:rsidRPr="00CF41D2">
              <w:rPr>
                <w:szCs w:val="24"/>
              </w:rPr>
              <w:t>Normal growth and development.</w:t>
            </w: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209"/>
        </w:trPr>
        <w:tc>
          <w:tcPr>
            <w:tcW w:w="523" w:type="pct"/>
            <w:tcBorders>
              <w:top w:val="nil"/>
              <w:left w:val="single" w:sz="8" w:space="0" w:color="auto"/>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r w:rsidRPr="00CF41D2">
              <w:rPr>
                <w:szCs w:val="24"/>
              </w:rPr>
              <w:t>5</w:t>
            </w:r>
          </w:p>
        </w:tc>
        <w:tc>
          <w:tcPr>
            <w:tcW w:w="494"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r w:rsidRPr="00CF41D2">
              <w:rPr>
                <w:szCs w:val="24"/>
              </w:rPr>
              <w:t>4.6 - 5.0</w:t>
            </w:r>
          </w:p>
        </w:tc>
        <w:tc>
          <w:tcPr>
            <w:tcW w:w="1492"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40"/>
              <w:rPr>
                <w:szCs w:val="24"/>
              </w:rPr>
            </w:pPr>
            <w:r w:rsidRPr="00CF41D2">
              <w:rPr>
                <w:szCs w:val="24"/>
              </w:rPr>
              <w:t>Unsatisfactory (or doubtful),</w:t>
            </w:r>
          </w:p>
        </w:tc>
        <w:tc>
          <w:tcPr>
            <w:tcW w:w="2207"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60"/>
              <w:jc w:val="both"/>
              <w:rPr>
                <w:szCs w:val="24"/>
              </w:rPr>
            </w:pPr>
            <w:r w:rsidRPr="00CF41D2">
              <w:rPr>
                <w:szCs w:val="24"/>
              </w:rPr>
              <w:t>The bank has critical financial weaknesses</w:t>
            </w: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200"/>
        </w:trPr>
        <w:tc>
          <w:tcPr>
            <w:tcW w:w="523" w:type="pct"/>
            <w:tcBorders>
              <w:top w:val="nil"/>
              <w:left w:val="single" w:sz="8" w:space="0" w:color="auto"/>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494"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1492"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40"/>
              <w:jc w:val="center"/>
              <w:rPr>
                <w:szCs w:val="24"/>
              </w:rPr>
            </w:pPr>
            <w:r w:rsidRPr="00CF41D2">
              <w:rPr>
                <w:szCs w:val="24"/>
              </w:rPr>
              <w:t>with a high degree of failure</w:t>
            </w:r>
          </w:p>
        </w:tc>
        <w:tc>
          <w:tcPr>
            <w:tcW w:w="2207" w:type="pct"/>
            <w:tcBorders>
              <w:top w:val="nil"/>
              <w:left w:val="nil"/>
              <w:bottom w:val="nil"/>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60"/>
              <w:jc w:val="both"/>
              <w:rPr>
                <w:szCs w:val="24"/>
              </w:rPr>
            </w:pPr>
            <w:r w:rsidRPr="00CF41D2">
              <w:rPr>
                <w:szCs w:val="24"/>
              </w:rPr>
              <w:t>that give a probability of failure to be</w:t>
            </w: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r w:rsidR="00672193" w:rsidRPr="00CF41D2" w:rsidTr="00642B54">
        <w:trPr>
          <w:trHeight w:val="219"/>
        </w:trPr>
        <w:tc>
          <w:tcPr>
            <w:tcW w:w="523" w:type="pct"/>
            <w:tcBorders>
              <w:top w:val="nil"/>
              <w:left w:val="single" w:sz="8" w:space="0" w:color="auto"/>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494"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1492"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jc w:val="center"/>
              <w:rPr>
                <w:szCs w:val="24"/>
              </w:rPr>
            </w:pPr>
          </w:p>
        </w:tc>
        <w:tc>
          <w:tcPr>
            <w:tcW w:w="2207" w:type="pct"/>
            <w:tcBorders>
              <w:top w:val="nil"/>
              <w:left w:val="nil"/>
              <w:bottom w:val="single" w:sz="8" w:space="0" w:color="auto"/>
              <w:right w:val="single" w:sz="8" w:space="0" w:color="auto"/>
            </w:tcBorders>
            <w:vAlign w:val="bottom"/>
          </w:tcPr>
          <w:p w:rsidR="00672193" w:rsidRPr="00CF41D2" w:rsidRDefault="00672193" w:rsidP="00642B54">
            <w:pPr>
              <w:widowControl w:val="0"/>
              <w:autoSpaceDE w:val="0"/>
              <w:autoSpaceDN w:val="0"/>
              <w:adjustRightInd w:val="0"/>
              <w:spacing w:after="0" w:line="360" w:lineRule="auto"/>
              <w:ind w:left="60"/>
              <w:jc w:val="both"/>
              <w:rPr>
                <w:szCs w:val="24"/>
              </w:rPr>
            </w:pPr>
            <w:r w:rsidRPr="00CF41D2">
              <w:rPr>
                <w:szCs w:val="24"/>
              </w:rPr>
              <w:t>Extremely high in the near future.</w:t>
            </w:r>
          </w:p>
        </w:tc>
        <w:tc>
          <w:tcPr>
            <w:tcW w:w="284" w:type="pct"/>
            <w:tcBorders>
              <w:top w:val="nil"/>
              <w:left w:val="nil"/>
              <w:bottom w:val="nil"/>
              <w:right w:val="nil"/>
            </w:tcBorders>
            <w:vAlign w:val="bottom"/>
          </w:tcPr>
          <w:p w:rsidR="00672193" w:rsidRPr="00CF41D2" w:rsidRDefault="00672193" w:rsidP="00642B54">
            <w:pPr>
              <w:widowControl w:val="0"/>
              <w:autoSpaceDE w:val="0"/>
              <w:autoSpaceDN w:val="0"/>
              <w:adjustRightInd w:val="0"/>
              <w:spacing w:after="0" w:line="360" w:lineRule="auto"/>
              <w:rPr>
                <w:sz w:val="2"/>
                <w:szCs w:val="2"/>
              </w:rPr>
            </w:pPr>
          </w:p>
        </w:tc>
      </w:tr>
    </w:tbl>
    <w:p w:rsidR="00672193" w:rsidRPr="00CF41D2" w:rsidRDefault="00672193" w:rsidP="00672193">
      <w:pPr>
        <w:widowControl w:val="0"/>
        <w:autoSpaceDE w:val="0"/>
        <w:autoSpaceDN w:val="0"/>
        <w:adjustRightInd w:val="0"/>
        <w:spacing w:after="0" w:line="360" w:lineRule="auto"/>
        <w:ind w:left="80"/>
        <w:rPr>
          <w:b/>
          <w:bCs/>
          <w:sz w:val="20"/>
          <w:szCs w:val="20"/>
        </w:rPr>
      </w:pPr>
    </w:p>
    <w:p w:rsidR="00672193" w:rsidRPr="00CF41D2" w:rsidRDefault="00672193" w:rsidP="00E43E25">
      <w:pPr>
        <w:widowControl w:val="0"/>
        <w:autoSpaceDE w:val="0"/>
        <w:autoSpaceDN w:val="0"/>
        <w:adjustRightInd w:val="0"/>
        <w:spacing w:after="100" w:line="360" w:lineRule="auto"/>
        <w:ind w:left="80"/>
        <w:rPr>
          <w:iCs/>
          <w:szCs w:val="24"/>
        </w:rPr>
      </w:pPr>
      <w:r w:rsidRPr="00CF41D2">
        <w:rPr>
          <w:b/>
          <w:bCs/>
          <w:szCs w:val="24"/>
        </w:rPr>
        <w:t>Source</w:t>
      </w:r>
      <w:r w:rsidRPr="00CF41D2">
        <w:rPr>
          <w:iCs/>
          <w:szCs w:val="24"/>
        </w:rPr>
        <w:t xml:space="preserve">: </w:t>
      </w:r>
      <w:proofErr w:type="spellStart"/>
      <w:r w:rsidRPr="00CF41D2">
        <w:rPr>
          <w:iCs/>
          <w:szCs w:val="24"/>
        </w:rPr>
        <w:t>Sarker</w:t>
      </w:r>
      <w:proofErr w:type="spellEnd"/>
      <w:r w:rsidRPr="00CF41D2">
        <w:rPr>
          <w:iCs/>
          <w:szCs w:val="24"/>
        </w:rPr>
        <w:t xml:space="preserve"> (2006)</w:t>
      </w:r>
    </w:p>
    <w:p w:rsidR="00672193" w:rsidRPr="00CF41D2" w:rsidRDefault="00672193" w:rsidP="00672193">
      <w:pPr>
        <w:widowControl w:val="0"/>
        <w:autoSpaceDE w:val="0"/>
        <w:autoSpaceDN w:val="0"/>
        <w:adjustRightInd w:val="0"/>
        <w:spacing w:after="100" w:line="360" w:lineRule="auto"/>
        <w:ind w:left="80"/>
        <w:rPr>
          <w:iCs/>
          <w:sz w:val="6"/>
          <w:szCs w:val="24"/>
        </w:rPr>
      </w:pPr>
    </w:p>
    <w:p w:rsidR="00672193" w:rsidRPr="00CF41D2" w:rsidRDefault="00672193" w:rsidP="00672193">
      <w:pPr>
        <w:pStyle w:val="Heading3"/>
        <w:numPr>
          <w:ilvl w:val="2"/>
          <w:numId w:val="3"/>
        </w:numPr>
        <w:spacing w:before="0" w:after="200" w:line="360" w:lineRule="auto"/>
        <w:jc w:val="both"/>
        <w:rPr>
          <w:rFonts w:cs="Times New Roman"/>
          <w:color w:val="auto"/>
          <w:szCs w:val="24"/>
        </w:rPr>
      </w:pPr>
      <w:bookmarkStart w:id="42" w:name="_Toc515973737"/>
      <w:bookmarkStart w:id="43" w:name="_Toc73104280"/>
      <w:r w:rsidRPr="00CF41D2">
        <w:rPr>
          <w:rFonts w:cs="Times New Roman"/>
          <w:color w:val="auto"/>
          <w:szCs w:val="24"/>
        </w:rPr>
        <w:t>Importance of CAMEL Rating Framework to the Banking Supervision</w:t>
      </w:r>
      <w:bookmarkEnd w:id="42"/>
      <w:bookmarkEnd w:id="43"/>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bookmarkStart w:id="44" w:name="_Toc511725921"/>
      <w:r w:rsidRPr="00CF41D2">
        <w:rPr>
          <w:rFonts w:eastAsia="TimesNewRoman"/>
          <w:szCs w:val="24"/>
        </w:rPr>
        <w:t xml:space="preserve">Evaluation of the overall performance of banks and provision of a general framework is of great importance due to the increasing integration of global financial markets. CAMEL model reflects excellently the conditions and performances of banks over years as well as enriches the on-site and off-site examination to bring better assessments towards banks’ conditions. </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The purpose CAMEL model is to provide an accurate and consistent evaluation of a bank’s financial condition and operations in the areas such as capital, asset quality, management, earning ability and liquidity. Muhammad (2009) claims that the strength of these factors would determine the overall strength of the bank. The quality of each component further underlines the inner strength and how far it can take care of itself against the market risks.</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CAMEL rating serves the purpose of summarizing the significant compliance information needed for the regulators. It also assists them to ensure the degree of supervisory concern and type of supervisory response to generate timely warnings to minimize the adverse effects on </w:t>
      </w:r>
      <w:r w:rsidRPr="00CF41D2">
        <w:rPr>
          <w:rFonts w:eastAsia="TimesNewRoman"/>
          <w:szCs w:val="24"/>
        </w:rPr>
        <w:lastRenderedPageBreak/>
        <w:t>banks. For instance, in the financial crisis of 2008, this rating was being used by American government to respond to the crisis to help decide which banks needed the special help and which not as part of its capitalization program authorized by the Emergency Economic Stabilization Act of 2008.</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Barker &amp; </w:t>
      </w:r>
      <w:proofErr w:type="spellStart"/>
      <w:r w:rsidRPr="00CF41D2">
        <w:rPr>
          <w:rFonts w:eastAsia="TimesNewRoman"/>
          <w:szCs w:val="24"/>
        </w:rPr>
        <w:t>Holdsworth</w:t>
      </w:r>
      <w:proofErr w:type="spellEnd"/>
      <w:r w:rsidRPr="00CF41D2">
        <w:rPr>
          <w:rFonts w:eastAsia="TimesNewRoman"/>
          <w:szCs w:val="24"/>
        </w:rPr>
        <w:t xml:space="preserve"> (1993 cited in Dang, 2011) fond that the CAMEL system is useful, even after controlling for a wide range of publicly available information about the condition and performance of banks. This composite index further acts as a bank’s failure predicting model. The rating is assigned based on both quantitative and qualitative information of the bank. </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If a bank’s index is less than two, it is regarded as a high-quality bank, whereas institutions with grade four or five are rated to be insolvent (FDIC, 2015). The up-to-date examination ratings help identify if the banks require increased supervisory attention well before they actually fail. CAMEL model is still very much popular among regulators due to its effectiveness.</w:t>
      </w:r>
    </w:p>
    <w:p w:rsidR="00672193" w:rsidRPr="00CF41D2" w:rsidRDefault="00672193" w:rsidP="00672193">
      <w:pPr>
        <w:pStyle w:val="Heading3"/>
        <w:numPr>
          <w:ilvl w:val="2"/>
          <w:numId w:val="3"/>
        </w:numPr>
        <w:spacing w:before="0" w:after="200" w:line="360" w:lineRule="auto"/>
        <w:jc w:val="both"/>
        <w:rPr>
          <w:rFonts w:cs="Times New Roman"/>
          <w:color w:val="auto"/>
          <w:szCs w:val="24"/>
        </w:rPr>
      </w:pPr>
      <w:bookmarkStart w:id="45" w:name="_Toc73104281"/>
      <w:r w:rsidRPr="00CF41D2">
        <w:rPr>
          <w:rFonts w:cs="Times New Roman"/>
          <w:color w:val="auto"/>
          <w:szCs w:val="24"/>
        </w:rPr>
        <w:t>CAMEL Rating in Ethiopia</w:t>
      </w:r>
      <w:bookmarkEnd w:id="45"/>
    </w:p>
    <w:p w:rsidR="00672193" w:rsidRPr="00CF41D2" w:rsidRDefault="00672193" w:rsidP="00672193">
      <w:pPr>
        <w:spacing w:line="360" w:lineRule="auto"/>
        <w:jc w:val="both"/>
      </w:pPr>
      <w:r w:rsidRPr="00CF41D2">
        <w:t>As a regulatory body, NBE is responsible for the establishment of CAMEL framework in Ethiopia banking industry and to regulate banks. Accordingly, the NBE required all banks in Ethiopia to maintain the minimum standard requirements of their performance in the CAMEL framework.</w:t>
      </w:r>
    </w:p>
    <w:p w:rsidR="00672193" w:rsidRPr="00CF41D2" w:rsidRDefault="00672193" w:rsidP="00672193">
      <w:pPr>
        <w:spacing w:line="360" w:lineRule="auto"/>
        <w:jc w:val="both"/>
      </w:pPr>
      <w:r w:rsidRPr="00CF41D2">
        <w:t>The NBE requires all banks in Ethiopia to measure their performance according to the requirement of CAMEL rating and send their reports on a quarterly basis. Though there was no any officially published evidence showing applicability of the CAMEL framework in the Ethiopian Banking industry, the minimum standard specified by the NBE to be applicable in Ethiopia is similar to the international standard except some modifications whenever demands. Therefore, we can assume that the international standard applicable to measure the performance of the Ethiopian banks.</w:t>
      </w:r>
    </w:p>
    <w:p w:rsidR="00672193" w:rsidRPr="00CF41D2" w:rsidRDefault="00672193" w:rsidP="00672193">
      <w:pPr>
        <w:widowControl w:val="0"/>
        <w:overflowPunct w:val="0"/>
        <w:autoSpaceDE w:val="0"/>
        <w:autoSpaceDN w:val="0"/>
        <w:adjustRightInd w:val="0"/>
        <w:spacing w:after="0" w:line="360" w:lineRule="auto"/>
        <w:jc w:val="both"/>
      </w:pPr>
      <w:r w:rsidRPr="00CF41D2">
        <w:t xml:space="preserve">CAMEL model is the most important ingredient that ensures the sound functioning of banks. With increased competition in the Ethiopian Banking sector, efficiency and effectiveness have become the rule as banks constantly strive to improve the productivity of their employees. Presently it is common to see branches of banks both public and private maintaining extended working hours, flexible time schedules, outsourcing marketing etc. to attract customers. </w:t>
      </w:r>
    </w:p>
    <w:p w:rsidR="00672193" w:rsidRPr="00CF41D2" w:rsidRDefault="00672193" w:rsidP="00672193">
      <w:pPr>
        <w:widowControl w:val="0"/>
        <w:overflowPunct w:val="0"/>
        <w:autoSpaceDE w:val="0"/>
        <w:autoSpaceDN w:val="0"/>
        <w:adjustRightInd w:val="0"/>
        <w:spacing w:after="0" w:line="360" w:lineRule="auto"/>
        <w:jc w:val="both"/>
        <w:rPr>
          <w:sz w:val="10"/>
        </w:rPr>
      </w:pPr>
    </w:p>
    <w:p w:rsidR="00672193" w:rsidRPr="00CF41D2" w:rsidRDefault="00672193" w:rsidP="00672193">
      <w:pPr>
        <w:widowControl w:val="0"/>
        <w:overflowPunct w:val="0"/>
        <w:autoSpaceDE w:val="0"/>
        <w:autoSpaceDN w:val="0"/>
        <w:adjustRightInd w:val="0"/>
        <w:spacing w:after="0" w:line="360" w:lineRule="auto"/>
        <w:jc w:val="both"/>
      </w:pPr>
      <w:r w:rsidRPr="00CF41D2">
        <w:lastRenderedPageBreak/>
        <w:t>Another development over the year has been the deployment of technology. Almost all banks have upgraded to computerized system. Internet banking, telephone banking have become widespread and most banks offering these services quite comfortably. The CAMEL model involved analysis to measure the efficiency and effectiveness of performance.</w:t>
      </w:r>
    </w:p>
    <w:p w:rsidR="00672193" w:rsidRPr="00CF41D2" w:rsidRDefault="00672193" w:rsidP="00672193">
      <w:pPr>
        <w:widowControl w:val="0"/>
        <w:overflowPunct w:val="0"/>
        <w:autoSpaceDE w:val="0"/>
        <w:autoSpaceDN w:val="0"/>
        <w:adjustRightInd w:val="0"/>
        <w:spacing w:after="0" w:line="360" w:lineRule="auto"/>
        <w:jc w:val="both"/>
      </w:pPr>
    </w:p>
    <w:p w:rsidR="00672193" w:rsidRPr="00CF41D2" w:rsidRDefault="00672193" w:rsidP="00672193">
      <w:pPr>
        <w:pStyle w:val="Heading2"/>
        <w:numPr>
          <w:ilvl w:val="1"/>
          <w:numId w:val="3"/>
        </w:numPr>
        <w:spacing w:before="0" w:after="200" w:line="360" w:lineRule="auto"/>
        <w:jc w:val="both"/>
        <w:rPr>
          <w:color w:val="auto"/>
        </w:rPr>
      </w:pPr>
      <w:bookmarkStart w:id="46" w:name="_Toc511725925"/>
      <w:bookmarkStart w:id="47" w:name="_Toc73104282"/>
      <w:bookmarkEnd w:id="44"/>
      <w:r w:rsidRPr="00CF41D2">
        <w:rPr>
          <w:color w:val="auto"/>
        </w:rPr>
        <w:t>Empirical Literature</w:t>
      </w:r>
      <w:bookmarkEnd w:id="46"/>
      <w:bookmarkEnd w:id="47"/>
    </w:p>
    <w:p w:rsidR="00672193" w:rsidRPr="00CF41D2" w:rsidRDefault="00672193" w:rsidP="00672193">
      <w:pPr>
        <w:widowControl w:val="0"/>
        <w:overflowPunct w:val="0"/>
        <w:autoSpaceDE w:val="0"/>
        <w:autoSpaceDN w:val="0"/>
        <w:adjustRightInd w:val="0"/>
        <w:spacing w:line="360" w:lineRule="auto"/>
        <w:ind w:right="79"/>
        <w:jc w:val="both"/>
        <w:rPr>
          <w:rFonts w:eastAsia="TimesNewRoman"/>
          <w:szCs w:val="24"/>
        </w:rPr>
      </w:pPr>
      <w:bookmarkStart w:id="48" w:name="_Toc511725926"/>
      <w:r w:rsidRPr="00CF41D2">
        <w:rPr>
          <w:rFonts w:eastAsia="TimesNewRoman"/>
          <w:szCs w:val="24"/>
        </w:rPr>
        <w:t>This section presents the empirical evidences that are related and relevant to the measurement of a bank’s financial performance through CAMEL rating.</w:t>
      </w:r>
    </w:p>
    <w:p w:rsidR="00672193" w:rsidRPr="00CF41D2" w:rsidRDefault="00672193" w:rsidP="00672193">
      <w:pPr>
        <w:widowControl w:val="0"/>
        <w:overflowPunct w:val="0"/>
        <w:autoSpaceDE w:val="0"/>
        <w:autoSpaceDN w:val="0"/>
        <w:adjustRightInd w:val="0"/>
        <w:spacing w:line="360" w:lineRule="auto"/>
        <w:ind w:right="79"/>
        <w:jc w:val="both"/>
        <w:rPr>
          <w:rFonts w:eastAsia="TimesNewRoman"/>
          <w:szCs w:val="24"/>
        </w:rPr>
      </w:pPr>
      <w:proofErr w:type="spellStart"/>
      <w:r w:rsidRPr="00CF41D2">
        <w:rPr>
          <w:rFonts w:eastAsia="TimesNewRoman"/>
          <w:szCs w:val="24"/>
        </w:rPr>
        <w:t>Rozzani</w:t>
      </w:r>
      <w:proofErr w:type="spellEnd"/>
      <w:r w:rsidRPr="00CF41D2">
        <w:rPr>
          <w:rFonts w:eastAsia="TimesNewRoman"/>
          <w:szCs w:val="24"/>
        </w:rPr>
        <w:t xml:space="preserve"> &amp; </w:t>
      </w:r>
      <w:proofErr w:type="spellStart"/>
      <w:r w:rsidRPr="00CF41D2">
        <w:rPr>
          <w:rFonts w:eastAsia="TimesNewRoman"/>
          <w:szCs w:val="24"/>
        </w:rPr>
        <w:t>Rahman</w:t>
      </w:r>
      <w:proofErr w:type="spellEnd"/>
      <w:r w:rsidRPr="00CF41D2">
        <w:rPr>
          <w:rFonts w:eastAsia="TimesNewRoman"/>
          <w:szCs w:val="24"/>
        </w:rPr>
        <w:t xml:space="preserve"> (2013) found that management quality had achieved an overall best rating, which is inconsistent with the findings of Babar and </w:t>
      </w:r>
      <w:proofErr w:type="spellStart"/>
      <w:r w:rsidRPr="00CF41D2">
        <w:rPr>
          <w:rFonts w:eastAsia="TimesNewRoman"/>
          <w:szCs w:val="24"/>
        </w:rPr>
        <w:t>Zeb</w:t>
      </w:r>
      <w:proofErr w:type="spellEnd"/>
      <w:r w:rsidRPr="00CF41D2">
        <w:rPr>
          <w:rFonts w:eastAsia="TimesNewRoman"/>
          <w:szCs w:val="24"/>
        </w:rPr>
        <w:t xml:space="preserve"> (2011) and </w:t>
      </w:r>
      <w:proofErr w:type="spellStart"/>
      <w:r w:rsidRPr="00CF41D2">
        <w:rPr>
          <w:rFonts w:eastAsia="TimesNewRoman"/>
          <w:szCs w:val="24"/>
        </w:rPr>
        <w:t>Sarwar</w:t>
      </w:r>
      <w:proofErr w:type="spellEnd"/>
      <w:r w:rsidRPr="00CF41D2">
        <w:rPr>
          <w:rFonts w:eastAsia="TimesNewRoman"/>
          <w:szCs w:val="24"/>
        </w:rPr>
        <w:t xml:space="preserve"> and </w:t>
      </w:r>
      <w:proofErr w:type="spellStart"/>
      <w:r w:rsidRPr="00CF41D2">
        <w:rPr>
          <w:rFonts w:eastAsia="TimesNewRoman"/>
          <w:szCs w:val="24"/>
        </w:rPr>
        <w:t>Asif</w:t>
      </w:r>
      <w:proofErr w:type="spellEnd"/>
      <w:r w:rsidRPr="00CF41D2">
        <w:rPr>
          <w:rFonts w:eastAsia="TimesNewRoman"/>
          <w:szCs w:val="24"/>
        </w:rPr>
        <w:t xml:space="preserve"> (2011), where the component of capital adequacy achieved the best rating in Pakistan. Besides, </w:t>
      </w:r>
      <w:proofErr w:type="spellStart"/>
      <w:r w:rsidRPr="00CF41D2">
        <w:rPr>
          <w:rFonts w:eastAsia="TimesNewRoman"/>
          <w:szCs w:val="24"/>
        </w:rPr>
        <w:t>Christopoulos</w:t>
      </w:r>
      <w:proofErr w:type="spellEnd"/>
      <w:r w:rsidRPr="00CF41D2">
        <w:rPr>
          <w:rFonts w:eastAsia="TimesNewRoman"/>
          <w:szCs w:val="24"/>
        </w:rPr>
        <w:t xml:space="preserve"> et al. (2011) show a continuous decreasing trend in the capital ratio over the years. This means that the financial situation was not good and continued to get worse each year. The bad and doubtful claims were very high while its access to capital markets was difficult for the Lehman Brothers.</w:t>
      </w:r>
    </w:p>
    <w:p w:rsidR="00672193" w:rsidRPr="00CF41D2" w:rsidRDefault="00672193" w:rsidP="00672193">
      <w:pPr>
        <w:widowControl w:val="0"/>
        <w:overflowPunct w:val="0"/>
        <w:autoSpaceDE w:val="0"/>
        <w:autoSpaceDN w:val="0"/>
        <w:adjustRightInd w:val="0"/>
        <w:spacing w:line="360" w:lineRule="auto"/>
        <w:ind w:right="79"/>
        <w:jc w:val="both"/>
        <w:rPr>
          <w:rFonts w:eastAsia="TimesNewRoman"/>
          <w:szCs w:val="24"/>
        </w:rPr>
      </w:pPr>
      <w:r w:rsidRPr="00CF41D2">
        <w:rPr>
          <w:rFonts w:eastAsia="TimesNewRoman"/>
          <w:szCs w:val="24"/>
        </w:rPr>
        <w:t xml:space="preserve">According to </w:t>
      </w:r>
      <w:proofErr w:type="spellStart"/>
      <w:r w:rsidRPr="00CF41D2">
        <w:rPr>
          <w:rFonts w:eastAsia="TimesNewRoman"/>
          <w:szCs w:val="24"/>
        </w:rPr>
        <w:t>Christopoulos</w:t>
      </w:r>
      <w:proofErr w:type="spellEnd"/>
      <w:r w:rsidRPr="00CF41D2">
        <w:rPr>
          <w:rFonts w:eastAsia="TimesNewRoman"/>
          <w:szCs w:val="24"/>
        </w:rPr>
        <w:t xml:space="preserve"> et al. (2011), the result of the asset quality ratio tended to increase over the years. It implies a low ability to detect measure, monitor and regulate credit risks, while at the same time considering its bad and doubtful claims for the Lehman Brothers. The policy adopted in issuing loans was proven to be the worst. By granting loans to insolvent, high-risk borrowers, it led to an increase of its non-performing loans each year, namely its bad and doubtful loans.</w:t>
      </w:r>
    </w:p>
    <w:p w:rsidR="00672193" w:rsidRPr="00CF41D2" w:rsidRDefault="00672193" w:rsidP="00672193">
      <w:pPr>
        <w:widowControl w:val="0"/>
        <w:overflowPunct w:val="0"/>
        <w:autoSpaceDE w:val="0"/>
        <w:autoSpaceDN w:val="0"/>
        <w:adjustRightInd w:val="0"/>
        <w:spacing w:line="360" w:lineRule="auto"/>
        <w:ind w:right="79"/>
        <w:jc w:val="both"/>
        <w:rPr>
          <w:rFonts w:eastAsia="TimesNewRoman"/>
          <w:szCs w:val="24"/>
        </w:rPr>
      </w:pPr>
      <w:r w:rsidRPr="00CF41D2">
        <w:rPr>
          <w:rFonts w:eastAsia="TimesNewRoman"/>
          <w:szCs w:val="24"/>
        </w:rPr>
        <w:t>Highest rating in the management quality displays a strong growth of these banks as well as high competency of its employees, which would help the bank grow in the future (</w:t>
      </w:r>
      <w:proofErr w:type="spellStart"/>
      <w:r w:rsidRPr="00CF41D2">
        <w:rPr>
          <w:rFonts w:eastAsia="TimesNewRoman"/>
          <w:szCs w:val="24"/>
        </w:rPr>
        <w:t>Majithiya</w:t>
      </w:r>
      <w:proofErr w:type="spellEnd"/>
      <w:r w:rsidRPr="00CF41D2">
        <w:rPr>
          <w:rFonts w:eastAsia="TimesNewRoman"/>
          <w:szCs w:val="24"/>
        </w:rPr>
        <w:t xml:space="preserve"> &amp; </w:t>
      </w:r>
      <w:proofErr w:type="spellStart"/>
      <w:r w:rsidRPr="00CF41D2">
        <w:rPr>
          <w:rFonts w:eastAsia="TimesNewRoman"/>
          <w:szCs w:val="24"/>
        </w:rPr>
        <w:t>Pattani</w:t>
      </w:r>
      <w:proofErr w:type="spellEnd"/>
      <w:r w:rsidRPr="00CF41D2">
        <w:rPr>
          <w:rFonts w:eastAsia="TimesNewRoman"/>
          <w:szCs w:val="24"/>
        </w:rPr>
        <w:t xml:space="preserve">, 2010). On the contrary, </w:t>
      </w:r>
      <w:proofErr w:type="spellStart"/>
      <w:r w:rsidRPr="00CF41D2">
        <w:rPr>
          <w:rFonts w:eastAsia="TimesNewRoman"/>
          <w:szCs w:val="24"/>
        </w:rPr>
        <w:t>Christopoulos</w:t>
      </w:r>
      <w:proofErr w:type="spellEnd"/>
      <w:r w:rsidRPr="00CF41D2">
        <w:rPr>
          <w:rFonts w:eastAsia="TimesNewRoman"/>
          <w:szCs w:val="24"/>
        </w:rPr>
        <w:t xml:space="preserve"> et al. (2011) show a continuous decreasing trend in the management ratio over the years. It infers that many of the loans were bad, approved as a result of the poor borrower assessment, a task that falls within the responsibilities of the management of the Lehman Brothers.</w:t>
      </w:r>
    </w:p>
    <w:p w:rsidR="00672193" w:rsidRPr="00CF41D2" w:rsidRDefault="00672193" w:rsidP="00672193">
      <w:pPr>
        <w:widowControl w:val="0"/>
        <w:overflowPunct w:val="0"/>
        <w:autoSpaceDE w:val="0"/>
        <w:autoSpaceDN w:val="0"/>
        <w:adjustRightInd w:val="0"/>
        <w:spacing w:line="360" w:lineRule="auto"/>
        <w:ind w:right="79"/>
        <w:jc w:val="both"/>
        <w:rPr>
          <w:rFonts w:eastAsia="TimesNewRoman"/>
          <w:szCs w:val="24"/>
        </w:rPr>
      </w:pPr>
      <w:r w:rsidRPr="00CF41D2">
        <w:rPr>
          <w:rFonts w:eastAsia="TimesNewRoman"/>
          <w:szCs w:val="24"/>
        </w:rPr>
        <w:t>Earning quality is rated weak, which could be caused by the banks’ rigid lending policies and strict lending criteria (</w:t>
      </w:r>
      <w:proofErr w:type="spellStart"/>
      <w:r w:rsidRPr="00CF41D2">
        <w:rPr>
          <w:rFonts w:eastAsia="TimesNewRoman"/>
          <w:szCs w:val="24"/>
        </w:rPr>
        <w:t>Rozzani</w:t>
      </w:r>
      <w:proofErr w:type="spellEnd"/>
      <w:r w:rsidRPr="00CF41D2">
        <w:rPr>
          <w:rFonts w:eastAsia="TimesNewRoman"/>
          <w:szCs w:val="24"/>
        </w:rPr>
        <w:t xml:space="preserve"> &amp; </w:t>
      </w:r>
      <w:proofErr w:type="spellStart"/>
      <w:r w:rsidRPr="00CF41D2">
        <w:rPr>
          <w:rFonts w:eastAsia="TimesNewRoman"/>
          <w:szCs w:val="24"/>
        </w:rPr>
        <w:t>Rahman</w:t>
      </w:r>
      <w:proofErr w:type="spellEnd"/>
      <w:r w:rsidRPr="00CF41D2">
        <w:rPr>
          <w:rFonts w:eastAsia="TimesNewRoman"/>
          <w:szCs w:val="24"/>
        </w:rPr>
        <w:t xml:space="preserve">, 2013; </w:t>
      </w:r>
      <w:proofErr w:type="spellStart"/>
      <w:r w:rsidRPr="00CF41D2">
        <w:rPr>
          <w:rFonts w:eastAsia="TimesNewRoman"/>
          <w:szCs w:val="24"/>
        </w:rPr>
        <w:t>Sarwar</w:t>
      </w:r>
      <w:proofErr w:type="spellEnd"/>
      <w:r w:rsidRPr="00CF41D2">
        <w:rPr>
          <w:rFonts w:eastAsia="TimesNewRoman"/>
          <w:szCs w:val="24"/>
        </w:rPr>
        <w:t xml:space="preserve"> &amp; </w:t>
      </w:r>
      <w:proofErr w:type="spellStart"/>
      <w:r w:rsidRPr="00CF41D2">
        <w:rPr>
          <w:rFonts w:eastAsia="TimesNewRoman"/>
          <w:szCs w:val="24"/>
        </w:rPr>
        <w:t>Asif</w:t>
      </w:r>
      <w:proofErr w:type="spellEnd"/>
      <w:r w:rsidRPr="00CF41D2">
        <w:rPr>
          <w:rFonts w:eastAsia="TimesNewRoman"/>
          <w:szCs w:val="24"/>
        </w:rPr>
        <w:t xml:space="preserve">, 2011). Besides, an assessment of the Lehman Brothers’ earnings ratio reveals that its profits are low and insufficient. This </w:t>
      </w:r>
      <w:r w:rsidRPr="00CF41D2">
        <w:rPr>
          <w:rFonts w:eastAsia="TimesNewRoman"/>
          <w:szCs w:val="24"/>
        </w:rPr>
        <w:lastRenderedPageBreak/>
        <w:t>rings a bell that the bank would face survival issues in periods of potential instability or unexpected risks should it not improve its profits and quality of profits (</w:t>
      </w:r>
      <w:proofErr w:type="spellStart"/>
      <w:r w:rsidRPr="00CF41D2">
        <w:rPr>
          <w:rFonts w:eastAsia="TimesNewRoman"/>
          <w:szCs w:val="24"/>
        </w:rPr>
        <w:t>Christopoulos</w:t>
      </w:r>
      <w:proofErr w:type="spellEnd"/>
      <w:r w:rsidRPr="00CF41D2">
        <w:rPr>
          <w:rFonts w:eastAsia="TimesNewRoman"/>
          <w:szCs w:val="24"/>
        </w:rPr>
        <w:t xml:space="preserve"> et al., 2011).</w:t>
      </w:r>
    </w:p>
    <w:p w:rsidR="00672193" w:rsidRPr="00CF41D2" w:rsidRDefault="00672193" w:rsidP="00672193">
      <w:pPr>
        <w:widowControl w:val="0"/>
        <w:overflowPunct w:val="0"/>
        <w:autoSpaceDE w:val="0"/>
        <w:autoSpaceDN w:val="0"/>
        <w:adjustRightInd w:val="0"/>
        <w:spacing w:line="360" w:lineRule="auto"/>
        <w:ind w:right="79"/>
        <w:jc w:val="both"/>
        <w:rPr>
          <w:rFonts w:eastAsia="TimesNewRoman"/>
          <w:szCs w:val="24"/>
        </w:rPr>
      </w:pPr>
      <w:r w:rsidRPr="00CF41D2">
        <w:rPr>
          <w:rFonts w:eastAsia="TimesNewRoman"/>
          <w:szCs w:val="24"/>
        </w:rPr>
        <w:t xml:space="preserve">Moreover, </w:t>
      </w:r>
      <w:proofErr w:type="spellStart"/>
      <w:r w:rsidRPr="00CF41D2">
        <w:rPr>
          <w:rFonts w:eastAsia="TimesNewRoman"/>
          <w:szCs w:val="24"/>
        </w:rPr>
        <w:t>Christopoulos</w:t>
      </w:r>
      <w:proofErr w:type="spellEnd"/>
      <w:r w:rsidRPr="00CF41D2">
        <w:rPr>
          <w:rFonts w:eastAsia="TimesNewRoman"/>
          <w:szCs w:val="24"/>
        </w:rPr>
        <w:t xml:space="preserve"> et al. (2011) report that the Lehman Brothers’ liquidity ratio computed by total loans to total deposits is satisfactory. This means that its loans were less than its deposits. This could indicate that the bank issued part of its loans using the funds available from its deposits and was in a position to withhold part of these funds as a reserve. </w:t>
      </w:r>
    </w:p>
    <w:p w:rsidR="00672193" w:rsidRPr="00CF41D2" w:rsidRDefault="00672193" w:rsidP="00672193">
      <w:pPr>
        <w:widowControl w:val="0"/>
        <w:overflowPunct w:val="0"/>
        <w:autoSpaceDE w:val="0"/>
        <w:autoSpaceDN w:val="0"/>
        <w:adjustRightInd w:val="0"/>
        <w:spacing w:line="360" w:lineRule="auto"/>
        <w:ind w:right="79"/>
        <w:jc w:val="both"/>
        <w:rPr>
          <w:rFonts w:eastAsia="TimesNewRoman"/>
          <w:szCs w:val="24"/>
        </w:rPr>
      </w:pPr>
      <w:r w:rsidRPr="00CF41D2">
        <w:rPr>
          <w:rFonts w:eastAsia="TimesNewRoman"/>
          <w:szCs w:val="24"/>
        </w:rPr>
        <w:t>To the contrary, the liquidity ratio computed by circulating assets to total assets is low. Therefore, in the event of an emergency, the bank would not be able to directly liquidate 60% of its total cash reserves, claims against other banking institutions and transaction portfolios, as well as, its investments in derivatives. In total, it is apparent that the bank’s liquidity status, as compared with its liabilities was poor while its management had no contingency plan that could produce the required flexibility when needed.</w:t>
      </w:r>
    </w:p>
    <w:p w:rsidR="00672193" w:rsidRPr="00CF41D2" w:rsidRDefault="00672193" w:rsidP="00672193">
      <w:pPr>
        <w:widowControl w:val="0"/>
        <w:overflowPunct w:val="0"/>
        <w:autoSpaceDE w:val="0"/>
        <w:autoSpaceDN w:val="0"/>
        <w:adjustRightInd w:val="0"/>
        <w:spacing w:line="360" w:lineRule="auto"/>
        <w:ind w:right="20"/>
        <w:jc w:val="both"/>
        <w:rPr>
          <w:rFonts w:eastAsia="TimesNewRoman"/>
          <w:szCs w:val="24"/>
        </w:rPr>
      </w:pPr>
      <w:proofErr w:type="spellStart"/>
      <w:r w:rsidRPr="00CF41D2">
        <w:rPr>
          <w:rFonts w:eastAsia="TimesNewRoman"/>
          <w:szCs w:val="24"/>
        </w:rPr>
        <w:t>Hasbi</w:t>
      </w:r>
      <w:proofErr w:type="spellEnd"/>
      <w:r w:rsidRPr="00CF41D2">
        <w:rPr>
          <w:rFonts w:eastAsia="TimesNewRoman"/>
          <w:szCs w:val="24"/>
        </w:rPr>
        <w:t xml:space="preserve"> &amp; </w:t>
      </w:r>
      <w:proofErr w:type="spellStart"/>
      <w:r w:rsidRPr="00CF41D2">
        <w:rPr>
          <w:rFonts w:eastAsia="TimesNewRoman"/>
          <w:szCs w:val="24"/>
        </w:rPr>
        <w:t>Haruman</w:t>
      </w:r>
      <w:proofErr w:type="spellEnd"/>
      <w:r w:rsidRPr="00CF41D2">
        <w:rPr>
          <w:rFonts w:eastAsia="TimesNewRoman"/>
          <w:szCs w:val="24"/>
        </w:rPr>
        <w:t xml:space="preserve"> (2011) find that an increase in capital adequacy ratio (CAR), nonperforming financing (NPF), level of efficiency (OEOI) and financing to deposit ratio (FDR) have increased, but return on asset (ROA) experience slow-down. The Islamic bank focuses excessively on higher profit sharing for attracting customers switching from the conventional banks through larger financing, such as lending to big companies. Besides, it uses all deposited funds added using internal equity to take profit-sharing or wide spread margin instead of careful and prudent credit management and risk management.</w:t>
      </w:r>
    </w:p>
    <w:p w:rsidR="00672193" w:rsidRPr="00CF41D2" w:rsidRDefault="00672193" w:rsidP="00672193">
      <w:pPr>
        <w:widowControl w:val="0"/>
        <w:overflowPunct w:val="0"/>
        <w:autoSpaceDE w:val="0"/>
        <w:autoSpaceDN w:val="0"/>
        <w:adjustRightInd w:val="0"/>
        <w:spacing w:line="360" w:lineRule="auto"/>
        <w:ind w:right="23"/>
        <w:jc w:val="both"/>
        <w:rPr>
          <w:rFonts w:eastAsia="TimesNewRoman"/>
          <w:szCs w:val="24"/>
        </w:rPr>
      </w:pPr>
      <w:proofErr w:type="spellStart"/>
      <w:r w:rsidRPr="00CF41D2">
        <w:rPr>
          <w:rFonts w:eastAsia="TimesNewRoman"/>
          <w:szCs w:val="24"/>
        </w:rPr>
        <w:t>Ongore</w:t>
      </w:r>
      <w:proofErr w:type="spellEnd"/>
      <w:r w:rsidRPr="00CF41D2">
        <w:rPr>
          <w:rFonts w:eastAsia="TimesNewRoman"/>
          <w:szCs w:val="24"/>
        </w:rPr>
        <w:t xml:space="preserve"> &amp; </w:t>
      </w:r>
      <w:proofErr w:type="spellStart"/>
      <w:r w:rsidRPr="00CF41D2">
        <w:rPr>
          <w:rFonts w:eastAsia="TimesNewRoman"/>
          <w:szCs w:val="24"/>
        </w:rPr>
        <w:t>Kusa</w:t>
      </w:r>
      <w:proofErr w:type="spellEnd"/>
      <w:r w:rsidRPr="00CF41D2">
        <w:rPr>
          <w:rFonts w:eastAsia="TimesNewRoman"/>
          <w:szCs w:val="24"/>
        </w:rPr>
        <w:t xml:space="preserve"> (2013), in their study on commercial banks in Kenya, report that the capital adequacy (measured by total capital to total asset) and management efficiency (measured by total operating revenue to total profit) have a statistically significant positive effect on the ROA and NIM.</w:t>
      </w:r>
    </w:p>
    <w:p w:rsidR="00672193" w:rsidRPr="00CF41D2" w:rsidRDefault="00672193" w:rsidP="00672193">
      <w:pPr>
        <w:widowControl w:val="0"/>
        <w:overflowPunct w:val="0"/>
        <w:autoSpaceDE w:val="0"/>
        <w:autoSpaceDN w:val="0"/>
        <w:adjustRightInd w:val="0"/>
        <w:spacing w:line="360" w:lineRule="auto"/>
        <w:ind w:right="23"/>
        <w:jc w:val="both"/>
        <w:rPr>
          <w:rFonts w:eastAsia="TimesNewRoman"/>
          <w:szCs w:val="24"/>
        </w:rPr>
      </w:pPr>
      <w:r w:rsidRPr="00CF41D2">
        <w:rPr>
          <w:rFonts w:eastAsia="TimesNewRoman"/>
          <w:szCs w:val="24"/>
        </w:rPr>
        <w:t>In addition, capital adequacy has a significant negative effect on ROE and asset quality (measured by non-performing loans to total loans) has a significant negative effect on the ROA, ROE, and Net Interest Margin (NIM). But, the effect of liquidity (measured by total loans to total customer deposit) is not significant. The result on capital adequacy indicates an inconsistent effect on banks’ financial performance, that is, it has a positive impact on the ROA and NIM, but it has a negative impact on the ROE.</w:t>
      </w:r>
    </w:p>
    <w:p w:rsidR="00672193" w:rsidRPr="00CF41D2" w:rsidRDefault="00672193" w:rsidP="00672193">
      <w:pPr>
        <w:widowControl w:val="0"/>
        <w:overflowPunct w:val="0"/>
        <w:autoSpaceDE w:val="0"/>
        <w:autoSpaceDN w:val="0"/>
        <w:adjustRightInd w:val="0"/>
        <w:spacing w:line="360" w:lineRule="auto"/>
        <w:ind w:right="23"/>
        <w:jc w:val="both"/>
        <w:rPr>
          <w:rFonts w:eastAsia="TimesNewRoman"/>
          <w:szCs w:val="24"/>
        </w:rPr>
      </w:pPr>
    </w:p>
    <w:p w:rsidR="00672193" w:rsidRPr="00CF41D2" w:rsidRDefault="00672193" w:rsidP="00672193">
      <w:pPr>
        <w:widowControl w:val="0"/>
        <w:overflowPunct w:val="0"/>
        <w:autoSpaceDE w:val="0"/>
        <w:autoSpaceDN w:val="0"/>
        <w:adjustRightInd w:val="0"/>
        <w:spacing w:line="360" w:lineRule="auto"/>
        <w:ind w:right="23"/>
        <w:jc w:val="both"/>
        <w:rPr>
          <w:rFonts w:eastAsia="TimesNewRoman"/>
          <w:szCs w:val="24"/>
        </w:rPr>
      </w:pPr>
      <w:r w:rsidRPr="00CF41D2">
        <w:rPr>
          <w:rFonts w:eastAsia="TimesNewRoman"/>
          <w:szCs w:val="24"/>
        </w:rPr>
        <w:t xml:space="preserve">In a study on commercial banks in Uganda, Frederick (2014) finds that management efficiency (measured by operating costs to total income) and asset quality (measured by loan loss provision to total loan) have a statistically significant negative effect and earnings ability (measured by net interest margin to total assets) has a statistically significant positive effect on the performance of domestic commercial banks as measured by the ROA. However, capital adequacy (measured by equity capital to total assets) has no statistically significant effect on the ROA. </w:t>
      </w:r>
    </w:p>
    <w:p w:rsidR="00672193" w:rsidRPr="00CF41D2" w:rsidRDefault="00672193" w:rsidP="00672193">
      <w:pPr>
        <w:widowControl w:val="0"/>
        <w:overflowPunct w:val="0"/>
        <w:autoSpaceDE w:val="0"/>
        <w:autoSpaceDN w:val="0"/>
        <w:adjustRightInd w:val="0"/>
        <w:spacing w:line="360" w:lineRule="auto"/>
        <w:ind w:right="23"/>
        <w:jc w:val="both"/>
        <w:rPr>
          <w:rFonts w:eastAsia="TimesNewRoman"/>
          <w:szCs w:val="24"/>
        </w:rPr>
      </w:pPr>
      <w:r w:rsidRPr="00CF41D2">
        <w:rPr>
          <w:rFonts w:eastAsia="TimesNewRoman"/>
          <w:szCs w:val="24"/>
        </w:rPr>
        <w:t>On the other hand, capital adequacy, asset quality and management efficiency have a statistically significant negative effect and earnings ability has a statistically significant positive effect on the performance of domestic commercial banks as measured by ROE. This study demonstrates an inconsistent result of the explanatory variables when applied to the ROA and ROE; for instance, capital adequacy has a significant negative effect on ROE, but not on the ROA.</w:t>
      </w:r>
    </w:p>
    <w:p w:rsidR="00672193" w:rsidRPr="00CF41D2" w:rsidRDefault="00672193" w:rsidP="00672193">
      <w:pPr>
        <w:widowControl w:val="0"/>
        <w:overflowPunct w:val="0"/>
        <w:autoSpaceDE w:val="0"/>
        <w:autoSpaceDN w:val="0"/>
        <w:adjustRightInd w:val="0"/>
        <w:spacing w:line="360" w:lineRule="auto"/>
        <w:ind w:right="23"/>
        <w:jc w:val="both"/>
        <w:rPr>
          <w:rFonts w:eastAsia="TimesNewRoman"/>
          <w:szCs w:val="24"/>
        </w:rPr>
      </w:pPr>
      <w:proofErr w:type="spellStart"/>
      <w:r w:rsidRPr="00CF41D2">
        <w:rPr>
          <w:rFonts w:eastAsia="TimesNewRoman"/>
          <w:szCs w:val="24"/>
        </w:rPr>
        <w:t>Cekrezi</w:t>
      </w:r>
      <w:proofErr w:type="spellEnd"/>
      <w:r w:rsidRPr="00CF41D2">
        <w:rPr>
          <w:rFonts w:eastAsia="TimesNewRoman"/>
          <w:szCs w:val="24"/>
        </w:rPr>
        <w:t xml:space="preserve"> (2015) reveals that capital adequacy (measured by total equity to total assets) and liquidity (measured by total loans to total assets) have a statistically significant negative effect on the performance of commercial banks in Albania as measured by ROA.</w:t>
      </w:r>
    </w:p>
    <w:p w:rsidR="00672193" w:rsidRPr="00CF41D2" w:rsidRDefault="00672193" w:rsidP="00672193">
      <w:pPr>
        <w:widowControl w:val="0"/>
        <w:overflowPunct w:val="0"/>
        <w:autoSpaceDE w:val="0"/>
        <w:autoSpaceDN w:val="0"/>
        <w:adjustRightInd w:val="0"/>
        <w:spacing w:line="360" w:lineRule="auto"/>
        <w:ind w:right="23"/>
        <w:jc w:val="both"/>
        <w:rPr>
          <w:rFonts w:eastAsia="TimesNewRoman"/>
          <w:szCs w:val="24"/>
        </w:rPr>
      </w:pPr>
      <w:proofErr w:type="spellStart"/>
      <w:r w:rsidRPr="00CF41D2">
        <w:rPr>
          <w:rFonts w:eastAsia="TimesNewRoman"/>
          <w:szCs w:val="24"/>
        </w:rPr>
        <w:t>Jha</w:t>
      </w:r>
      <w:proofErr w:type="spellEnd"/>
      <w:r w:rsidRPr="00CF41D2">
        <w:rPr>
          <w:rFonts w:eastAsia="TimesNewRoman"/>
          <w:szCs w:val="24"/>
        </w:rPr>
        <w:t xml:space="preserve"> &amp; </w:t>
      </w:r>
      <w:proofErr w:type="spellStart"/>
      <w:r w:rsidRPr="00CF41D2">
        <w:rPr>
          <w:rFonts w:eastAsia="TimesNewRoman"/>
          <w:szCs w:val="24"/>
        </w:rPr>
        <w:t>Hui</w:t>
      </w:r>
      <w:proofErr w:type="spellEnd"/>
      <w:r w:rsidRPr="00CF41D2">
        <w:rPr>
          <w:rFonts w:eastAsia="TimesNewRoman"/>
          <w:szCs w:val="24"/>
        </w:rPr>
        <w:t xml:space="preserve"> (2012), in their study on Nepal’s commercial banks, explained that (1) capital adequacy (measured by Tier 1 capital + Tier 2 capital/risk weighted assets) and management efficiency (measured by interest expense/ total loans) have a statistically significant negative impact, earnings ability (measured by net interest income/total earning assets) has a significant positive effect, and asset quality (measured by non-performing loans/total loans) and liquidity (credit/deposit) have no significant impact on ROA.</w:t>
      </w:r>
    </w:p>
    <w:p w:rsidR="00672193" w:rsidRPr="00CF41D2" w:rsidRDefault="00672193" w:rsidP="00672193">
      <w:pPr>
        <w:widowControl w:val="0"/>
        <w:overflowPunct w:val="0"/>
        <w:autoSpaceDE w:val="0"/>
        <w:autoSpaceDN w:val="0"/>
        <w:adjustRightInd w:val="0"/>
        <w:spacing w:line="360" w:lineRule="auto"/>
        <w:ind w:right="23"/>
        <w:jc w:val="both"/>
        <w:rPr>
          <w:rFonts w:eastAsia="TimesNewRoman"/>
          <w:szCs w:val="24"/>
        </w:rPr>
      </w:pPr>
      <w:r w:rsidRPr="00CF41D2">
        <w:rPr>
          <w:rFonts w:eastAsia="TimesNewRoman"/>
          <w:szCs w:val="24"/>
        </w:rPr>
        <w:t>The study result also indicated that capital adequacy has a statistically significant positive impact, but asset quality, management efficiency, earnings ability, and liquidity have no significant impact on ROE. This finding shows that CAMEL has different results when applied to ROA and ROE. For example, the management efficiency and earnings ability have a significant effect on ROA, but not on ROE.</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In an analysis on financial performance of Ethiopian commercial banks, </w:t>
      </w:r>
      <w:proofErr w:type="spellStart"/>
      <w:r w:rsidRPr="00CF41D2">
        <w:rPr>
          <w:rFonts w:eastAsia="TimesNewRoman"/>
          <w:szCs w:val="24"/>
        </w:rPr>
        <w:t>Getahun</w:t>
      </w:r>
      <w:proofErr w:type="spellEnd"/>
      <w:r w:rsidRPr="00CF41D2">
        <w:rPr>
          <w:rFonts w:eastAsia="TimesNewRoman"/>
          <w:szCs w:val="24"/>
        </w:rPr>
        <w:t xml:space="preserve"> (2015) reports that (1) asset quality (measured by provision for loan/total loan) and management efficiency (measured by non-interest expense/net interest income + non-interest income loan) have a </w:t>
      </w:r>
      <w:r w:rsidRPr="00CF41D2">
        <w:rPr>
          <w:rFonts w:eastAsia="TimesNewRoman"/>
          <w:szCs w:val="24"/>
        </w:rPr>
        <w:lastRenderedPageBreak/>
        <w:t>statistically significant negative effect, earnings ability (measured by net interest income/total interest income) and liquidity (measured by total loan/total deposit) have a significant positive effect and capital adequacy (measured by gross capital/total assets) has no significant effect on commercial banks’ ROA; and (2) capital adequacy and management efficiency have a significant negative effect, earnings ability and liquidity have a significant positive effect, and asset quality has no significant effect on commercial banks’ ROE. This study demonstrates that the CAMEL model helps to rate banks’ financial performance; however, it demonstrates a different result as applied to ROA and ROE. For example, asset quality has a significant effect on ROA, but not on ROE and capital adequacy has a significant effect on ROE, but not on ROA.</w:t>
      </w:r>
    </w:p>
    <w:p w:rsidR="00672193" w:rsidRPr="00CF41D2" w:rsidRDefault="00672193" w:rsidP="00672193">
      <w:pPr>
        <w:spacing w:line="360" w:lineRule="auto"/>
        <w:jc w:val="both"/>
        <w:rPr>
          <w:bCs/>
          <w:szCs w:val="24"/>
        </w:rPr>
      </w:pPr>
      <w:r w:rsidRPr="00CF41D2">
        <w:rPr>
          <w:rFonts w:eastAsia="TimesNewRoman"/>
          <w:szCs w:val="24"/>
        </w:rPr>
        <w:t xml:space="preserve">From the recent study </w:t>
      </w:r>
      <w:r w:rsidRPr="00CF41D2">
        <w:rPr>
          <w:noProof/>
          <w:szCs w:val="24"/>
        </w:rPr>
        <w:t xml:space="preserve">Aspal &amp; Dhawan (2016) used CAMELS </w:t>
      </w:r>
      <w:r w:rsidRPr="00CF41D2">
        <w:rPr>
          <w:bCs/>
          <w:szCs w:val="24"/>
        </w:rPr>
        <w:t>rating models (Capital Adequacy, Assets Quality, Management, Earning, Liquidity, Systems and Controls) for rating of Indian commercial, private and foreign banks operating in India. The study described the various financial ratios used in the above mentioned models to measure the financial performance of banking sector. The study examined each parameter of CAMELS system by review of literature and empirical studies.</w:t>
      </w:r>
    </w:p>
    <w:p w:rsidR="00672193" w:rsidRPr="00CF41D2" w:rsidRDefault="00672193" w:rsidP="00672193">
      <w:pPr>
        <w:pStyle w:val="Heading2"/>
        <w:numPr>
          <w:ilvl w:val="1"/>
          <w:numId w:val="3"/>
        </w:numPr>
        <w:spacing w:before="0" w:after="200" w:line="360" w:lineRule="auto"/>
        <w:jc w:val="both"/>
        <w:rPr>
          <w:color w:val="auto"/>
        </w:rPr>
      </w:pPr>
      <w:bookmarkStart w:id="49" w:name="_Toc73104283"/>
      <w:r w:rsidRPr="00CF41D2">
        <w:rPr>
          <w:color w:val="auto"/>
        </w:rPr>
        <w:t>Research Gap</w:t>
      </w:r>
      <w:bookmarkEnd w:id="48"/>
      <w:bookmarkEnd w:id="49"/>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bookmarkStart w:id="50" w:name="_Toc511725927"/>
      <w:r w:rsidRPr="00CF41D2">
        <w:rPr>
          <w:rFonts w:eastAsia="TimesNewRoman"/>
          <w:szCs w:val="24"/>
        </w:rPr>
        <w:t xml:space="preserve">The review of literature depicts that the CAMEL model can be applied to measure and evaluate the financial performance of commercial banks. However, the results were not consistent when the CAMEL components are applied to ROA, ROE and NIM. The literature also shows that the ratios that were used to compute the CAMEL components are not consistent, that is, different researchers employed different ratios. </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For instance, the researchers applied the total loans to total customer deposit, total loan/total deposit or total loans to total assets for computing the liquidity position of the commercial banks. Therefore, it can be concluded that commercial banks are rated differently when the CAMEL components are applied to ROA, ROE and NIM.</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On the other hand, empirical such as </w:t>
      </w:r>
      <w:proofErr w:type="spellStart"/>
      <w:r w:rsidRPr="00CF41D2">
        <w:rPr>
          <w:rFonts w:eastAsia="TimesNewRoman"/>
          <w:szCs w:val="24"/>
        </w:rPr>
        <w:t>Ginevicius</w:t>
      </w:r>
      <w:proofErr w:type="spellEnd"/>
      <w:r w:rsidRPr="00CF41D2">
        <w:rPr>
          <w:rFonts w:eastAsia="TimesNewRoman"/>
          <w:szCs w:val="24"/>
        </w:rPr>
        <w:t xml:space="preserve"> &amp; </w:t>
      </w:r>
      <w:proofErr w:type="spellStart"/>
      <w:r w:rsidRPr="00CF41D2">
        <w:rPr>
          <w:rFonts w:eastAsia="TimesNewRoman"/>
          <w:szCs w:val="24"/>
        </w:rPr>
        <w:t>Podviezko</w:t>
      </w:r>
      <w:proofErr w:type="spellEnd"/>
      <w:r w:rsidRPr="00CF41D2">
        <w:rPr>
          <w:rFonts w:eastAsia="TimesNewRoman"/>
          <w:szCs w:val="24"/>
        </w:rPr>
        <w:t xml:space="preserve"> (2011) and </w:t>
      </w:r>
      <w:proofErr w:type="spellStart"/>
      <w:r w:rsidRPr="00CF41D2">
        <w:rPr>
          <w:rFonts w:eastAsia="TimesNewRoman"/>
          <w:szCs w:val="24"/>
        </w:rPr>
        <w:t>Rozzani</w:t>
      </w:r>
      <w:proofErr w:type="spellEnd"/>
      <w:r w:rsidRPr="00CF41D2">
        <w:rPr>
          <w:rFonts w:eastAsia="TimesNewRoman"/>
          <w:szCs w:val="24"/>
        </w:rPr>
        <w:t xml:space="preserve"> &amp; </w:t>
      </w:r>
      <w:proofErr w:type="spellStart"/>
      <w:r w:rsidRPr="00CF41D2">
        <w:rPr>
          <w:rFonts w:eastAsia="TimesNewRoman"/>
          <w:szCs w:val="24"/>
        </w:rPr>
        <w:t>Rahman</w:t>
      </w:r>
      <w:proofErr w:type="spellEnd"/>
      <w:r w:rsidRPr="00CF41D2">
        <w:rPr>
          <w:rFonts w:eastAsia="TimesNewRoman"/>
          <w:szCs w:val="24"/>
        </w:rPr>
        <w:t xml:space="preserve"> (2013) have employed the composite CAMEL ratings for comparative analysis of the financial performance of commercial banks in Morocco, Lithuania, Bangladesh, Malaysia and India.</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Although the CAMELS composite rating has been used for internal control and for supervisory </w:t>
      </w:r>
      <w:r w:rsidRPr="00CF41D2">
        <w:rPr>
          <w:rFonts w:eastAsia="TimesNewRoman"/>
          <w:szCs w:val="24"/>
        </w:rPr>
        <w:lastRenderedPageBreak/>
        <w:t>as well as regulatory purpose, the aforementioned empirical evidences confirmed that researchers have been employing the composite rating for identifying strong as well as the weak financial performance of commercial banks.</w:t>
      </w:r>
    </w:p>
    <w:p w:rsidR="00672193" w:rsidRPr="00CF41D2" w:rsidRDefault="00672193" w:rsidP="00672193">
      <w:pPr>
        <w:pStyle w:val="Heading2"/>
        <w:numPr>
          <w:ilvl w:val="1"/>
          <w:numId w:val="3"/>
        </w:numPr>
        <w:spacing w:before="0" w:after="200" w:line="360" w:lineRule="auto"/>
        <w:jc w:val="both"/>
        <w:rPr>
          <w:color w:val="auto"/>
        </w:rPr>
      </w:pPr>
      <w:bookmarkStart w:id="51" w:name="_Toc73104284"/>
      <w:r w:rsidRPr="00CF41D2">
        <w:rPr>
          <w:color w:val="auto"/>
        </w:rPr>
        <w:t>Conceptual Framework</w:t>
      </w:r>
      <w:bookmarkEnd w:id="50"/>
      <w:bookmarkEnd w:id="51"/>
      <w:r w:rsidRPr="00CF41D2">
        <w:rPr>
          <w:color w:val="auto"/>
        </w:rPr>
        <w:t xml:space="preserve"> </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The following conceptual framework is created to evaluate the financial performance of a bank using CAMEL rating approach.</w:t>
      </w:r>
    </w:p>
    <w:p w:rsidR="00672193" w:rsidRPr="00CF41D2" w:rsidRDefault="00320D49" w:rsidP="00672193">
      <w:pPr>
        <w:widowControl w:val="0"/>
        <w:overflowPunct w:val="0"/>
        <w:autoSpaceDE w:val="0"/>
        <w:autoSpaceDN w:val="0"/>
        <w:adjustRightInd w:val="0"/>
        <w:spacing w:line="360" w:lineRule="auto"/>
        <w:jc w:val="both"/>
        <w:rPr>
          <w:rFonts w:eastAsia="TimesNewRoman"/>
          <w:szCs w:val="24"/>
        </w:rPr>
      </w:pPr>
      <w:r w:rsidRPr="00320D49">
        <w:rPr>
          <w:szCs w:val="24"/>
        </w:rPr>
        <w:t>Figure 1:</w:t>
      </w:r>
      <w:r>
        <w:rPr>
          <w:b/>
          <w:szCs w:val="24"/>
        </w:rPr>
        <w:t xml:space="preserve"> </w:t>
      </w:r>
      <w:r w:rsidR="00672193" w:rsidRPr="00CF41D2">
        <w:rPr>
          <w:rFonts w:eastAsia="TimesNewRoman"/>
          <w:szCs w:val="24"/>
        </w:rPr>
        <w:t>conceptual frame work CAMEL Model</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CAMEL Model factors</w:t>
      </w:r>
      <w:r w:rsidR="005B3621">
        <w:rPr>
          <w:rFonts w:eastAsia="TimesNewRoman"/>
          <w:noProof/>
          <w:szCs w:val="24"/>
        </w:rPr>
        <w:drawing>
          <wp:anchor distT="0" distB="0" distL="114300" distR="114300" simplePos="0" relativeHeight="251659264" behindDoc="1" locked="0" layoutInCell="0" allowOverlap="1">
            <wp:simplePos x="0" y="0"/>
            <wp:positionH relativeFrom="column">
              <wp:posOffset>43180</wp:posOffset>
            </wp:positionH>
            <wp:positionV relativeFrom="paragraph">
              <wp:posOffset>335915</wp:posOffset>
            </wp:positionV>
            <wp:extent cx="5968365" cy="4382135"/>
            <wp:effectExtent l="19050" t="0" r="0" b="0"/>
            <wp:wrapNone/>
            <wp:docPr id="1"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 cstate="print"/>
                    <a:srcRect/>
                    <a:stretch>
                      <a:fillRect/>
                    </a:stretch>
                  </pic:blipFill>
                  <pic:spPr bwMode="auto">
                    <a:xfrm>
                      <a:off x="0" y="0"/>
                      <a:ext cx="5968365" cy="4382135"/>
                    </a:xfrm>
                    <a:prstGeom prst="rect">
                      <a:avLst/>
                    </a:prstGeom>
                    <a:noFill/>
                    <a:ln w="9525">
                      <a:noFill/>
                      <a:miter lim="800000"/>
                      <a:headEnd/>
                      <a:tailEnd/>
                    </a:ln>
                  </pic:spPr>
                </pic:pic>
              </a:graphicData>
            </a:graphic>
          </wp:anchor>
        </w:drawing>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p>
    <w:p w:rsidR="00672193" w:rsidRPr="00320D49" w:rsidRDefault="00672193" w:rsidP="00672193">
      <w:pPr>
        <w:widowControl w:val="0"/>
        <w:overflowPunct w:val="0"/>
        <w:autoSpaceDE w:val="0"/>
        <w:autoSpaceDN w:val="0"/>
        <w:adjustRightInd w:val="0"/>
        <w:spacing w:after="100" w:line="360" w:lineRule="auto"/>
        <w:ind w:right="23"/>
        <w:jc w:val="both"/>
        <w:rPr>
          <w:rFonts w:eastAsia="TimesNewRoman"/>
          <w:b/>
          <w:sz w:val="26"/>
          <w:szCs w:val="26"/>
        </w:rPr>
      </w:pPr>
      <w:r w:rsidRPr="00320D49">
        <w:rPr>
          <w:rFonts w:eastAsia="TimesNewRoman"/>
          <w:b/>
          <w:szCs w:val="24"/>
        </w:rPr>
        <w:t xml:space="preserve">      </w:t>
      </w:r>
      <w:r w:rsidRPr="00320D49">
        <w:rPr>
          <w:b/>
          <w:bCs/>
          <w:sz w:val="26"/>
          <w:szCs w:val="26"/>
        </w:rPr>
        <w:t>Capital Adequacy</w:t>
      </w:r>
    </w:p>
    <w:p w:rsidR="00672193" w:rsidRPr="00CF41D2" w:rsidRDefault="00672193" w:rsidP="00672193">
      <w:pPr>
        <w:widowControl w:val="0"/>
        <w:overflowPunct w:val="0"/>
        <w:autoSpaceDE w:val="0"/>
        <w:autoSpaceDN w:val="0"/>
        <w:adjustRightInd w:val="0"/>
        <w:spacing w:after="100" w:line="360" w:lineRule="auto"/>
        <w:ind w:right="23"/>
        <w:jc w:val="both"/>
        <w:rPr>
          <w:rFonts w:eastAsia="TimesNewRoman"/>
          <w:sz w:val="26"/>
          <w:szCs w:val="26"/>
        </w:rPr>
      </w:pPr>
      <w:r w:rsidRPr="00CF41D2">
        <w:rPr>
          <w:rFonts w:eastAsia="TimesNewRoman"/>
          <w:sz w:val="26"/>
          <w:szCs w:val="26"/>
        </w:rPr>
        <w:t xml:space="preserve">         </w:t>
      </w:r>
      <w:r w:rsidRPr="00CF41D2">
        <w:rPr>
          <w:szCs w:val="24"/>
        </w:rPr>
        <w:t xml:space="preserve">  - Capital to Asset Ratio                                                                     </w:t>
      </w:r>
      <w:r w:rsidR="005B3621">
        <w:rPr>
          <w:szCs w:val="24"/>
        </w:rPr>
        <w:t xml:space="preserve">   </w:t>
      </w:r>
      <w:r w:rsidRPr="00CF41D2">
        <w:rPr>
          <w:szCs w:val="24"/>
        </w:rPr>
        <w:t xml:space="preserve">Bank performance                                                      </w:t>
      </w:r>
    </w:p>
    <w:p w:rsidR="00672193" w:rsidRPr="00CF41D2" w:rsidRDefault="00672193" w:rsidP="00672193">
      <w:pPr>
        <w:widowControl w:val="0"/>
        <w:overflowPunct w:val="0"/>
        <w:autoSpaceDE w:val="0"/>
        <w:autoSpaceDN w:val="0"/>
        <w:adjustRightInd w:val="0"/>
        <w:spacing w:after="100" w:line="360" w:lineRule="auto"/>
        <w:ind w:right="23"/>
        <w:jc w:val="both"/>
        <w:rPr>
          <w:b/>
          <w:bCs/>
          <w:sz w:val="26"/>
          <w:szCs w:val="26"/>
        </w:rPr>
      </w:pPr>
      <w:r w:rsidRPr="00CF41D2">
        <w:rPr>
          <w:b/>
          <w:bCs/>
          <w:szCs w:val="24"/>
        </w:rPr>
        <w:t xml:space="preserve">       </w:t>
      </w:r>
      <w:r w:rsidRPr="00CF41D2">
        <w:rPr>
          <w:b/>
          <w:bCs/>
          <w:sz w:val="26"/>
          <w:szCs w:val="26"/>
        </w:rPr>
        <w:t xml:space="preserve">Asset Quality           </w:t>
      </w:r>
    </w:p>
    <w:p w:rsidR="00672193" w:rsidRPr="00CF41D2" w:rsidRDefault="00672193" w:rsidP="00672193">
      <w:pPr>
        <w:widowControl w:val="0"/>
        <w:tabs>
          <w:tab w:val="left" w:pos="1665"/>
        </w:tabs>
        <w:autoSpaceDE w:val="0"/>
        <w:autoSpaceDN w:val="0"/>
        <w:adjustRightInd w:val="0"/>
        <w:spacing w:after="0" w:line="360" w:lineRule="auto"/>
        <w:ind w:left="100"/>
        <w:rPr>
          <w:b/>
          <w:bCs/>
          <w:sz w:val="2"/>
          <w:szCs w:val="24"/>
        </w:rPr>
      </w:pPr>
      <w:r w:rsidRPr="00CF41D2">
        <w:rPr>
          <w:b/>
          <w:bCs/>
          <w:szCs w:val="24"/>
        </w:rPr>
        <w:tab/>
      </w:r>
    </w:p>
    <w:p w:rsidR="00672193" w:rsidRPr="00CF41D2" w:rsidRDefault="00672193" w:rsidP="00672193">
      <w:pPr>
        <w:widowControl w:val="0"/>
        <w:autoSpaceDE w:val="0"/>
        <w:autoSpaceDN w:val="0"/>
        <w:adjustRightInd w:val="0"/>
        <w:spacing w:after="0" w:line="360" w:lineRule="auto"/>
        <w:jc w:val="both"/>
        <w:rPr>
          <w:b/>
          <w:bCs/>
          <w:sz w:val="26"/>
          <w:szCs w:val="26"/>
        </w:rPr>
      </w:pPr>
      <w:r w:rsidRPr="00CF41D2">
        <w:rPr>
          <w:szCs w:val="24"/>
        </w:rPr>
        <w:t xml:space="preserve">           - Loan Loss Provision to Total Loan Ratio</w:t>
      </w:r>
      <w:r w:rsidRPr="00CF41D2">
        <w:rPr>
          <w:szCs w:val="24"/>
        </w:rPr>
        <w:tab/>
        <w:t xml:space="preserve">                                                      ROA                     </w:t>
      </w:r>
    </w:p>
    <w:p w:rsidR="00672193" w:rsidRPr="00CF41D2" w:rsidRDefault="00672193" w:rsidP="00672193">
      <w:pPr>
        <w:widowControl w:val="0"/>
        <w:autoSpaceDE w:val="0"/>
        <w:autoSpaceDN w:val="0"/>
        <w:adjustRightInd w:val="0"/>
        <w:spacing w:after="0" w:line="360" w:lineRule="auto"/>
        <w:jc w:val="both"/>
        <w:rPr>
          <w:szCs w:val="24"/>
        </w:rPr>
      </w:pPr>
      <w:r w:rsidRPr="00CF41D2">
        <w:rPr>
          <w:b/>
          <w:bCs/>
          <w:sz w:val="26"/>
          <w:szCs w:val="26"/>
        </w:rPr>
        <w:t xml:space="preserve">        Management</w:t>
      </w:r>
      <w:r w:rsidRPr="00CF41D2">
        <w:rPr>
          <w:szCs w:val="24"/>
        </w:rPr>
        <w:t xml:space="preserve">                                                                                                           &amp;                                                                                                                       </w:t>
      </w:r>
    </w:p>
    <w:p w:rsidR="00672193" w:rsidRPr="00CF41D2" w:rsidRDefault="00672193" w:rsidP="00672193">
      <w:pPr>
        <w:pStyle w:val="ListParagraph"/>
        <w:widowControl w:val="0"/>
        <w:numPr>
          <w:ilvl w:val="0"/>
          <w:numId w:val="42"/>
        </w:numPr>
        <w:tabs>
          <w:tab w:val="left" w:pos="1305"/>
        </w:tabs>
        <w:autoSpaceDE w:val="0"/>
        <w:autoSpaceDN w:val="0"/>
        <w:adjustRightInd w:val="0"/>
        <w:spacing w:after="0" w:line="360" w:lineRule="auto"/>
        <w:rPr>
          <w:szCs w:val="24"/>
        </w:rPr>
      </w:pPr>
      <w:r w:rsidRPr="00CF41D2">
        <w:rPr>
          <w:szCs w:val="24"/>
        </w:rPr>
        <w:t xml:space="preserve">Noninterest  expense to net interest                                                             </w:t>
      </w:r>
      <w:r w:rsidR="005B3621">
        <w:rPr>
          <w:szCs w:val="24"/>
        </w:rPr>
        <w:t xml:space="preserve">      </w:t>
      </w:r>
      <w:r w:rsidRPr="00CF41D2">
        <w:rPr>
          <w:szCs w:val="24"/>
        </w:rPr>
        <w:t>ROE</w:t>
      </w:r>
    </w:p>
    <w:p w:rsidR="00672193" w:rsidRPr="00CF41D2" w:rsidRDefault="00672193" w:rsidP="00672193">
      <w:pPr>
        <w:pStyle w:val="ListParagraph"/>
        <w:widowControl w:val="0"/>
        <w:tabs>
          <w:tab w:val="left" w:pos="1305"/>
          <w:tab w:val="center" w:pos="5094"/>
        </w:tabs>
        <w:autoSpaceDE w:val="0"/>
        <w:autoSpaceDN w:val="0"/>
        <w:adjustRightInd w:val="0"/>
        <w:spacing w:after="0" w:line="360" w:lineRule="auto"/>
        <w:ind w:left="1260"/>
        <w:rPr>
          <w:szCs w:val="24"/>
        </w:rPr>
      </w:pPr>
      <w:r w:rsidRPr="00CF41D2">
        <w:rPr>
          <w:szCs w:val="24"/>
        </w:rPr>
        <w:t>Income &amp; non interest income</w:t>
      </w:r>
      <w:r w:rsidRPr="00CF41D2">
        <w:rPr>
          <w:szCs w:val="24"/>
        </w:rPr>
        <w:tab/>
      </w:r>
    </w:p>
    <w:p w:rsidR="00672193" w:rsidRPr="00CF41D2" w:rsidRDefault="00672193" w:rsidP="00672193">
      <w:pPr>
        <w:widowControl w:val="0"/>
        <w:overflowPunct w:val="0"/>
        <w:autoSpaceDE w:val="0"/>
        <w:autoSpaceDN w:val="0"/>
        <w:adjustRightInd w:val="0"/>
        <w:spacing w:after="100" w:line="360" w:lineRule="auto"/>
        <w:ind w:right="23"/>
        <w:jc w:val="both"/>
        <w:rPr>
          <w:b/>
          <w:bCs/>
          <w:sz w:val="28"/>
          <w:szCs w:val="28"/>
        </w:rPr>
      </w:pPr>
      <w:r w:rsidRPr="00CF41D2">
        <w:rPr>
          <w:b/>
          <w:bCs/>
          <w:szCs w:val="24"/>
        </w:rPr>
        <w:t xml:space="preserve">        </w:t>
      </w:r>
      <w:r w:rsidRPr="00CF41D2">
        <w:rPr>
          <w:b/>
          <w:bCs/>
          <w:sz w:val="28"/>
          <w:szCs w:val="28"/>
        </w:rPr>
        <w:t xml:space="preserve">Earning </w:t>
      </w:r>
    </w:p>
    <w:p w:rsidR="00672193" w:rsidRPr="00CF41D2" w:rsidRDefault="00672193" w:rsidP="00672193">
      <w:pPr>
        <w:pStyle w:val="ListParagraph"/>
        <w:widowControl w:val="0"/>
        <w:numPr>
          <w:ilvl w:val="0"/>
          <w:numId w:val="41"/>
        </w:numPr>
        <w:overflowPunct w:val="0"/>
        <w:autoSpaceDE w:val="0"/>
        <w:autoSpaceDN w:val="0"/>
        <w:adjustRightInd w:val="0"/>
        <w:spacing w:after="100" w:line="360" w:lineRule="auto"/>
        <w:ind w:right="23"/>
        <w:jc w:val="both"/>
        <w:rPr>
          <w:bCs/>
          <w:szCs w:val="24"/>
        </w:rPr>
      </w:pPr>
      <w:r w:rsidRPr="00CF41D2">
        <w:rPr>
          <w:bCs/>
          <w:szCs w:val="24"/>
        </w:rPr>
        <w:t>Net interest income to total loan &amp;</w:t>
      </w:r>
    </w:p>
    <w:p w:rsidR="00672193" w:rsidRPr="00CF41D2" w:rsidRDefault="00672193" w:rsidP="00672193">
      <w:pPr>
        <w:widowControl w:val="0"/>
        <w:overflowPunct w:val="0"/>
        <w:autoSpaceDE w:val="0"/>
        <w:autoSpaceDN w:val="0"/>
        <w:adjustRightInd w:val="0"/>
        <w:spacing w:after="100" w:line="360" w:lineRule="auto"/>
        <w:ind w:right="23"/>
        <w:jc w:val="both"/>
        <w:rPr>
          <w:bCs/>
          <w:szCs w:val="24"/>
        </w:rPr>
      </w:pPr>
      <w:r w:rsidRPr="00CF41D2">
        <w:rPr>
          <w:bCs/>
          <w:szCs w:val="24"/>
        </w:rPr>
        <w:t xml:space="preserve">                 Advance</w:t>
      </w:r>
    </w:p>
    <w:p w:rsidR="00672193" w:rsidRPr="00CF41D2" w:rsidRDefault="00672193" w:rsidP="00672193">
      <w:pPr>
        <w:pStyle w:val="ListParagraph"/>
        <w:widowControl w:val="0"/>
        <w:autoSpaceDE w:val="0"/>
        <w:autoSpaceDN w:val="0"/>
        <w:adjustRightInd w:val="0"/>
        <w:spacing w:after="0" w:line="360" w:lineRule="auto"/>
        <w:ind w:left="1540"/>
        <w:rPr>
          <w:sz w:val="6"/>
          <w:szCs w:val="24"/>
        </w:rPr>
      </w:pPr>
    </w:p>
    <w:p w:rsidR="00672193" w:rsidRPr="00CF41D2" w:rsidRDefault="00672193" w:rsidP="00672193">
      <w:pPr>
        <w:widowControl w:val="0"/>
        <w:overflowPunct w:val="0"/>
        <w:autoSpaceDE w:val="0"/>
        <w:autoSpaceDN w:val="0"/>
        <w:adjustRightInd w:val="0"/>
        <w:spacing w:after="100" w:line="360" w:lineRule="auto"/>
        <w:ind w:right="23"/>
        <w:jc w:val="both"/>
        <w:rPr>
          <w:b/>
          <w:bCs/>
          <w:sz w:val="28"/>
          <w:szCs w:val="28"/>
        </w:rPr>
      </w:pPr>
      <w:r w:rsidRPr="00CF41D2">
        <w:rPr>
          <w:szCs w:val="24"/>
        </w:rPr>
        <w:t xml:space="preserve">        </w:t>
      </w:r>
      <w:r w:rsidRPr="00CF41D2">
        <w:rPr>
          <w:b/>
          <w:bCs/>
          <w:szCs w:val="24"/>
        </w:rPr>
        <w:t xml:space="preserve"> </w:t>
      </w:r>
      <w:r w:rsidRPr="00CF41D2">
        <w:rPr>
          <w:b/>
          <w:bCs/>
          <w:sz w:val="28"/>
          <w:szCs w:val="28"/>
        </w:rPr>
        <w:t>Liquidity</w:t>
      </w:r>
    </w:p>
    <w:p w:rsidR="00672193" w:rsidRPr="00CF41D2" w:rsidRDefault="00672193" w:rsidP="00672193">
      <w:pPr>
        <w:pStyle w:val="ListParagraph"/>
        <w:widowControl w:val="0"/>
        <w:numPr>
          <w:ilvl w:val="0"/>
          <w:numId w:val="41"/>
        </w:numPr>
        <w:autoSpaceDE w:val="0"/>
        <w:autoSpaceDN w:val="0"/>
        <w:adjustRightInd w:val="0"/>
        <w:spacing w:after="0" w:line="360" w:lineRule="auto"/>
        <w:rPr>
          <w:szCs w:val="24"/>
        </w:rPr>
      </w:pPr>
      <w:r w:rsidRPr="00CF41D2">
        <w:rPr>
          <w:szCs w:val="24"/>
        </w:rPr>
        <w:t>Loan to deposit ratio</w:t>
      </w:r>
    </w:p>
    <w:p w:rsidR="00672193" w:rsidRPr="00CF41D2" w:rsidRDefault="00672193" w:rsidP="00672193">
      <w:pPr>
        <w:spacing w:line="360" w:lineRule="auto"/>
        <w:rPr>
          <w:rFonts w:eastAsia="TimesNewRoman"/>
          <w:szCs w:val="24"/>
        </w:rPr>
      </w:pPr>
      <w:bookmarkStart w:id="52" w:name="_Toc511725928"/>
    </w:p>
    <w:p w:rsidR="00672193" w:rsidRPr="00CF41D2" w:rsidRDefault="00672193" w:rsidP="00672193">
      <w:pPr>
        <w:spacing w:line="360" w:lineRule="auto"/>
      </w:pPr>
    </w:p>
    <w:p w:rsidR="00672193" w:rsidRPr="00CF41D2" w:rsidRDefault="00672193" w:rsidP="00672193">
      <w:pPr>
        <w:pStyle w:val="Heading1"/>
        <w:spacing w:before="0" w:after="200" w:line="360" w:lineRule="auto"/>
        <w:jc w:val="center"/>
        <w:rPr>
          <w:rFonts w:cs="Times New Roman"/>
          <w:color w:val="auto"/>
        </w:rPr>
      </w:pPr>
      <w:bookmarkStart w:id="53" w:name="_Toc73104285"/>
      <w:r w:rsidRPr="00CF41D2">
        <w:rPr>
          <w:rFonts w:cs="Times New Roman"/>
          <w:color w:val="auto"/>
        </w:rPr>
        <w:lastRenderedPageBreak/>
        <w:t>CHAPTER THREE: RESEARCH METHODS</w:t>
      </w:r>
      <w:bookmarkEnd w:id="52"/>
      <w:bookmarkEnd w:id="53"/>
    </w:p>
    <w:p w:rsidR="00672193" w:rsidRPr="00CF41D2" w:rsidRDefault="00672193" w:rsidP="00672193">
      <w:pPr>
        <w:pStyle w:val="Heading2"/>
        <w:numPr>
          <w:ilvl w:val="1"/>
          <w:numId w:val="6"/>
        </w:numPr>
        <w:spacing w:before="0" w:after="200" w:line="360" w:lineRule="auto"/>
        <w:jc w:val="both"/>
        <w:rPr>
          <w:color w:val="auto"/>
        </w:rPr>
      </w:pPr>
      <w:bookmarkStart w:id="54" w:name="_Toc73104286"/>
      <w:r w:rsidRPr="00CF41D2">
        <w:rPr>
          <w:color w:val="auto"/>
        </w:rPr>
        <w:t>Research Approach</w:t>
      </w:r>
      <w:bookmarkEnd w:id="54"/>
    </w:p>
    <w:p w:rsidR="00672193" w:rsidRPr="00CF41D2" w:rsidRDefault="00672193" w:rsidP="00672193">
      <w:pPr>
        <w:autoSpaceDE w:val="0"/>
        <w:autoSpaceDN w:val="0"/>
        <w:adjustRightInd w:val="0"/>
        <w:spacing w:line="360" w:lineRule="auto"/>
        <w:jc w:val="both"/>
        <w:rPr>
          <w:iCs/>
          <w:szCs w:val="24"/>
        </w:rPr>
      </w:pPr>
      <w:r w:rsidRPr="00CF41D2">
        <w:rPr>
          <w:iCs/>
          <w:szCs w:val="24"/>
        </w:rPr>
        <w:t>This section describes how the research work was designed and the methods that the study employed in carry out the research undertaking. The main objective of this study was to analysis. The financial performance of CBE for the period covering from 2011 to year 2020.the research was Explanatory research that adapts a quantitative research design by using a secondary data.</w:t>
      </w:r>
    </w:p>
    <w:p w:rsidR="00672193" w:rsidRPr="00CF41D2" w:rsidRDefault="00672193" w:rsidP="00672193">
      <w:pPr>
        <w:pStyle w:val="Heading2"/>
        <w:numPr>
          <w:ilvl w:val="1"/>
          <w:numId w:val="6"/>
        </w:numPr>
        <w:spacing w:before="0" w:after="200" w:line="360" w:lineRule="auto"/>
        <w:jc w:val="both"/>
        <w:rPr>
          <w:color w:val="auto"/>
        </w:rPr>
      </w:pPr>
      <w:bookmarkStart w:id="55" w:name="_Toc73104287"/>
      <w:r w:rsidRPr="00CF41D2">
        <w:rPr>
          <w:color w:val="auto"/>
        </w:rPr>
        <w:t>Research Design</w:t>
      </w:r>
      <w:bookmarkEnd w:id="55"/>
      <w:r w:rsidRPr="00CF41D2">
        <w:rPr>
          <w:color w:val="auto"/>
        </w:rPr>
        <w:t xml:space="preserve"> </w:t>
      </w:r>
    </w:p>
    <w:p w:rsidR="00672193" w:rsidRPr="00CF41D2" w:rsidRDefault="00672193" w:rsidP="00672193">
      <w:pPr>
        <w:autoSpaceDE w:val="0"/>
        <w:autoSpaceDN w:val="0"/>
        <w:adjustRightInd w:val="0"/>
        <w:spacing w:line="360" w:lineRule="auto"/>
        <w:jc w:val="both"/>
        <w:rPr>
          <w:szCs w:val="24"/>
        </w:rPr>
      </w:pPr>
      <w:r w:rsidRPr="00CF41D2">
        <w:rPr>
          <w:rFonts w:eastAsia="TimesNewRoman"/>
          <w:szCs w:val="24"/>
        </w:rPr>
        <w:t xml:space="preserve">As the overall aim of the study was to </w:t>
      </w:r>
      <w:r w:rsidRPr="00CF41D2">
        <w:rPr>
          <w:szCs w:val="24"/>
        </w:rPr>
        <w:t>analyze and critically evaluate the already available financial data of CBE, the study employed an analytical research. In addition, a</w:t>
      </w:r>
      <w:r w:rsidRPr="00CF41D2">
        <w:rPr>
          <w:rFonts w:eastAsia="Times New Roman"/>
          <w:szCs w:val="24"/>
        </w:rPr>
        <w:t xml:space="preserve"> longitudinal </w:t>
      </w:r>
      <w:r w:rsidRPr="00CF41D2">
        <w:rPr>
          <w:szCs w:val="24"/>
        </w:rPr>
        <w:t xml:space="preserve">methodological approach was used </w:t>
      </w:r>
      <w:r w:rsidRPr="00CF41D2">
        <w:rPr>
          <w:rFonts w:eastAsia="Times New Roman"/>
          <w:szCs w:val="24"/>
        </w:rPr>
        <w:t>as time series financial data was gathered to measure the financial performance of CBE over a period of time</w:t>
      </w:r>
      <w:r w:rsidRPr="00CF41D2">
        <w:rPr>
          <w:szCs w:val="24"/>
        </w:rPr>
        <w:t>.</w:t>
      </w:r>
    </w:p>
    <w:p w:rsidR="00672193" w:rsidRPr="00CF41D2" w:rsidRDefault="00672193" w:rsidP="00672193">
      <w:pPr>
        <w:pStyle w:val="Heading2"/>
        <w:numPr>
          <w:ilvl w:val="1"/>
          <w:numId w:val="6"/>
        </w:numPr>
        <w:spacing w:before="0" w:after="200" w:line="360" w:lineRule="auto"/>
        <w:jc w:val="both"/>
        <w:rPr>
          <w:color w:val="auto"/>
        </w:rPr>
      </w:pPr>
      <w:bookmarkStart w:id="56" w:name="_Toc73104288"/>
      <w:r w:rsidRPr="00CF41D2">
        <w:rPr>
          <w:color w:val="auto"/>
        </w:rPr>
        <w:t>Data Type and Source</w:t>
      </w:r>
      <w:bookmarkEnd w:id="56"/>
    </w:p>
    <w:p w:rsidR="00672193" w:rsidRPr="00CF41D2" w:rsidRDefault="00672193" w:rsidP="00672193">
      <w:pPr>
        <w:spacing w:line="360" w:lineRule="auto"/>
        <w:jc w:val="both"/>
        <w:rPr>
          <w:szCs w:val="24"/>
        </w:rPr>
      </w:pPr>
      <w:r w:rsidRPr="00CF41D2">
        <w:rPr>
          <w:szCs w:val="24"/>
        </w:rPr>
        <w:t>Based on the objectives of the study, the study was entirely depends on secondary type of time series data. Audited financial statements of CBE available on the bank’s website for a period of 10 years used as a source for secondary data. The justification for time frame of 10 years (from 2011-2020) was based on the objective of evaluating the financial performance of CBE during its first and second strategic plan period (from 2011-2020); including 2010 as a ba</w:t>
      </w:r>
      <w:r>
        <w:rPr>
          <w:szCs w:val="24"/>
        </w:rPr>
        <w:t xml:space="preserve">se year; and year 2016 and 2020 </w:t>
      </w:r>
      <w:r w:rsidRPr="00CF41D2">
        <w:rPr>
          <w:szCs w:val="24"/>
        </w:rPr>
        <w:t>from the recent performance period</w:t>
      </w:r>
    </w:p>
    <w:p w:rsidR="00672193" w:rsidRPr="00CF41D2" w:rsidRDefault="00672193" w:rsidP="00672193">
      <w:pPr>
        <w:pStyle w:val="Heading2"/>
        <w:numPr>
          <w:ilvl w:val="1"/>
          <w:numId w:val="6"/>
        </w:numPr>
        <w:spacing w:before="0" w:after="200" w:line="360" w:lineRule="auto"/>
        <w:jc w:val="both"/>
        <w:rPr>
          <w:color w:val="auto"/>
        </w:rPr>
      </w:pPr>
      <w:bookmarkStart w:id="57" w:name="_Toc73104289"/>
      <w:r w:rsidRPr="00CF41D2">
        <w:rPr>
          <w:color w:val="auto"/>
        </w:rPr>
        <w:t>Data Collection Methods and Procedures</w:t>
      </w:r>
      <w:bookmarkEnd w:id="57"/>
    </w:p>
    <w:p w:rsidR="00672193" w:rsidRPr="00CF41D2" w:rsidRDefault="00672193" w:rsidP="00672193">
      <w:pPr>
        <w:autoSpaceDE w:val="0"/>
        <w:autoSpaceDN w:val="0"/>
        <w:adjustRightInd w:val="0"/>
        <w:spacing w:line="360" w:lineRule="auto"/>
        <w:jc w:val="both"/>
        <w:rPr>
          <w:szCs w:val="24"/>
        </w:rPr>
      </w:pPr>
      <w:r w:rsidRPr="00CF41D2">
        <w:rPr>
          <w:szCs w:val="24"/>
        </w:rPr>
        <w:t xml:space="preserve">To achieve the study purpose, structured review of the Audited financial statements was used to collect the required secondary data. In addition, to obtain the required secondary data, the researcher computed the required financial ratios to fit for further analysis. </w:t>
      </w:r>
    </w:p>
    <w:p w:rsidR="00672193" w:rsidRPr="00CF41D2" w:rsidRDefault="00672193" w:rsidP="00672193">
      <w:pPr>
        <w:pStyle w:val="Heading2"/>
        <w:numPr>
          <w:ilvl w:val="1"/>
          <w:numId w:val="6"/>
        </w:numPr>
        <w:spacing w:before="0" w:line="360" w:lineRule="auto"/>
        <w:jc w:val="both"/>
        <w:rPr>
          <w:color w:val="auto"/>
        </w:rPr>
      </w:pPr>
      <w:bookmarkStart w:id="58" w:name="_Toc73104290"/>
      <w:r w:rsidRPr="00CF41D2">
        <w:rPr>
          <w:color w:val="auto"/>
        </w:rPr>
        <w:t>Data Processing and Analysis</w:t>
      </w:r>
      <w:bookmarkEnd w:id="58"/>
    </w:p>
    <w:p w:rsidR="00672193" w:rsidRPr="00CF41D2" w:rsidRDefault="00672193" w:rsidP="00672193">
      <w:pPr>
        <w:autoSpaceDE w:val="0"/>
        <w:autoSpaceDN w:val="0"/>
        <w:adjustRightInd w:val="0"/>
        <w:spacing w:line="360" w:lineRule="auto"/>
        <w:jc w:val="both"/>
        <w:rPr>
          <w:szCs w:val="24"/>
        </w:rPr>
      </w:pPr>
      <w:r w:rsidRPr="00CF41D2">
        <w:rPr>
          <w:szCs w:val="24"/>
        </w:rPr>
        <w:t xml:space="preserve">To comply with its objective, the study was bases on time series data, which are collected through structured review of audited financial statements. Thus, the collected time series data are analyzed using descriptive analysis methods. </w:t>
      </w:r>
    </w:p>
    <w:p w:rsidR="00672193" w:rsidRPr="00CF41D2" w:rsidRDefault="00672193" w:rsidP="00672193">
      <w:pPr>
        <w:autoSpaceDE w:val="0"/>
        <w:autoSpaceDN w:val="0"/>
        <w:adjustRightInd w:val="0"/>
        <w:spacing w:line="360" w:lineRule="auto"/>
        <w:jc w:val="both"/>
        <w:rPr>
          <w:szCs w:val="24"/>
        </w:rPr>
      </w:pPr>
      <w:r w:rsidRPr="00CF41D2">
        <w:rPr>
          <w:szCs w:val="24"/>
        </w:rPr>
        <w:lastRenderedPageBreak/>
        <w:t xml:space="preserve">As part of descriptive analysis, mean, minimum and maximum values are used to summarize and give a condensed picture of the quantitative data. The aforementioned methodology was </w:t>
      </w:r>
      <w:proofErr w:type="gramStart"/>
      <w:r w:rsidRPr="00CF41D2">
        <w:rPr>
          <w:szCs w:val="24"/>
        </w:rPr>
        <w:t>find</w:t>
      </w:r>
      <w:proofErr w:type="gramEnd"/>
      <w:r w:rsidRPr="00CF41D2">
        <w:rPr>
          <w:szCs w:val="24"/>
        </w:rPr>
        <w:t xml:space="preserve"> the fact that considering the study conducted by </w:t>
      </w:r>
      <w:proofErr w:type="spellStart"/>
      <w:r w:rsidRPr="00CF41D2">
        <w:rPr>
          <w:szCs w:val="24"/>
        </w:rPr>
        <w:t>Muhabie</w:t>
      </w:r>
      <w:proofErr w:type="spellEnd"/>
      <w:r w:rsidRPr="00CF41D2">
        <w:rPr>
          <w:szCs w:val="24"/>
        </w:rPr>
        <w:t xml:space="preserve"> (2015); and </w:t>
      </w:r>
      <w:proofErr w:type="spellStart"/>
      <w:r w:rsidRPr="00CF41D2">
        <w:rPr>
          <w:szCs w:val="24"/>
        </w:rPr>
        <w:t>Ermias</w:t>
      </w:r>
      <w:proofErr w:type="spellEnd"/>
      <w:r w:rsidRPr="00CF41D2">
        <w:rPr>
          <w:szCs w:val="24"/>
        </w:rPr>
        <w:t xml:space="preserve"> (2017) in available literature. The results presented using tables and figures. </w:t>
      </w:r>
      <w:proofErr w:type="gramStart"/>
      <w:r w:rsidRPr="00CF41D2">
        <w:rPr>
          <w:szCs w:val="24"/>
        </w:rPr>
        <w:t>Using Microsoft Excel 2007.</w:t>
      </w:r>
      <w:proofErr w:type="gramEnd"/>
    </w:p>
    <w:p w:rsidR="00672193" w:rsidRPr="00CF41D2" w:rsidRDefault="00672193" w:rsidP="00672193">
      <w:pPr>
        <w:pStyle w:val="ListParagraph"/>
        <w:numPr>
          <w:ilvl w:val="1"/>
          <w:numId w:val="6"/>
        </w:numPr>
        <w:autoSpaceDE w:val="0"/>
        <w:autoSpaceDN w:val="0"/>
        <w:adjustRightInd w:val="0"/>
        <w:spacing w:line="360" w:lineRule="auto"/>
        <w:jc w:val="both"/>
        <w:rPr>
          <w:b/>
          <w:sz w:val="26"/>
          <w:szCs w:val="26"/>
        </w:rPr>
      </w:pPr>
      <w:r w:rsidRPr="00CF41D2">
        <w:rPr>
          <w:b/>
          <w:sz w:val="26"/>
          <w:szCs w:val="26"/>
        </w:rPr>
        <w:t>Ethical Consideration</w:t>
      </w:r>
    </w:p>
    <w:p w:rsidR="00672193" w:rsidRPr="00CF41D2" w:rsidRDefault="00672193" w:rsidP="00672193">
      <w:pPr>
        <w:pStyle w:val="ListParagraph"/>
        <w:autoSpaceDE w:val="0"/>
        <w:autoSpaceDN w:val="0"/>
        <w:adjustRightInd w:val="0"/>
        <w:spacing w:line="360" w:lineRule="auto"/>
        <w:ind w:left="90"/>
        <w:jc w:val="both"/>
        <w:rPr>
          <w:szCs w:val="24"/>
        </w:rPr>
      </w:pPr>
      <w:r w:rsidRPr="00CF41D2">
        <w:rPr>
          <w:szCs w:val="24"/>
        </w:rPr>
        <w:t>The research give due consideration to collect secondary data and present the result of the research without any deviation from the findings.</w:t>
      </w:r>
    </w:p>
    <w:p w:rsidR="00672193" w:rsidRPr="004925D2" w:rsidRDefault="00672193" w:rsidP="00672193">
      <w:pPr>
        <w:pStyle w:val="ListParagraph"/>
        <w:autoSpaceDE w:val="0"/>
        <w:autoSpaceDN w:val="0"/>
        <w:adjustRightInd w:val="0"/>
        <w:spacing w:line="360" w:lineRule="auto"/>
        <w:ind w:left="90"/>
        <w:jc w:val="both"/>
        <w:rPr>
          <w:szCs w:val="24"/>
        </w:rPr>
      </w:pPr>
      <w:r w:rsidRPr="00CF41D2">
        <w:rPr>
          <w:szCs w:val="24"/>
        </w:rPr>
        <w:t>Finally, the researcher gives full acknowledgment to all reference materials used for the study.</w:t>
      </w:r>
    </w:p>
    <w:bookmarkEnd w:id="0"/>
    <w:p w:rsidR="00672193" w:rsidRDefault="00672193" w:rsidP="00672193">
      <w:pPr>
        <w:spacing w:after="100" w:line="360" w:lineRule="auto"/>
        <w:rPr>
          <w:rFonts w:eastAsia="TimesNewRoman"/>
          <w:szCs w:val="24"/>
        </w:rPr>
      </w:pPr>
    </w:p>
    <w:p w:rsidR="00672193" w:rsidRDefault="00672193" w:rsidP="00672193">
      <w:pPr>
        <w:spacing w:after="100" w:line="360" w:lineRule="auto"/>
        <w:rPr>
          <w:rFonts w:eastAsia="TimesNewRoman"/>
          <w:szCs w:val="24"/>
        </w:rPr>
      </w:pPr>
    </w:p>
    <w:p w:rsidR="00672193" w:rsidRDefault="00672193" w:rsidP="00672193">
      <w:pPr>
        <w:spacing w:after="100" w:line="360" w:lineRule="auto"/>
        <w:rPr>
          <w:rFonts w:eastAsia="TimesNewRoman"/>
          <w:szCs w:val="24"/>
        </w:rPr>
      </w:pPr>
    </w:p>
    <w:p w:rsidR="00672193" w:rsidRDefault="00672193" w:rsidP="00672193">
      <w:pPr>
        <w:spacing w:after="100" w:line="360" w:lineRule="auto"/>
        <w:rPr>
          <w:rFonts w:eastAsia="TimesNewRoman"/>
          <w:szCs w:val="24"/>
        </w:rPr>
      </w:pPr>
    </w:p>
    <w:p w:rsidR="0008124E" w:rsidRDefault="0008124E" w:rsidP="00672193">
      <w:pPr>
        <w:spacing w:after="100" w:line="360" w:lineRule="auto"/>
        <w:rPr>
          <w:rFonts w:eastAsia="TimesNewRoman"/>
          <w:szCs w:val="24"/>
        </w:rPr>
      </w:pPr>
    </w:p>
    <w:p w:rsidR="0008124E" w:rsidRDefault="0008124E" w:rsidP="00672193">
      <w:pPr>
        <w:spacing w:after="100" w:line="360" w:lineRule="auto"/>
        <w:rPr>
          <w:rFonts w:eastAsia="TimesNewRoman"/>
          <w:szCs w:val="24"/>
        </w:rPr>
      </w:pPr>
    </w:p>
    <w:p w:rsidR="0008124E" w:rsidRDefault="0008124E" w:rsidP="00672193">
      <w:pPr>
        <w:spacing w:after="100" w:line="360" w:lineRule="auto"/>
        <w:rPr>
          <w:rFonts w:eastAsia="TimesNewRoman"/>
          <w:szCs w:val="24"/>
        </w:rPr>
      </w:pPr>
    </w:p>
    <w:p w:rsidR="0008124E" w:rsidRDefault="0008124E" w:rsidP="00672193">
      <w:pPr>
        <w:spacing w:after="100" w:line="360" w:lineRule="auto"/>
        <w:rPr>
          <w:rFonts w:eastAsia="TimesNewRoman"/>
          <w:szCs w:val="24"/>
        </w:rPr>
      </w:pPr>
    </w:p>
    <w:p w:rsidR="0008124E" w:rsidRDefault="0008124E" w:rsidP="00672193">
      <w:pPr>
        <w:spacing w:after="100" w:line="360" w:lineRule="auto"/>
        <w:rPr>
          <w:rFonts w:eastAsia="TimesNewRoman"/>
          <w:szCs w:val="24"/>
        </w:rPr>
      </w:pPr>
    </w:p>
    <w:p w:rsidR="0008124E" w:rsidRDefault="0008124E" w:rsidP="00672193">
      <w:pPr>
        <w:spacing w:after="100" w:line="360" w:lineRule="auto"/>
        <w:rPr>
          <w:rFonts w:eastAsia="TimesNewRoman"/>
          <w:szCs w:val="24"/>
        </w:rPr>
      </w:pPr>
    </w:p>
    <w:p w:rsidR="0008124E" w:rsidRDefault="0008124E" w:rsidP="00672193">
      <w:pPr>
        <w:spacing w:after="100" w:line="360" w:lineRule="auto"/>
        <w:rPr>
          <w:rFonts w:eastAsia="TimesNewRoman"/>
          <w:szCs w:val="24"/>
        </w:rPr>
      </w:pPr>
    </w:p>
    <w:p w:rsidR="0008124E" w:rsidRDefault="0008124E" w:rsidP="00672193">
      <w:pPr>
        <w:spacing w:after="100" w:line="360" w:lineRule="auto"/>
        <w:rPr>
          <w:rFonts w:eastAsia="TimesNewRoman"/>
          <w:szCs w:val="24"/>
        </w:rPr>
      </w:pPr>
    </w:p>
    <w:p w:rsidR="0008124E" w:rsidRDefault="0008124E" w:rsidP="00672193">
      <w:pPr>
        <w:spacing w:after="100" w:line="360" w:lineRule="auto"/>
        <w:rPr>
          <w:rFonts w:eastAsia="TimesNewRoman"/>
          <w:szCs w:val="24"/>
        </w:rPr>
      </w:pPr>
    </w:p>
    <w:p w:rsidR="003F67CC" w:rsidRDefault="003F67CC" w:rsidP="00672193">
      <w:pPr>
        <w:spacing w:after="100" w:line="360" w:lineRule="auto"/>
        <w:rPr>
          <w:rFonts w:eastAsia="TimesNewRoman"/>
          <w:szCs w:val="24"/>
        </w:rPr>
      </w:pPr>
    </w:p>
    <w:p w:rsidR="003F67CC" w:rsidRDefault="003F67CC" w:rsidP="00672193">
      <w:pPr>
        <w:spacing w:after="100" w:line="360" w:lineRule="auto"/>
        <w:rPr>
          <w:rFonts w:eastAsia="TimesNewRoman"/>
          <w:szCs w:val="24"/>
        </w:rPr>
      </w:pPr>
    </w:p>
    <w:p w:rsidR="00672193" w:rsidRPr="00CF41D2" w:rsidRDefault="00672193" w:rsidP="00672193">
      <w:pPr>
        <w:spacing w:after="100" w:line="360" w:lineRule="auto"/>
        <w:rPr>
          <w:rFonts w:eastAsia="TimesNewRoman"/>
          <w:szCs w:val="24"/>
        </w:rPr>
      </w:pPr>
    </w:p>
    <w:p w:rsidR="00672193" w:rsidRPr="00CF41D2" w:rsidRDefault="00672193" w:rsidP="00672193">
      <w:pPr>
        <w:pStyle w:val="Heading1"/>
        <w:spacing w:before="0" w:after="100" w:line="360" w:lineRule="auto"/>
        <w:jc w:val="center"/>
        <w:rPr>
          <w:rFonts w:cs="Times New Roman"/>
          <w:color w:val="auto"/>
          <w:sz w:val="24"/>
          <w:szCs w:val="24"/>
        </w:rPr>
      </w:pPr>
      <w:bookmarkStart w:id="59" w:name="_Toc511725945"/>
      <w:bookmarkStart w:id="60" w:name="_Toc519167261"/>
      <w:bookmarkStart w:id="61" w:name="_Toc73104291"/>
      <w:r w:rsidRPr="00CF41D2">
        <w:rPr>
          <w:rFonts w:cs="Times New Roman"/>
          <w:color w:val="auto"/>
          <w:sz w:val="24"/>
          <w:szCs w:val="24"/>
        </w:rPr>
        <w:lastRenderedPageBreak/>
        <w:t xml:space="preserve">CHAPTER FOUR: </w:t>
      </w:r>
      <w:bookmarkEnd w:id="59"/>
      <w:r w:rsidRPr="00CF41D2">
        <w:rPr>
          <w:rFonts w:cs="Times New Roman"/>
          <w:color w:val="auto"/>
          <w:sz w:val="24"/>
          <w:szCs w:val="24"/>
        </w:rPr>
        <w:t>DATA ANALAYSIS AND INTERPRETATION</w:t>
      </w:r>
      <w:bookmarkEnd w:id="60"/>
      <w:bookmarkEnd w:id="61"/>
    </w:p>
    <w:p w:rsidR="00672193" w:rsidRPr="00CF41D2" w:rsidRDefault="00672193" w:rsidP="00672193">
      <w:pPr>
        <w:pStyle w:val="Heading2"/>
        <w:numPr>
          <w:ilvl w:val="1"/>
          <w:numId w:val="11"/>
        </w:numPr>
        <w:spacing w:before="0" w:after="100" w:line="360" w:lineRule="auto"/>
        <w:jc w:val="both"/>
        <w:rPr>
          <w:rFonts w:eastAsia="TimesNewRoman"/>
          <w:color w:val="auto"/>
        </w:rPr>
      </w:pPr>
      <w:bookmarkStart w:id="62" w:name="_Toc511725946"/>
      <w:bookmarkStart w:id="63" w:name="_Toc519167262"/>
      <w:bookmarkStart w:id="64" w:name="_Toc73104292"/>
      <w:r w:rsidRPr="00CF41D2">
        <w:rPr>
          <w:rFonts w:eastAsia="TimesNewRoman"/>
          <w:color w:val="auto"/>
        </w:rPr>
        <w:t>Introduction</w:t>
      </w:r>
      <w:bookmarkEnd w:id="62"/>
      <w:bookmarkEnd w:id="63"/>
      <w:bookmarkEnd w:id="64"/>
      <w:r w:rsidRPr="00CF41D2">
        <w:rPr>
          <w:rFonts w:eastAsia="TimesNewRoman"/>
          <w:color w:val="auto"/>
        </w:rPr>
        <w:t xml:space="preserve"> </w:t>
      </w:r>
    </w:p>
    <w:p w:rsidR="00672193" w:rsidRPr="00CF41D2" w:rsidRDefault="00672193" w:rsidP="00672193">
      <w:pPr>
        <w:spacing w:after="100" w:line="360" w:lineRule="auto"/>
        <w:jc w:val="both"/>
        <w:rPr>
          <w:rFonts w:eastAsia="TimesNewRoman"/>
          <w:szCs w:val="24"/>
        </w:rPr>
      </w:pPr>
      <w:r w:rsidRPr="00CF41D2">
        <w:rPr>
          <w:rFonts w:eastAsia="TimesNewRoman"/>
          <w:szCs w:val="24"/>
        </w:rPr>
        <w:t xml:space="preserve">This section analyzes the financial performance of CBE by classifying in to five sections, the first section analyze the capital adequacy of the bank, the second section analyze the asset quality of the bank, the third section analyze the management efficiency of the bank, the fourth section analyze the earning ability of the bank and the final part analyze liquidity performance of the bank. </w:t>
      </w:r>
    </w:p>
    <w:p w:rsidR="00672193" w:rsidRPr="00CF41D2" w:rsidRDefault="00672193" w:rsidP="00672193">
      <w:pPr>
        <w:pStyle w:val="Heading2"/>
        <w:numPr>
          <w:ilvl w:val="1"/>
          <w:numId w:val="11"/>
        </w:numPr>
        <w:spacing w:before="0" w:after="100" w:line="360" w:lineRule="auto"/>
        <w:ind w:left="357" w:hanging="357"/>
        <w:jc w:val="both"/>
        <w:rPr>
          <w:rFonts w:eastAsia="TimesNewRoman"/>
          <w:color w:val="auto"/>
        </w:rPr>
      </w:pPr>
      <w:bookmarkStart w:id="65" w:name="_Toc519167263"/>
      <w:bookmarkStart w:id="66" w:name="_Toc73104293"/>
      <w:r w:rsidRPr="00CF41D2">
        <w:rPr>
          <w:rFonts w:eastAsia="TimesNewRoman"/>
          <w:color w:val="auto"/>
        </w:rPr>
        <w:t>Capital Adequacy Performance Analysis</w:t>
      </w:r>
      <w:bookmarkEnd w:id="65"/>
      <w:bookmarkEnd w:id="66"/>
    </w:p>
    <w:p w:rsidR="00672193" w:rsidRPr="00CF41D2" w:rsidRDefault="00672193" w:rsidP="00672193">
      <w:pPr>
        <w:widowControl w:val="0"/>
        <w:overflowPunct w:val="0"/>
        <w:autoSpaceDE w:val="0"/>
        <w:autoSpaceDN w:val="0"/>
        <w:adjustRightInd w:val="0"/>
        <w:spacing w:after="0" w:line="360" w:lineRule="auto"/>
        <w:jc w:val="both"/>
        <w:rPr>
          <w:rFonts w:eastAsia="TimesNewRoman"/>
          <w:noProof/>
          <w:szCs w:val="24"/>
        </w:rPr>
      </w:pPr>
      <w:r w:rsidRPr="00CF41D2">
        <w:rPr>
          <w:rFonts w:eastAsia="TimesNewRoman"/>
          <w:szCs w:val="24"/>
        </w:rPr>
        <w:t>Capital adequacy is a reflection of the inner strength of banks, which would stand it in good stead during the times of crisis. Capital adequacy is the capital to maintain the balance with the risk exposure of the financial institution in order to absorb the potential loss; protect the financial institution’s debt holder and meeting a minimum level of regulatory requirement. The study measured capital adequacy performance of CBE as the ratio of total capital to total asset. Figure 2 below shows the capital adequacy performance of CBE commencing from 2011 to 2020.</w:t>
      </w:r>
      <w:r w:rsidRPr="00CF41D2">
        <w:rPr>
          <w:rFonts w:eastAsia="TimesNewRoman"/>
          <w:noProof/>
          <w:szCs w:val="24"/>
        </w:rPr>
        <w:t xml:space="preserve"> </w:t>
      </w:r>
    </w:p>
    <w:p w:rsidR="00672193" w:rsidRPr="00CF41D2" w:rsidRDefault="00672193" w:rsidP="00672193">
      <w:pPr>
        <w:widowControl w:val="0"/>
        <w:overflowPunct w:val="0"/>
        <w:autoSpaceDE w:val="0"/>
        <w:autoSpaceDN w:val="0"/>
        <w:adjustRightInd w:val="0"/>
        <w:spacing w:after="0" w:line="360" w:lineRule="auto"/>
        <w:jc w:val="both"/>
        <w:rPr>
          <w:rFonts w:eastAsia="TimesNewRoman"/>
          <w:szCs w:val="24"/>
        </w:rPr>
      </w:pPr>
      <w:r w:rsidRPr="00CF41D2">
        <w:rPr>
          <w:rFonts w:eastAsia="TimesNewRoman"/>
          <w:noProof/>
          <w:szCs w:val="24"/>
        </w:rPr>
        <w:drawing>
          <wp:inline distT="0" distB="0" distL="0" distR="0">
            <wp:extent cx="5343525" cy="2647950"/>
            <wp:effectExtent l="19050" t="0" r="9525" b="0"/>
            <wp:docPr id="1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72193" w:rsidRPr="00CF41D2" w:rsidRDefault="00672193" w:rsidP="00672193">
      <w:pPr>
        <w:pStyle w:val="Caption"/>
        <w:spacing w:line="360" w:lineRule="auto"/>
        <w:jc w:val="center"/>
        <w:rPr>
          <w:rFonts w:eastAsia="TimesNewRoman"/>
          <w:b w:val="0"/>
          <w:color w:val="auto"/>
          <w:sz w:val="24"/>
          <w:szCs w:val="24"/>
        </w:rPr>
      </w:pPr>
      <w:r w:rsidRPr="00CF41D2">
        <w:rPr>
          <w:b w:val="0"/>
          <w:color w:val="auto"/>
          <w:sz w:val="24"/>
          <w:szCs w:val="24"/>
        </w:rPr>
        <w:t>Figure 2:  Capital Adequacy Performance of CBE from 2011 to 2020</w:t>
      </w:r>
    </w:p>
    <w:p w:rsidR="00672193" w:rsidRPr="00CF41D2" w:rsidRDefault="00672193" w:rsidP="00672193">
      <w:pPr>
        <w:widowControl w:val="0"/>
        <w:overflowPunct w:val="0"/>
        <w:autoSpaceDE w:val="0"/>
        <w:autoSpaceDN w:val="0"/>
        <w:adjustRightInd w:val="0"/>
        <w:spacing w:after="0" w:line="360" w:lineRule="auto"/>
        <w:jc w:val="both"/>
        <w:rPr>
          <w:rFonts w:eastAsia="TimesNewRoman"/>
          <w:szCs w:val="24"/>
        </w:rPr>
      </w:pPr>
      <w:r w:rsidRPr="00CF41D2">
        <w:rPr>
          <w:rFonts w:eastAsia="TimesNewRoman"/>
          <w:szCs w:val="24"/>
        </w:rPr>
        <w:t xml:space="preserve">                      Source: CBE’s Annual Reports (2011-2020)</w:t>
      </w:r>
    </w:p>
    <w:p w:rsidR="00672193" w:rsidRPr="00CF41D2" w:rsidRDefault="00672193" w:rsidP="00672193">
      <w:pPr>
        <w:widowControl w:val="0"/>
        <w:overflowPunct w:val="0"/>
        <w:autoSpaceDE w:val="0"/>
        <w:autoSpaceDN w:val="0"/>
        <w:adjustRightInd w:val="0"/>
        <w:spacing w:after="0" w:line="360" w:lineRule="auto"/>
        <w:jc w:val="both"/>
        <w:rPr>
          <w:rFonts w:eastAsia="TimesNewRoman"/>
          <w:szCs w:val="24"/>
        </w:rPr>
      </w:pPr>
      <w:r w:rsidRPr="00CF41D2">
        <w:rPr>
          <w:rFonts w:eastAsia="TimesNewRoman"/>
          <w:szCs w:val="24"/>
        </w:rPr>
        <w:t>When it measured the capital adequacy performance of CBE, the analysis result in the above figure 2 indicate that, the bank maintained increase the performance during the study period commencing from 2011-2020. The table below shows the overall capital adequacy performance of CBE throughout the study period.</w:t>
      </w:r>
    </w:p>
    <w:p w:rsidR="00832D49" w:rsidRPr="00832D49" w:rsidRDefault="00672193" w:rsidP="00832D49">
      <w:pPr>
        <w:pStyle w:val="Caption"/>
        <w:keepNext/>
        <w:spacing w:line="360" w:lineRule="auto"/>
        <w:rPr>
          <w:b w:val="0"/>
          <w:color w:val="auto"/>
          <w:sz w:val="24"/>
          <w:szCs w:val="24"/>
        </w:rPr>
      </w:pPr>
      <w:r w:rsidRPr="00CF41D2">
        <w:rPr>
          <w:b w:val="0"/>
          <w:color w:val="auto"/>
          <w:sz w:val="24"/>
          <w:szCs w:val="24"/>
        </w:rPr>
        <w:lastRenderedPageBreak/>
        <w:t>Table 4.1:  The Overall Capital Adequacy Performance of CBE from 2011 to 2020</w:t>
      </w:r>
    </w:p>
    <w:tbl>
      <w:tblPr>
        <w:tblStyle w:val="TableGrid"/>
        <w:tblW w:w="5000" w:type="pct"/>
        <w:tblLook w:val="04A0"/>
      </w:tblPr>
      <w:tblGrid>
        <w:gridCol w:w="1171"/>
        <w:gridCol w:w="1208"/>
        <w:gridCol w:w="1858"/>
        <w:gridCol w:w="1915"/>
        <w:gridCol w:w="3424"/>
      </w:tblGrid>
      <w:tr w:rsidR="00672193" w:rsidRPr="00CF41D2" w:rsidTr="00642B54">
        <w:tc>
          <w:tcPr>
            <w:tcW w:w="611" w:type="pct"/>
          </w:tcPr>
          <w:p w:rsidR="00672193" w:rsidRPr="00CF41D2" w:rsidRDefault="00672193" w:rsidP="00642B54">
            <w:pPr>
              <w:spacing w:line="360" w:lineRule="auto"/>
              <w:rPr>
                <w:b/>
                <w:szCs w:val="24"/>
              </w:rPr>
            </w:pPr>
            <w:r w:rsidRPr="00CF41D2">
              <w:rPr>
                <w:b/>
                <w:szCs w:val="24"/>
              </w:rPr>
              <w:t>Ratio</w:t>
            </w:r>
          </w:p>
        </w:tc>
        <w:tc>
          <w:tcPr>
            <w:tcW w:w="631" w:type="pct"/>
          </w:tcPr>
          <w:p w:rsidR="00672193" w:rsidRPr="00CF41D2" w:rsidRDefault="00672193" w:rsidP="00642B54">
            <w:pPr>
              <w:spacing w:line="360" w:lineRule="auto"/>
              <w:rPr>
                <w:b/>
                <w:szCs w:val="24"/>
              </w:rPr>
            </w:pPr>
            <w:r w:rsidRPr="00CF41D2">
              <w:rPr>
                <w:b/>
                <w:szCs w:val="24"/>
              </w:rPr>
              <w:t>Mean</w:t>
            </w:r>
          </w:p>
        </w:tc>
        <w:tc>
          <w:tcPr>
            <w:tcW w:w="970" w:type="pct"/>
          </w:tcPr>
          <w:p w:rsidR="00672193" w:rsidRPr="00CF41D2" w:rsidRDefault="00672193" w:rsidP="00642B54">
            <w:pPr>
              <w:spacing w:line="360" w:lineRule="auto"/>
              <w:rPr>
                <w:b/>
                <w:szCs w:val="24"/>
              </w:rPr>
            </w:pPr>
            <w:r w:rsidRPr="00CF41D2">
              <w:rPr>
                <w:b/>
                <w:szCs w:val="24"/>
              </w:rPr>
              <w:t>Minimum</w:t>
            </w:r>
          </w:p>
        </w:tc>
        <w:tc>
          <w:tcPr>
            <w:tcW w:w="1000" w:type="pct"/>
          </w:tcPr>
          <w:p w:rsidR="00672193" w:rsidRPr="00CF41D2" w:rsidRDefault="00672193" w:rsidP="00642B54">
            <w:pPr>
              <w:spacing w:line="360" w:lineRule="auto"/>
              <w:rPr>
                <w:b/>
                <w:szCs w:val="24"/>
              </w:rPr>
            </w:pPr>
            <w:r w:rsidRPr="00CF41D2">
              <w:rPr>
                <w:b/>
                <w:szCs w:val="24"/>
              </w:rPr>
              <w:t>Maximum</w:t>
            </w:r>
          </w:p>
        </w:tc>
        <w:tc>
          <w:tcPr>
            <w:tcW w:w="1788" w:type="pct"/>
          </w:tcPr>
          <w:p w:rsidR="00672193" w:rsidRPr="00CF41D2" w:rsidRDefault="00672193" w:rsidP="00642B54">
            <w:pPr>
              <w:spacing w:line="360" w:lineRule="auto"/>
              <w:rPr>
                <w:b/>
                <w:szCs w:val="24"/>
              </w:rPr>
            </w:pPr>
            <w:r w:rsidRPr="00CF41D2">
              <w:rPr>
                <w:b/>
                <w:szCs w:val="24"/>
              </w:rPr>
              <w:t>The AIA’s Standard</w:t>
            </w:r>
          </w:p>
        </w:tc>
      </w:tr>
      <w:tr w:rsidR="00672193" w:rsidRPr="00CF41D2" w:rsidTr="00642B54">
        <w:tc>
          <w:tcPr>
            <w:tcW w:w="611" w:type="pct"/>
          </w:tcPr>
          <w:p w:rsidR="00672193" w:rsidRPr="00CF41D2" w:rsidRDefault="00672193" w:rsidP="00642B54">
            <w:pPr>
              <w:spacing w:line="360" w:lineRule="auto"/>
              <w:rPr>
                <w:szCs w:val="24"/>
              </w:rPr>
            </w:pPr>
            <w:r w:rsidRPr="00CF41D2">
              <w:rPr>
                <w:szCs w:val="24"/>
              </w:rPr>
              <w:t>CAR</w:t>
            </w:r>
          </w:p>
        </w:tc>
        <w:tc>
          <w:tcPr>
            <w:tcW w:w="631" w:type="pct"/>
          </w:tcPr>
          <w:p w:rsidR="00672193" w:rsidRPr="00CF41D2" w:rsidRDefault="00672193" w:rsidP="00642B54">
            <w:pPr>
              <w:spacing w:line="360" w:lineRule="auto"/>
              <w:rPr>
                <w:szCs w:val="24"/>
              </w:rPr>
            </w:pPr>
            <w:r w:rsidRPr="00CF41D2">
              <w:rPr>
                <w:szCs w:val="24"/>
              </w:rPr>
              <w:t>18.25%</w:t>
            </w:r>
          </w:p>
        </w:tc>
        <w:tc>
          <w:tcPr>
            <w:tcW w:w="970" w:type="pct"/>
          </w:tcPr>
          <w:p w:rsidR="00672193" w:rsidRPr="00CF41D2" w:rsidRDefault="00672193" w:rsidP="00642B54">
            <w:pPr>
              <w:spacing w:line="360" w:lineRule="auto"/>
              <w:rPr>
                <w:szCs w:val="24"/>
              </w:rPr>
            </w:pPr>
            <w:r w:rsidRPr="00CF41D2">
              <w:rPr>
                <w:szCs w:val="24"/>
              </w:rPr>
              <w:t>9.2%</w:t>
            </w:r>
          </w:p>
        </w:tc>
        <w:tc>
          <w:tcPr>
            <w:tcW w:w="1000" w:type="pct"/>
          </w:tcPr>
          <w:p w:rsidR="00672193" w:rsidRPr="00CF41D2" w:rsidRDefault="00672193" w:rsidP="00642B54">
            <w:pPr>
              <w:spacing w:line="360" w:lineRule="auto"/>
              <w:rPr>
                <w:szCs w:val="24"/>
              </w:rPr>
            </w:pPr>
            <w:r w:rsidRPr="00CF41D2">
              <w:rPr>
                <w:szCs w:val="24"/>
              </w:rPr>
              <w:t>30%</w:t>
            </w:r>
          </w:p>
        </w:tc>
        <w:tc>
          <w:tcPr>
            <w:tcW w:w="1788" w:type="pct"/>
          </w:tcPr>
          <w:p w:rsidR="00672193" w:rsidRPr="00CF41D2" w:rsidRDefault="00672193" w:rsidP="00642B54">
            <w:pPr>
              <w:spacing w:line="360" w:lineRule="auto"/>
              <w:jc w:val="center"/>
              <w:rPr>
                <w:szCs w:val="24"/>
              </w:rPr>
            </w:pPr>
            <w:r w:rsidRPr="00CF41D2">
              <w:rPr>
                <w:szCs w:val="24"/>
                <w:u w:val="single"/>
              </w:rPr>
              <w:t>&gt;</w:t>
            </w:r>
            <w:r w:rsidRPr="00CF41D2">
              <w:rPr>
                <w:szCs w:val="24"/>
              </w:rPr>
              <w:t xml:space="preserve"> 8%</w:t>
            </w:r>
          </w:p>
        </w:tc>
      </w:tr>
    </w:tbl>
    <w:p w:rsidR="00672193" w:rsidRPr="00CF41D2" w:rsidRDefault="00672193" w:rsidP="00672193">
      <w:pPr>
        <w:spacing w:line="360" w:lineRule="auto"/>
        <w:rPr>
          <w:rFonts w:eastAsia="TimesNewRoman"/>
          <w:szCs w:val="24"/>
        </w:rPr>
      </w:pPr>
      <w:r w:rsidRPr="00CF41D2">
        <w:rPr>
          <w:rFonts w:eastAsia="TimesNewRoman"/>
          <w:szCs w:val="24"/>
        </w:rPr>
        <w:t xml:space="preserve">Source: CBE’s Annual Reports (2011-2020) and Own Computation </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The analysis result indicated in Table 4.1 above show that, the bank maintained the highest capital adequacy ratio of 30 percent in the year 2018 and the lowest capital adequacy ratio of 9.2 percent in 2012. On average the bank has performed 18.25 percent in capital adequacy ratio during the study period.</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The result indicates that the bank’s capital adequacy performance during the study period represents a source that can be used to finance investments and operations; and more importantly the bank was in a better position to absorb any shocks in adverse situation. The result further shows the internal strength of the bank to withstand losses during the crisis.</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t>When it analyzed the capital adequacy performance of CBE compared to the international minimum requirement, the bank fulfilled beyond the AIA’s minimum total capital adequacy ratio (CAR) of 8% (see Table 2.1) during the study period. This indicates the bank holds more capital against its assets during the study period.</w:t>
      </w:r>
    </w:p>
    <w:p w:rsidR="00672193" w:rsidRPr="00CF41D2" w:rsidRDefault="00672193" w:rsidP="00672193">
      <w:pPr>
        <w:pStyle w:val="Heading2"/>
        <w:numPr>
          <w:ilvl w:val="1"/>
          <w:numId w:val="11"/>
        </w:numPr>
        <w:spacing w:before="0" w:after="100" w:line="360" w:lineRule="auto"/>
        <w:ind w:left="357" w:hanging="357"/>
        <w:jc w:val="both"/>
        <w:rPr>
          <w:rFonts w:eastAsia="TimesNewRoman"/>
          <w:color w:val="auto"/>
        </w:rPr>
      </w:pPr>
      <w:bookmarkStart w:id="67" w:name="_Toc519167264"/>
      <w:bookmarkStart w:id="68" w:name="_Toc73104294"/>
      <w:r w:rsidRPr="00CF41D2">
        <w:rPr>
          <w:rFonts w:eastAsia="TimesNewRoman"/>
          <w:color w:val="auto"/>
        </w:rPr>
        <w:t>Asset Quality Performance Analysis</w:t>
      </w:r>
      <w:bookmarkEnd w:id="67"/>
      <w:bookmarkEnd w:id="68"/>
    </w:p>
    <w:p w:rsidR="00672193" w:rsidRPr="00CF41D2" w:rsidRDefault="00672193" w:rsidP="00672193">
      <w:pPr>
        <w:spacing w:line="360" w:lineRule="auto"/>
      </w:pPr>
      <w:r w:rsidRPr="00CF41D2">
        <w:t>Asset quality determines the healthiness of financial institutions against loss of value in asset as asset impairment risks the solvency of financial institutions.</w:t>
      </w:r>
    </w:p>
    <w:p w:rsidR="00672193" w:rsidRPr="00CF41D2" w:rsidRDefault="00672193" w:rsidP="00672193">
      <w:pPr>
        <w:spacing w:line="360" w:lineRule="auto"/>
        <w:jc w:val="both"/>
      </w:pPr>
      <w:r w:rsidRPr="00CF41D2">
        <w:t xml:space="preserve">The Asset quality indicators highlight the use of Non-Performing Loans ratios (NPLs) which are the proxy of asset quality and the allowance or provision to loan loss reserve. The bank is regulated to back up the bad debts by providing adequate provisions for loan loss. </w:t>
      </w:r>
    </w:p>
    <w:p w:rsidR="00672193" w:rsidRPr="00CF41D2" w:rsidRDefault="00672193" w:rsidP="00672193">
      <w:pPr>
        <w:widowControl w:val="0"/>
        <w:overflowPunct w:val="0"/>
        <w:autoSpaceDE w:val="0"/>
        <w:autoSpaceDN w:val="0"/>
        <w:adjustRightInd w:val="0"/>
        <w:spacing w:after="0" w:line="360" w:lineRule="auto"/>
        <w:jc w:val="both"/>
        <w:rPr>
          <w:rFonts w:eastAsia="TimesNewRoman"/>
          <w:szCs w:val="24"/>
        </w:rPr>
      </w:pPr>
      <w:r w:rsidRPr="00CF41D2">
        <w:t xml:space="preserve">The ratio of provision for loan loss to total loans is taken in to account to measure the quality of loan portfolio. With this framework, the asset quality is assessed by taking the ratio of loan loss provision to total loan. The lower the loan loss provision to total loan ratio indicate the quality of the asset of the bank. </w:t>
      </w:r>
      <w:r w:rsidRPr="00CF41D2">
        <w:rPr>
          <w:rFonts w:eastAsia="TimesNewRoman"/>
          <w:szCs w:val="24"/>
        </w:rPr>
        <w:t xml:space="preserve">Figure 3 below shows the overall asset quality performance of CBE commencing from 2011 to 2020. </w:t>
      </w:r>
    </w:p>
    <w:p w:rsidR="00672193" w:rsidRPr="00CF41D2" w:rsidRDefault="00672193" w:rsidP="00672193">
      <w:pPr>
        <w:widowControl w:val="0"/>
        <w:overflowPunct w:val="0"/>
        <w:autoSpaceDE w:val="0"/>
        <w:autoSpaceDN w:val="0"/>
        <w:adjustRightInd w:val="0"/>
        <w:spacing w:after="0" w:line="360" w:lineRule="auto"/>
        <w:jc w:val="both"/>
        <w:rPr>
          <w:rFonts w:eastAsia="TimesNewRoman"/>
          <w:szCs w:val="24"/>
        </w:rPr>
      </w:pPr>
    </w:p>
    <w:p w:rsidR="00672193" w:rsidRPr="00CF41D2" w:rsidRDefault="00672193" w:rsidP="00672193">
      <w:pPr>
        <w:widowControl w:val="0"/>
        <w:overflowPunct w:val="0"/>
        <w:autoSpaceDE w:val="0"/>
        <w:autoSpaceDN w:val="0"/>
        <w:adjustRightInd w:val="0"/>
        <w:spacing w:after="0" w:line="360" w:lineRule="auto"/>
        <w:jc w:val="both"/>
        <w:rPr>
          <w:rFonts w:eastAsia="TimesNewRoman"/>
          <w:szCs w:val="24"/>
        </w:rPr>
      </w:pPr>
      <w:r w:rsidRPr="00CF41D2">
        <w:rPr>
          <w:rFonts w:eastAsia="TimesNewRoman"/>
          <w:noProof/>
          <w:szCs w:val="24"/>
        </w:rPr>
        <w:lastRenderedPageBreak/>
        <w:drawing>
          <wp:inline distT="0" distB="0" distL="0" distR="0">
            <wp:extent cx="5810250" cy="3200400"/>
            <wp:effectExtent l="19050" t="0" r="19050"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72193" w:rsidRPr="00CF41D2" w:rsidRDefault="00672193" w:rsidP="00672193">
      <w:pPr>
        <w:pStyle w:val="Caption"/>
        <w:spacing w:line="360" w:lineRule="auto"/>
        <w:jc w:val="center"/>
        <w:rPr>
          <w:rFonts w:eastAsia="TimesNewRoman"/>
          <w:b w:val="0"/>
          <w:color w:val="auto"/>
          <w:sz w:val="24"/>
          <w:szCs w:val="24"/>
        </w:rPr>
      </w:pPr>
      <w:r w:rsidRPr="00CF41D2">
        <w:rPr>
          <w:b w:val="0"/>
          <w:color w:val="auto"/>
          <w:sz w:val="24"/>
          <w:szCs w:val="24"/>
        </w:rPr>
        <w:t>Figure 3:  Asset Quality Performance of CBE from 2011 to 2020</w:t>
      </w:r>
    </w:p>
    <w:p w:rsidR="00672193" w:rsidRPr="00CF41D2" w:rsidRDefault="00672193" w:rsidP="00672193">
      <w:pPr>
        <w:widowControl w:val="0"/>
        <w:overflowPunct w:val="0"/>
        <w:autoSpaceDE w:val="0"/>
        <w:autoSpaceDN w:val="0"/>
        <w:adjustRightInd w:val="0"/>
        <w:spacing w:after="0" w:line="360" w:lineRule="auto"/>
        <w:jc w:val="both"/>
        <w:rPr>
          <w:rFonts w:eastAsia="TimesNewRoman"/>
          <w:szCs w:val="24"/>
        </w:rPr>
      </w:pPr>
      <w:r w:rsidRPr="00CF41D2">
        <w:rPr>
          <w:rFonts w:eastAsia="TimesNewRoman"/>
          <w:szCs w:val="24"/>
        </w:rPr>
        <w:t xml:space="preserve">                          Source: CBE’s Annual Reports (2011-2020)</w:t>
      </w:r>
    </w:p>
    <w:p w:rsidR="00672193" w:rsidRPr="00CF41D2" w:rsidRDefault="00672193" w:rsidP="00672193">
      <w:pPr>
        <w:spacing w:line="360" w:lineRule="auto"/>
        <w:rPr>
          <w:sz w:val="2"/>
        </w:rPr>
      </w:pPr>
    </w:p>
    <w:p w:rsidR="00C75B29" w:rsidRDefault="00672193" w:rsidP="00BE48EC">
      <w:pPr>
        <w:spacing w:line="360" w:lineRule="auto"/>
        <w:jc w:val="both"/>
        <w:rPr>
          <w:szCs w:val="24"/>
          <w:highlight w:val="yellow"/>
        </w:rPr>
      </w:pPr>
      <w:r w:rsidRPr="00CF41D2">
        <w:t xml:space="preserve">As explicitly shown in figure 3 above, the Bank’s </w:t>
      </w:r>
      <w:r w:rsidRPr="00CF41D2">
        <w:rPr>
          <w:szCs w:val="24"/>
        </w:rPr>
        <w:t xml:space="preserve">NPL to Total Loans ratio has a decreasing trend showing 0.86 % in 2011 and was only 0.61 % in 2012. However, the ratio </w:t>
      </w:r>
      <w:r w:rsidR="00C75B29">
        <w:rPr>
          <w:szCs w:val="24"/>
        </w:rPr>
        <w:t>increased and has a ratio of 2.5</w:t>
      </w:r>
      <w:r w:rsidRPr="00CF41D2">
        <w:rPr>
          <w:szCs w:val="24"/>
        </w:rPr>
        <w:t xml:space="preserve">% in year </w:t>
      </w:r>
      <w:r w:rsidR="00C75B29">
        <w:rPr>
          <w:szCs w:val="24"/>
        </w:rPr>
        <w:t>2016</w:t>
      </w:r>
      <w:r w:rsidRPr="00C75B29">
        <w:rPr>
          <w:szCs w:val="24"/>
        </w:rPr>
        <w:t xml:space="preserve">. Then, the ratio has a continuous </w:t>
      </w:r>
      <w:r w:rsidR="00C75B29">
        <w:rPr>
          <w:szCs w:val="24"/>
        </w:rPr>
        <w:t>increased</w:t>
      </w:r>
      <w:r w:rsidRPr="00C75B29">
        <w:rPr>
          <w:szCs w:val="24"/>
        </w:rPr>
        <w:t xml:space="preserve"> </w:t>
      </w:r>
      <w:r w:rsidR="00144132" w:rsidRPr="00C75B29">
        <w:rPr>
          <w:szCs w:val="24"/>
        </w:rPr>
        <w:t xml:space="preserve">rate. </w:t>
      </w:r>
    </w:p>
    <w:p w:rsidR="00672193" w:rsidRPr="00CF41D2" w:rsidRDefault="00144132" w:rsidP="00BE48EC">
      <w:pPr>
        <w:spacing w:line="360" w:lineRule="auto"/>
        <w:jc w:val="both"/>
        <w:rPr>
          <w:szCs w:val="24"/>
        </w:rPr>
      </w:pPr>
      <w:r w:rsidRPr="00C75B29">
        <w:rPr>
          <w:szCs w:val="24"/>
        </w:rPr>
        <w:t>When</w:t>
      </w:r>
      <w:r w:rsidR="00672193" w:rsidRPr="00C75B29">
        <w:rPr>
          <w:szCs w:val="24"/>
        </w:rPr>
        <w:t xml:space="preserve"> NPL to Equity ratio is concerned, figure 3 above show that </w:t>
      </w:r>
      <w:r w:rsidR="00C75B29" w:rsidRPr="00C75B29">
        <w:rPr>
          <w:szCs w:val="24"/>
        </w:rPr>
        <w:t xml:space="preserve">relatively CBE maintained a stable </w:t>
      </w:r>
      <w:r w:rsidR="00672193" w:rsidRPr="00C75B29">
        <w:rPr>
          <w:szCs w:val="24"/>
        </w:rPr>
        <w:t>performance during the study period. When the allowance for loan loss provision to total loan ratio is measured, it shows an increasing</w:t>
      </w:r>
      <w:r w:rsidR="00672193" w:rsidRPr="00CF41D2">
        <w:rPr>
          <w:szCs w:val="24"/>
        </w:rPr>
        <w:t xml:space="preserve"> trend over the study period commencing from 2011-2020. Table 4.2 shows the overall performance of each asset quality measurement indicators in CBE during the study period commencing from 2011 to 2020.</w:t>
      </w:r>
    </w:p>
    <w:p w:rsidR="00672193" w:rsidRPr="00CF41D2" w:rsidRDefault="00672193" w:rsidP="00672193">
      <w:pPr>
        <w:pStyle w:val="Caption"/>
        <w:keepNext/>
        <w:spacing w:line="360" w:lineRule="auto"/>
        <w:rPr>
          <w:b w:val="0"/>
          <w:color w:val="auto"/>
          <w:sz w:val="24"/>
          <w:szCs w:val="24"/>
        </w:rPr>
      </w:pPr>
      <w:r w:rsidRPr="00CF41D2">
        <w:rPr>
          <w:b w:val="0"/>
          <w:color w:val="auto"/>
          <w:sz w:val="24"/>
          <w:szCs w:val="24"/>
        </w:rPr>
        <w:t>Table 4.2:  The Overall Asset Quality Performance of CBE from 2011 to 2020.</w:t>
      </w:r>
    </w:p>
    <w:tbl>
      <w:tblPr>
        <w:tblStyle w:val="TableGrid"/>
        <w:tblW w:w="5000" w:type="pct"/>
        <w:tblLook w:val="04A0"/>
      </w:tblPr>
      <w:tblGrid>
        <w:gridCol w:w="3752"/>
        <w:gridCol w:w="837"/>
        <w:gridCol w:w="1287"/>
        <w:gridCol w:w="1327"/>
        <w:gridCol w:w="2373"/>
      </w:tblGrid>
      <w:tr w:rsidR="00672193" w:rsidRPr="00CF41D2" w:rsidTr="00642B54">
        <w:tc>
          <w:tcPr>
            <w:tcW w:w="1959" w:type="pct"/>
          </w:tcPr>
          <w:p w:rsidR="00672193" w:rsidRPr="00CF41D2" w:rsidRDefault="00672193" w:rsidP="00642B54">
            <w:pPr>
              <w:spacing w:line="360" w:lineRule="auto"/>
              <w:rPr>
                <w:b/>
                <w:szCs w:val="24"/>
              </w:rPr>
            </w:pPr>
            <w:r w:rsidRPr="00CF41D2">
              <w:rPr>
                <w:b/>
                <w:szCs w:val="24"/>
              </w:rPr>
              <w:t>Ratios</w:t>
            </w:r>
          </w:p>
        </w:tc>
        <w:tc>
          <w:tcPr>
            <w:tcW w:w="437" w:type="pct"/>
          </w:tcPr>
          <w:p w:rsidR="00672193" w:rsidRPr="00CF41D2" w:rsidRDefault="00672193" w:rsidP="00642B54">
            <w:pPr>
              <w:spacing w:line="360" w:lineRule="auto"/>
              <w:rPr>
                <w:b/>
                <w:szCs w:val="24"/>
              </w:rPr>
            </w:pPr>
            <w:r w:rsidRPr="00CF41D2">
              <w:rPr>
                <w:b/>
                <w:szCs w:val="24"/>
              </w:rPr>
              <w:t>Mean</w:t>
            </w:r>
          </w:p>
        </w:tc>
        <w:tc>
          <w:tcPr>
            <w:tcW w:w="672" w:type="pct"/>
          </w:tcPr>
          <w:p w:rsidR="00672193" w:rsidRPr="00CF41D2" w:rsidRDefault="00672193" w:rsidP="00642B54">
            <w:pPr>
              <w:spacing w:line="360" w:lineRule="auto"/>
              <w:rPr>
                <w:b/>
                <w:szCs w:val="24"/>
              </w:rPr>
            </w:pPr>
            <w:r w:rsidRPr="00CF41D2">
              <w:rPr>
                <w:b/>
                <w:szCs w:val="24"/>
              </w:rPr>
              <w:t>Minimum</w:t>
            </w:r>
          </w:p>
        </w:tc>
        <w:tc>
          <w:tcPr>
            <w:tcW w:w="693" w:type="pct"/>
          </w:tcPr>
          <w:p w:rsidR="00672193" w:rsidRPr="00CF41D2" w:rsidRDefault="00672193" w:rsidP="00642B54">
            <w:pPr>
              <w:spacing w:line="360" w:lineRule="auto"/>
              <w:rPr>
                <w:b/>
                <w:szCs w:val="24"/>
              </w:rPr>
            </w:pPr>
            <w:r w:rsidRPr="00CF41D2">
              <w:rPr>
                <w:b/>
                <w:szCs w:val="24"/>
              </w:rPr>
              <w:t>Maximum</w:t>
            </w:r>
          </w:p>
        </w:tc>
        <w:tc>
          <w:tcPr>
            <w:tcW w:w="1239" w:type="pct"/>
          </w:tcPr>
          <w:p w:rsidR="00672193" w:rsidRPr="00CF41D2" w:rsidRDefault="00672193" w:rsidP="00642B54">
            <w:pPr>
              <w:spacing w:line="360" w:lineRule="auto"/>
              <w:rPr>
                <w:b/>
                <w:szCs w:val="24"/>
              </w:rPr>
            </w:pPr>
            <w:r w:rsidRPr="00CF41D2">
              <w:rPr>
                <w:b/>
                <w:szCs w:val="24"/>
              </w:rPr>
              <w:t>The AIA’s Standard</w:t>
            </w:r>
          </w:p>
        </w:tc>
      </w:tr>
      <w:tr w:rsidR="00672193" w:rsidRPr="00CF41D2" w:rsidTr="00642B54">
        <w:tc>
          <w:tcPr>
            <w:tcW w:w="1959" w:type="pct"/>
          </w:tcPr>
          <w:p w:rsidR="00672193" w:rsidRPr="00CF41D2" w:rsidRDefault="00672193" w:rsidP="00642B54">
            <w:pPr>
              <w:spacing w:line="360" w:lineRule="auto"/>
              <w:rPr>
                <w:szCs w:val="24"/>
              </w:rPr>
            </w:pPr>
            <w:r w:rsidRPr="00CF41D2">
              <w:rPr>
                <w:szCs w:val="24"/>
              </w:rPr>
              <w:t>NPL to Total Loans</w:t>
            </w:r>
          </w:p>
        </w:tc>
        <w:tc>
          <w:tcPr>
            <w:tcW w:w="437" w:type="pct"/>
          </w:tcPr>
          <w:p w:rsidR="00672193" w:rsidRPr="00CF41D2" w:rsidRDefault="00672193" w:rsidP="00642B54">
            <w:pPr>
              <w:spacing w:line="360" w:lineRule="auto"/>
              <w:jc w:val="center"/>
              <w:rPr>
                <w:szCs w:val="24"/>
              </w:rPr>
            </w:pPr>
            <w:r w:rsidRPr="00CF41D2">
              <w:rPr>
                <w:szCs w:val="24"/>
              </w:rPr>
              <w:t>2.15%</w:t>
            </w:r>
          </w:p>
        </w:tc>
        <w:tc>
          <w:tcPr>
            <w:tcW w:w="672" w:type="pct"/>
          </w:tcPr>
          <w:p w:rsidR="00672193" w:rsidRPr="00CF41D2" w:rsidRDefault="00672193" w:rsidP="00642B54">
            <w:pPr>
              <w:spacing w:line="360" w:lineRule="auto"/>
              <w:jc w:val="center"/>
              <w:rPr>
                <w:szCs w:val="24"/>
              </w:rPr>
            </w:pPr>
            <w:r w:rsidRPr="00CF41D2">
              <w:rPr>
                <w:szCs w:val="24"/>
              </w:rPr>
              <w:t>0.61%</w:t>
            </w:r>
          </w:p>
        </w:tc>
        <w:tc>
          <w:tcPr>
            <w:tcW w:w="693" w:type="pct"/>
          </w:tcPr>
          <w:p w:rsidR="00672193" w:rsidRPr="00CF41D2" w:rsidRDefault="00672193" w:rsidP="00642B54">
            <w:pPr>
              <w:spacing w:line="360" w:lineRule="auto"/>
              <w:jc w:val="center"/>
              <w:rPr>
                <w:szCs w:val="24"/>
              </w:rPr>
            </w:pPr>
            <w:r w:rsidRPr="00CF41D2">
              <w:rPr>
                <w:szCs w:val="24"/>
              </w:rPr>
              <w:t>4.1%</w:t>
            </w:r>
          </w:p>
        </w:tc>
        <w:tc>
          <w:tcPr>
            <w:tcW w:w="1239" w:type="pct"/>
          </w:tcPr>
          <w:p w:rsidR="00672193" w:rsidRPr="00CF41D2" w:rsidRDefault="00672193" w:rsidP="00642B54">
            <w:pPr>
              <w:spacing w:line="360" w:lineRule="auto"/>
              <w:jc w:val="center"/>
              <w:rPr>
                <w:szCs w:val="24"/>
              </w:rPr>
            </w:pPr>
            <w:r w:rsidRPr="00CF41D2">
              <w:rPr>
                <w:szCs w:val="24"/>
              </w:rPr>
              <w:t>&lt;1%</w:t>
            </w:r>
          </w:p>
        </w:tc>
      </w:tr>
      <w:tr w:rsidR="00672193" w:rsidRPr="00CF41D2" w:rsidTr="00642B54">
        <w:tc>
          <w:tcPr>
            <w:tcW w:w="1959" w:type="pct"/>
            <w:shd w:val="clear" w:color="auto" w:fill="auto"/>
          </w:tcPr>
          <w:p w:rsidR="00672193" w:rsidRPr="00CF41D2" w:rsidRDefault="00672193" w:rsidP="00642B54">
            <w:pPr>
              <w:spacing w:line="360" w:lineRule="auto"/>
              <w:rPr>
                <w:szCs w:val="24"/>
              </w:rPr>
            </w:pPr>
            <w:r w:rsidRPr="00CF41D2">
              <w:rPr>
                <w:szCs w:val="24"/>
              </w:rPr>
              <w:t xml:space="preserve">NPL to Equity </w:t>
            </w:r>
          </w:p>
        </w:tc>
        <w:tc>
          <w:tcPr>
            <w:tcW w:w="437" w:type="pct"/>
            <w:shd w:val="clear" w:color="auto" w:fill="auto"/>
          </w:tcPr>
          <w:p w:rsidR="00672193" w:rsidRPr="00CF41D2" w:rsidRDefault="00672193" w:rsidP="00642B54">
            <w:pPr>
              <w:spacing w:line="360" w:lineRule="auto"/>
              <w:jc w:val="center"/>
              <w:rPr>
                <w:szCs w:val="24"/>
              </w:rPr>
            </w:pPr>
            <w:r w:rsidRPr="00CF41D2">
              <w:rPr>
                <w:szCs w:val="24"/>
              </w:rPr>
              <w:t>0.19%</w:t>
            </w:r>
          </w:p>
        </w:tc>
        <w:tc>
          <w:tcPr>
            <w:tcW w:w="672" w:type="pct"/>
            <w:shd w:val="clear" w:color="auto" w:fill="auto"/>
          </w:tcPr>
          <w:p w:rsidR="00672193" w:rsidRPr="00CF41D2" w:rsidRDefault="00672193" w:rsidP="00642B54">
            <w:pPr>
              <w:spacing w:line="360" w:lineRule="auto"/>
              <w:jc w:val="center"/>
              <w:rPr>
                <w:szCs w:val="24"/>
              </w:rPr>
            </w:pPr>
            <w:r w:rsidRPr="00CF41D2">
              <w:rPr>
                <w:szCs w:val="24"/>
              </w:rPr>
              <w:t>0.07%</w:t>
            </w:r>
          </w:p>
        </w:tc>
        <w:tc>
          <w:tcPr>
            <w:tcW w:w="693" w:type="pct"/>
            <w:shd w:val="clear" w:color="auto" w:fill="auto"/>
          </w:tcPr>
          <w:p w:rsidR="00672193" w:rsidRPr="00CF41D2" w:rsidRDefault="00672193" w:rsidP="00642B54">
            <w:pPr>
              <w:spacing w:line="360" w:lineRule="auto"/>
              <w:jc w:val="center"/>
              <w:rPr>
                <w:szCs w:val="24"/>
              </w:rPr>
            </w:pPr>
            <w:r w:rsidRPr="00CF41D2">
              <w:rPr>
                <w:szCs w:val="24"/>
              </w:rPr>
              <w:t>0.36%</w:t>
            </w:r>
          </w:p>
        </w:tc>
        <w:tc>
          <w:tcPr>
            <w:tcW w:w="1239" w:type="pct"/>
            <w:shd w:val="clear" w:color="auto" w:fill="auto"/>
          </w:tcPr>
          <w:p w:rsidR="00672193" w:rsidRPr="00CF41D2" w:rsidRDefault="00672193" w:rsidP="00642B54">
            <w:pPr>
              <w:spacing w:line="360" w:lineRule="auto"/>
              <w:jc w:val="center"/>
              <w:rPr>
                <w:szCs w:val="24"/>
              </w:rPr>
            </w:pPr>
            <w:r w:rsidRPr="00CF41D2">
              <w:rPr>
                <w:szCs w:val="24"/>
              </w:rPr>
              <w:t>&lt;1%</w:t>
            </w:r>
          </w:p>
        </w:tc>
      </w:tr>
      <w:tr w:rsidR="00672193" w:rsidRPr="00CF41D2" w:rsidTr="00642B54">
        <w:tc>
          <w:tcPr>
            <w:tcW w:w="1959" w:type="pct"/>
            <w:shd w:val="clear" w:color="auto" w:fill="auto"/>
          </w:tcPr>
          <w:p w:rsidR="00672193" w:rsidRPr="00CF41D2" w:rsidRDefault="00672193" w:rsidP="00642B54">
            <w:pPr>
              <w:spacing w:line="360" w:lineRule="auto"/>
              <w:rPr>
                <w:szCs w:val="24"/>
              </w:rPr>
            </w:pPr>
            <w:r w:rsidRPr="00CF41D2">
              <w:rPr>
                <w:szCs w:val="24"/>
              </w:rPr>
              <w:t>Loan Loss Provision to Total Loans</w:t>
            </w:r>
          </w:p>
        </w:tc>
        <w:tc>
          <w:tcPr>
            <w:tcW w:w="437" w:type="pct"/>
            <w:shd w:val="clear" w:color="auto" w:fill="auto"/>
          </w:tcPr>
          <w:p w:rsidR="00672193" w:rsidRPr="00CF41D2" w:rsidRDefault="00672193" w:rsidP="00642B54">
            <w:pPr>
              <w:spacing w:line="360" w:lineRule="auto"/>
              <w:jc w:val="center"/>
              <w:rPr>
                <w:szCs w:val="24"/>
              </w:rPr>
            </w:pPr>
            <w:r w:rsidRPr="00CF41D2">
              <w:rPr>
                <w:szCs w:val="24"/>
              </w:rPr>
              <w:t>294%</w:t>
            </w:r>
          </w:p>
        </w:tc>
        <w:tc>
          <w:tcPr>
            <w:tcW w:w="672" w:type="pct"/>
            <w:shd w:val="clear" w:color="auto" w:fill="auto"/>
          </w:tcPr>
          <w:p w:rsidR="00672193" w:rsidRPr="00CF41D2" w:rsidRDefault="00672193" w:rsidP="00642B54">
            <w:pPr>
              <w:spacing w:line="360" w:lineRule="auto"/>
              <w:jc w:val="center"/>
              <w:rPr>
                <w:szCs w:val="24"/>
              </w:rPr>
            </w:pPr>
            <w:r w:rsidRPr="00CF41D2">
              <w:rPr>
                <w:szCs w:val="24"/>
              </w:rPr>
              <w:t>238%</w:t>
            </w:r>
          </w:p>
        </w:tc>
        <w:tc>
          <w:tcPr>
            <w:tcW w:w="693" w:type="pct"/>
            <w:shd w:val="clear" w:color="auto" w:fill="auto"/>
          </w:tcPr>
          <w:p w:rsidR="00672193" w:rsidRPr="00CF41D2" w:rsidRDefault="00672193" w:rsidP="00642B54">
            <w:pPr>
              <w:spacing w:line="360" w:lineRule="auto"/>
              <w:jc w:val="center"/>
              <w:rPr>
                <w:szCs w:val="24"/>
              </w:rPr>
            </w:pPr>
            <w:r w:rsidRPr="00CF41D2">
              <w:rPr>
                <w:szCs w:val="24"/>
              </w:rPr>
              <w:t>450%</w:t>
            </w:r>
          </w:p>
        </w:tc>
        <w:tc>
          <w:tcPr>
            <w:tcW w:w="1239" w:type="pct"/>
            <w:shd w:val="clear" w:color="auto" w:fill="auto"/>
          </w:tcPr>
          <w:p w:rsidR="00672193" w:rsidRPr="00CF41D2" w:rsidRDefault="00672193" w:rsidP="00642B54">
            <w:pPr>
              <w:spacing w:line="360" w:lineRule="auto"/>
              <w:jc w:val="center"/>
              <w:rPr>
                <w:szCs w:val="24"/>
              </w:rPr>
            </w:pPr>
            <w:r w:rsidRPr="00CF41D2">
              <w:rPr>
                <w:szCs w:val="24"/>
              </w:rPr>
              <w:t>&gt;100%</w:t>
            </w:r>
          </w:p>
        </w:tc>
      </w:tr>
    </w:tbl>
    <w:p w:rsidR="00672193" w:rsidRPr="00CF41D2" w:rsidRDefault="00672193" w:rsidP="00672193">
      <w:pPr>
        <w:spacing w:line="360" w:lineRule="auto"/>
        <w:rPr>
          <w:rFonts w:eastAsia="TimesNewRoman"/>
          <w:szCs w:val="24"/>
        </w:rPr>
      </w:pPr>
      <w:r w:rsidRPr="00CF41D2">
        <w:rPr>
          <w:rFonts w:eastAsia="TimesNewRoman"/>
          <w:szCs w:val="24"/>
        </w:rPr>
        <w:t xml:space="preserve">Source: CBE’s Annual Reports (2011-2020) and Own Computation </w:t>
      </w:r>
    </w:p>
    <w:p w:rsidR="00672193" w:rsidRPr="00CF41D2" w:rsidRDefault="00672193" w:rsidP="00672193">
      <w:pPr>
        <w:pStyle w:val="Heading3"/>
        <w:numPr>
          <w:ilvl w:val="2"/>
          <w:numId w:val="11"/>
        </w:numPr>
        <w:spacing w:line="360" w:lineRule="auto"/>
        <w:rPr>
          <w:rFonts w:eastAsiaTheme="minorHAnsi"/>
          <w:color w:val="auto"/>
          <w:sz w:val="22"/>
        </w:rPr>
      </w:pPr>
      <w:bookmarkStart w:id="69" w:name="_Toc519167265"/>
      <w:bookmarkStart w:id="70" w:name="_Toc73104295"/>
      <w:r w:rsidRPr="00CF41D2">
        <w:rPr>
          <w:rFonts w:eastAsiaTheme="minorHAnsi"/>
          <w:color w:val="auto"/>
          <w:sz w:val="22"/>
        </w:rPr>
        <w:lastRenderedPageBreak/>
        <w:t>Non Performing Loans to Total Loans Ratio</w:t>
      </w:r>
      <w:bookmarkEnd w:id="69"/>
      <w:bookmarkEnd w:id="70"/>
    </w:p>
    <w:p w:rsidR="00672193" w:rsidRPr="00CF41D2" w:rsidRDefault="00672193" w:rsidP="00672193">
      <w:pPr>
        <w:spacing w:line="360" w:lineRule="auto"/>
        <w:jc w:val="both"/>
        <w:rPr>
          <w:color w:val="000000"/>
          <w:szCs w:val="24"/>
        </w:rPr>
      </w:pPr>
      <w:r w:rsidRPr="00CF41D2">
        <w:t xml:space="preserve">The NPL ratio is indicator of asset quality of Bank’s performance. As a measure of asset quality, NPL </w:t>
      </w:r>
      <w:r w:rsidRPr="00CF41D2">
        <w:rPr>
          <w:color w:val="000000"/>
          <w:szCs w:val="24"/>
        </w:rPr>
        <w:t>measures the ratio of band loans to total loans. Bad loans are loans extended to the economic sector outstanding whose due date over passed, usually over 30 days past due.</w:t>
      </w:r>
    </w:p>
    <w:p w:rsidR="00672193" w:rsidRPr="00CF41D2" w:rsidRDefault="00672193" w:rsidP="00672193">
      <w:pPr>
        <w:widowControl w:val="0"/>
        <w:overflowPunct w:val="0"/>
        <w:autoSpaceDE w:val="0"/>
        <w:autoSpaceDN w:val="0"/>
        <w:adjustRightInd w:val="0"/>
        <w:spacing w:after="0" w:line="360" w:lineRule="auto"/>
        <w:ind w:left="20"/>
        <w:jc w:val="both"/>
      </w:pPr>
      <w:r w:rsidRPr="00CF41D2">
        <w:t xml:space="preserve">This ratio is used to measure the percentage of gross loans which are doubtful in banks’ portfolio. The lower the ratio indicates the better is the asset/credit performance of a bank. </w:t>
      </w:r>
      <w:r w:rsidRPr="00CF41D2">
        <w:rPr>
          <w:rFonts w:eastAsia="TimesNewRoman"/>
          <w:szCs w:val="24"/>
        </w:rPr>
        <w:t>The analysis result indicated in Table 4.2 above show that, the bank maintained the minimum NPL to total loans ratio of 0.61 percent in the year 2012 and the highest NPL to total loans ratio of 4.1 percent in 2020. On average the bank has NPL to total loans ratio of 2.15 percent during the study period commencing from 2011-2020.The result indicates that the bank’s NPL performance during the study period represents lower bad debts; and the bank was in a better position to make loan collection. The result further shows the Bank was managed its credit risk in a better way.</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t xml:space="preserve">When it analyzed the NPL to total loans performance of CBE during the study period commencing from 2011-2020 compared to the international standard requirement, the bank not fulfilled the AIA’s standard of &lt;1% NPL to total loan.  </w:t>
      </w:r>
      <w:r w:rsidRPr="00CF41D2">
        <w:rPr>
          <w:rFonts w:eastAsia="TimesNewRoman"/>
          <w:szCs w:val="24"/>
        </w:rPr>
        <w:t xml:space="preserve">This indicates that, CBE performed that well below </w:t>
      </w:r>
      <w:r w:rsidRPr="00CF41D2">
        <w:t>the international standard requirement, of &lt;1% NPL to total loan ratio during the study period commencing from 2011 to 2020. In order to be competitive Bank, CBE needs to improve its NPL to total loan ratio as per the international requirement.</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The analysis result indicated in Table 4.2 above show that, , the bank maintained the minimum NPL to equity ratio of 0.07 percent in the year 2019 and the highest NPL to equity ratio of 0.36 percent in 2020. On average the bank has NPL to equity ratio of 0.19 percent during the study period commencing from 2011 to 2020.</w:t>
      </w:r>
    </w:p>
    <w:p w:rsidR="00672193" w:rsidRPr="00CF41D2" w:rsidRDefault="00672193" w:rsidP="00672193">
      <w:pPr>
        <w:widowControl w:val="0"/>
        <w:overflowPunct w:val="0"/>
        <w:autoSpaceDE w:val="0"/>
        <w:autoSpaceDN w:val="0"/>
        <w:adjustRightInd w:val="0"/>
        <w:spacing w:line="360" w:lineRule="auto"/>
        <w:jc w:val="both"/>
      </w:pPr>
      <w:r w:rsidRPr="00CF41D2">
        <w:rPr>
          <w:rFonts w:eastAsia="TimesNewRoman"/>
          <w:szCs w:val="24"/>
        </w:rPr>
        <w:t xml:space="preserve">This indicates that, CBE performed that well below </w:t>
      </w:r>
      <w:r w:rsidRPr="00CF41D2">
        <w:t>the international standard requirement, of &lt;1% NPL to total equity during the study period commencing from 2011 to 2020.</w:t>
      </w:r>
    </w:p>
    <w:p w:rsidR="00672193" w:rsidRPr="00CF41D2" w:rsidRDefault="00672193" w:rsidP="00672193">
      <w:pPr>
        <w:pStyle w:val="Heading3"/>
        <w:numPr>
          <w:ilvl w:val="2"/>
          <w:numId w:val="11"/>
        </w:numPr>
        <w:spacing w:line="360" w:lineRule="auto"/>
        <w:rPr>
          <w:rFonts w:eastAsiaTheme="minorHAnsi"/>
          <w:color w:val="auto"/>
          <w:sz w:val="22"/>
        </w:rPr>
      </w:pPr>
      <w:bookmarkStart w:id="71" w:name="_Toc519167267"/>
      <w:bookmarkStart w:id="72" w:name="_Toc73104296"/>
      <w:r w:rsidRPr="00CF41D2">
        <w:rPr>
          <w:rFonts w:eastAsiaTheme="minorHAnsi"/>
          <w:color w:val="auto"/>
          <w:sz w:val="22"/>
        </w:rPr>
        <w:t>Loan Loss Provision to Total Loan Ratio</w:t>
      </w:r>
      <w:bookmarkEnd w:id="71"/>
      <w:bookmarkEnd w:id="72"/>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The analysis result indicated in Table 4.2 above show that, , the bank maintained the minimum allowance for loan loss provision of 238 percent in the year 2017 and the highest allowance for loan loss provision of 450 percent in 2020 . On average the bank has allowance for loan loss provision of 294 percent during the study period commencing from 2011-2020.</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This indicates that, CBE maintained well above </w:t>
      </w:r>
      <w:r w:rsidRPr="00CF41D2">
        <w:t xml:space="preserve">the international standard requirement, of </w:t>
      </w:r>
      <w:r w:rsidRPr="00CF41D2">
        <w:lastRenderedPageBreak/>
        <w:t xml:space="preserve">&gt;100% </w:t>
      </w:r>
      <w:r w:rsidRPr="00CF41D2">
        <w:rPr>
          <w:rFonts w:eastAsia="TimesNewRoman"/>
          <w:szCs w:val="24"/>
        </w:rPr>
        <w:t>allowance for loan loss provision</w:t>
      </w:r>
      <w:r w:rsidRPr="00CF41D2">
        <w:t xml:space="preserve"> during the study period commencing from 2011 to 2020.</w:t>
      </w:r>
    </w:p>
    <w:p w:rsidR="00672193" w:rsidRPr="00CF41D2" w:rsidRDefault="00672193" w:rsidP="00672193">
      <w:pPr>
        <w:pStyle w:val="Heading2"/>
        <w:numPr>
          <w:ilvl w:val="1"/>
          <w:numId w:val="11"/>
        </w:numPr>
        <w:spacing w:before="0" w:after="100" w:line="360" w:lineRule="auto"/>
        <w:ind w:left="357" w:hanging="357"/>
        <w:jc w:val="both"/>
        <w:rPr>
          <w:rFonts w:eastAsia="TimesNewRoman"/>
          <w:color w:val="auto"/>
        </w:rPr>
      </w:pPr>
      <w:bookmarkStart w:id="73" w:name="_Toc519167268"/>
      <w:bookmarkStart w:id="74" w:name="_Toc73104297"/>
      <w:r w:rsidRPr="00CF41D2">
        <w:rPr>
          <w:rFonts w:eastAsia="TimesNewRoman"/>
          <w:color w:val="auto"/>
        </w:rPr>
        <w:t>Management Quality Performance Analysis</w:t>
      </w:r>
      <w:bookmarkEnd w:id="73"/>
      <w:bookmarkEnd w:id="74"/>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Management quality is the capability of the management, to identify, measure, and control the risks of an institution‘s activities and to ensure the safe, sound, and efficient operation in compliance with applicable laws and standards.</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Management quality is considered to be the most important element in the CAMEL rating system because it plays a substantial role in a bank’s success; however, it is subject to measure as the asset quality examination.</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The management need to have clear strategies and goals in directing the bank’s domestic and international business, and monitors the collection of financial ratios consistent with management strategies and regulatory requirements. The top management with good quality and experience has preferably excellent reputation in the local communication.</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Management relates to the competency of the bank’s managers, using their expertise’s to make subjective judgments, create a strategic vision, and other relevant qualities. Management is the key variable which determines a banks’ success. The evaluation of the management is the hardest one to be measured and it is the most unpredictable. </w:t>
      </w:r>
    </w:p>
    <w:p w:rsidR="00672193" w:rsidRPr="00CF41D2" w:rsidRDefault="00672193" w:rsidP="00672193">
      <w:pPr>
        <w:widowControl w:val="0"/>
        <w:overflowPunct w:val="0"/>
        <w:autoSpaceDE w:val="0"/>
        <w:autoSpaceDN w:val="0"/>
        <w:adjustRightInd w:val="0"/>
        <w:spacing w:after="0" w:line="360" w:lineRule="auto"/>
        <w:jc w:val="both"/>
        <w:rPr>
          <w:rFonts w:eastAsia="TimesNewRoman"/>
          <w:szCs w:val="24"/>
        </w:rPr>
      </w:pPr>
      <w:r w:rsidRPr="00CF41D2">
        <w:rPr>
          <w:rFonts w:eastAsia="TimesNewRoman"/>
          <w:szCs w:val="24"/>
        </w:rPr>
        <w:t>The study measured management quality performance of CBE using asset growth rate, loan growth rate and earnings growth rate. Figure 4 below shows the overall management quality performance of CBE commencing from 2011 to 2020.</w:t>
      </w:r>
    </w:p>
    <w:p w:rsidR="00672193" w:rsidRPr="00CF41D2" w:rsidRDefault="00672193" w:rsidP="00672193">
      <w:pPr>
        <w:widowControl w:val="0"/>
        <w:overflowPunct w:val="0"/>
        <w:autoSpaceDE w:val="0"/>
        <w:autoSpaceDN w:val="0"/>
        <w:adjustRightInd w:val="0"/>
        <w:spacing w:after="0" w:line="360" w:lineRule="auto"/>
        <w:jc w:val="both"/>
        <w:rPr>
          <w:rFonts w:eastAsia="TimesNewRoman"/>
          <w:szCs w:val="24"/>
        </w:rPr>
      </w:pPr>
    </w:p>
    <w:p w:rsidR="00672193" w:rsidRPr="00CF41D2" w:rsidRDefault="00672193" w:rsidP="00672193">
      <w:pPr>
        <w:widowControl w:val="0"/>
        <w:overflowPunct w:val="0"/>
        <w:autoSpaceDE w:val="0"/>
        <w:autoSpaceDN w:val="0"/>
        <w:adjustRightInd w:val="0"/>
        <w:spacing w:after="0" w:line="360" w:lineRule="auto"/>
        <w:jc w:val="both"/>
        <w:rPr>
          <w:rFonts w:eastAsia="TimesNewRoman"/>
          <w:szCs w:val="24"/>
        </w:rPr>
      </w:pPr>
      <w:r w:rsidRPr="00CF41D2">
        <w:rPr>
          <w:rFonts w:eastAsia="TimesNewRoman"/>
          <w:noProof/>
          <w:szCs w:val="24"/>
        </w:rPr>
        <w:lastRenderedPageBreak/>
        <w:drawing>
          <wp:inline distT="0" distB="0" distL="0" distR="0">
            <wp:extent cx="6200775" cy="3133725"/>
            <wp:effectExtent l="19050" t="0" r="9525" b="0"/>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72193" w:rsidRPr="00CF41D2" w:rsidRDefault="00672193" w:rsidP="00672193">
      <w:pPr>
        <w:pStyle w:val="Caption"/>
        <w:spacing w:line="360" w:lineRule="auto"/>
        <w:jc w:val="center"/>
        <w:rPr>
          <w:rFonts w:eastAsia="TimesNewRoman"/>
          <w:b w:val="0"/>
          <w:color w:val="auto"/>
          <w:sz w:val="24"/>
          <w:szCs w:val="24"/>
        </w:rPr>
      </w:pPr>
      <w:r w:rsidRPr="00CF41D2">
        <w:rPr>
          <w:b w:val="0"/>
          <w:color w:val="auto"/>
          <w:sz w:val="24"/>
          <w:szCs w:val="24"/>
        </w:rPr>
        <w:t>Figure 4:  Management Quality Performance of CBE from 2011to 2020</w:t>
      </w:r>
    </w:p>
    <w:p w:rsidR="00672193" w:rsidRPr="00CF41D2" w:rsidRDefault="00672193" w:rsidP="00672193">
      <w:pPr>
        <w:widowControl w:val="0"/>
        <w:overflowPunct w:val="0"/>
        <w:autoSpaceDE w:val="0"/>
        <w:autoSpaceDN w:val="0"/>
        <w:adjustRightInd w:val="0"/>
        <w:spacing w:after="0" w:line="360" w:lineRule="auto"/>
        <w:jc w:val="both"/>
        <w:rPr>
          <w:rFonts w:eastAsia="TimesNewRoman"/>
          <w:szCs w:val="24"/>
        </w:rPr>
      </w:pPr>
      <w:r w:rsidRPr="00CF41D2">
        <w:rPr>
          <w:rFonts w:eastAsia="TimesNewRoman"/>
          <w:szCs w:val="24"/>
        </w:rPr>
        <w:t xml:space="preserve">                      Source: CBE’s Annual Reports (2011-2020)</w:t>
      </w:r>
    </w:p>
    <w:p w:rsidR="00672193" w:rsidRPr="00CF41D2" w:rsidRDefault="00672193" w:rsidP="00672193">
      <w:pPr>
        <w:spacing w:line="360" w:lineRule="auto"/>
        <w:rPr>
          <w:rFonts w:eastAsia="TimesNewRoman"/>
          <w:szCs w:val="24"/>
        </w:rPr>
      </w:pPr>
      <w:r w:rsidRPr="00CF41D2">
        <w:rPr>
          <w:rFonts w:eastAsia="TimesNewRoman"/>
          <w:szCs w:val="24"/>
        </w:rPr>
        <w:t xml:space="preserve">Management is the most important ingredient that ensures the sound functioning of banks. </w:t>
      </w:r>
      <w:r w:rsidRPr="00CF41D2">
        <w:t>When it analyzed the asset growth rate of CBE during the study period the result in figure 4 shows the asset growth rate increased in the following one year of ope</w:t>
      </w:r>
      <w:r w:rsidR="00BC00EB">
        <w:t>ration. Again from the year 2011</w:t>
      </w:r>
      <w:r w:rsidRPr="00CF41D2">
        <w:t xml:space="preserve"> onwards the asset growth rate drastically decreases despite the fact that the total asset of the bank increased in amount.</w:t>
      </w:r>
    </w:p>
    <w:p w:rsidR="00672193" w:rsidRPr="00CF41D2" w:rsidRDefault="00672193" w:rsidP="00672193">
      <w:pPr>
        <w:spacing w:line="360" w:lineRule="auto"/>
        <w:jc w:val="both"/>
      </w:pPr>
      <w:r w:rsidRPr="00CF41D2">
        <w:t>When it analyzed the loan growth rate of CBE during the study period the result in figure 4 shows the loan growth rate continuously increased in the following two years. Again the loan growth rate drastically decreased in the year 2013 and loan growth rate increased then after as shown in figure 4</w:t>
      </w:r>
    </w:p>
    <w:p w:rsidR="00672193" w:rsidRPr="00CF41D2" w:rsidRDefault="00672193" w:rsidP="00672193">
      <w:pPr>
        <w:spacing w:line="360" w:lineRule="auto"/>
        <w:rPr>
          <w:szCs w:val="24"/>
        </w:rPr>
      </w:pPr>
      <w:r w:rsidRPr="00CF41D2">
        <w:t xml:space="preserve">When it analyzed the earnings growth rate of CBE during the study period the result in figure 4 shows a continuous increase at increasing rate in the following two years. Again earnings growth rate slightly decreased in the year 2013 and showing a drastically decreased in earnings growth rate in the following one years of operation and a continuous increase in the following two years. </w:t>
      </w:r>
      <w:r w:rsidRPr="00CF41D2">
        <w:rPr>
          <w:szCs w:val="24"/>
        </w:rPr>
        <w:t>Table 4.3 shows the overall performance of each management quality measurement indicators in CBE during the study period commencing from 2011 to 2020.</w:t>
      </w:r>
    </w:p>
    <w:p w:rsidR="00672193" w:rsidRPr="002375B9" w:rsidRDefault="00672193" w:rsidP="002375B9">
      <w:pPr>
        <w:pStyle w:val="Caption"/>
        <w:keepNext/>
        <w:spacing w:line="360" w:lineRule="auto"/>
        <w:rPr>
          <w:b w:val="0"/>
          <w:color w:val="auto"/>
          <w:sz w:val="24"/>
          <w:szCs w:val="24"/>
        </w:rPr>
      </w:pPr>
      <w:r w:rsidRPr="00CF41D2">
        <w:rPr>
          <w:b w:val="0"/>
          <w:color w:val="auto"/>
          <w:sz w:val="24"/>
          <w:szCs w:val="24"/>
        </w:rPr>
        <w:lastRenderedPageBreak/>
        <w:t>Table 4.3:  The Overall Management Quality Performance of CBE from 2011 to 2020</w:t>
      </w:r>
    </w:p>
    <w:tbl>
      <w:tblPr>
        <w:tblStyle w:val="TableGrid"/>
        <w:tblW w:w="5000" w:type="pct"/>
        <w:tblLook w:val="04A0"/>
      </w:tblPr>
      <w:tblGrid>
        <w:gridCol w:w="3752"/>
        <w:gridCol w:w="837"/>
        <w:gridCol w:w="1287"/>
        <w:gridCol w:w="1327"/>
        <w:gridCol w:w="2373"/>
      </w:tblGrid>
      <w:tr w:rsidR="00672193" w:rsidRPr="00CF41D2" w:rsidTr="00642B54">
        <w:tc>
          <w:tcPr>
            <w:tcW w:w="1959" w:type="pct"/>
          </w:tcPr>
          <w:p w:rsidR="00672193" w:rsidRPr="00CF41D2" w:rsidRDefault="00672193" w:rsidP="00642B54">
            <w:pPr>
              <w:spacing w:line="360" w:lineRule="auto"/>
              <w:rPr>
                <w:b/>
                <w:szCs w:val="24"/>
              </w:rPr>
            </w:pPr>
            <w:r w:rsidRPr="00CF41D2">
              <w:rPr>
                <w:b/>
                <w:szCs w:val="24"/>
              </w:rPr>
              <w:t>Ratios</w:t>
            </w:r>
          </w:p>
        </w:tc>
        <w:tc>
          <w:tcPr>
            <w:tcW w:w="437" w:type="pct"/>
          </w:tcPr>
          <w:p w:rsidR="00672193" w:rsidRPr="00CF41D2" w:rsidRDefault="00672193" w:rsidP="00642B54">
            <w:pPr>
              <w:spacing w:line="360" w:lineRule="auto"/>
              <w:rPr>
                <w:b/>
                <w:szCs w:val="24"/>
              </w:rPr>
            </w:pPr>
            <w:r w:rsidRPr="00CF41D2">
              <w:rPr>
                <w:b/>
                <w:szCs w:val="24"/>
              </w:rPr>
              <w:t>Mean</w:t>
            </w:r>
          </w:p>
        </w:tc>
        <w:tc>
          <w:tcPr>
            <w:tcW w:w="672" w:type="pct"/>
          </w:tcPr>
          <w:p w:rsidR="00672193" w:rsidRPr="00CF41D2" w:rsidRDefault="00672193" w:rsidP="00642B54">
            <w:pPr>
              <w:spacing w:line="360" w:lineRule="auto"/>
              <w:rPr>
                <w:b/>
                <w:szCs w:val="24"/>
              </w:rPr>
            </w:pPr>
            <w:r w:rsidRPr="00CF41D2">
              <w:rPr>
                <w:b/>
                <w:szCs w:val="24"/>
              </w:rPr>
              <w:t>Minimum</w:t>
            </w:r>
          </w:p>
        </w:tc>
        <w:tc>
          <w:tcPr>
            <w:tcW w:w="693" w:type="pct"/>
          </w:tcPr>
          <w:p w:rsidR="00672193" w:rsidRPr="00CF41D2" w:rsidRDefault="00672193" w:rsidP="00642B54">
            <w:pPr>
              <w:spacing w:line="360" w:lineRule="auto"/>
              <w:rPr>
                <w:b/>
                <w:szCs w:val="24"/>
              </w:rPr>
            </w:pPr>
            <w:r w:rsidRPr="00CF41D2">
              <w:rPr>
                <w:b/>
                <w:szCs w:val="24"/>
              </w:rPr>
              <w:t>Maximum</w:t>
            </w:r>
          </w:p>
        </w:tc>
        <w:tc>
          <w:tcPr>
            <w:tcW w:w="1239" w:type="pct"/>
          </w:tcPr>
          <w:p w:rsidR="00672193" w:rsidRPr="00CF41D2" w:rsidRDefault="00672193" w:rsidP="00642B54">
            <w:pPr>
              <w:spacing w:line="360" w:lineRule="auto"/>
              <w:rPr>
                <w:b/>
                <w:szCs w:val="24"/>
              </w:rPr>
            </w:pPr>
            <w:r w:rsidRPr="00CF41D2">
              <w:rPr>
                <w:b/>
                <w:szCs w:val="24"/>
              </w:rPr>
              <w:t>The AIA’s Standard</w:t>
            </w:r>
          </w:p>
        </w:tc>
      </w:tr>
      <w:tr w:rsidR="00672193" w:rsidRPr="00CF41D2" w:rsidTr="00642B54">
        <w:tc>
          <w:tcPr>
            <w:tcW w:w="1959" w:type="pct"/>
          </w:tcPr>
          <w:p w:rsidR="00672193" w:rsidRPr="00CF41D2" w:rsidRDefault="00672193" w:rsidP="00642B54">
            <w:pPr>
              <w:spacing w:line="360" w:lineRule="auto"/>
              <w:rPr>
                <w:szCs w:val="24"/>
              </w:rPr>
            </w:pPr>
            <w:r w:rsidRPr="00CF41D2">
              <w:rPr>
                <w:szCs w:val="24"/>
              </w:rPr>
              <w:t>Total Asset Growth Rate</w:t>
            </w:r>
          </w:p>
        </w:tc>
        <w:tc>
          <w:tcPr>
            <w:tcW w:w="437" w:type="pct"/>
          </w:tcPr>
          <w:p w:rsidR="00672193" w:rsidRPr="00CF41D2" w:rsidRDefault="00672193" w:rsidP="00642B54">
            <w:pPr>
              <w:spacing w:line="360" w:lineRule="auto"/>
              <w:rPr>
                <w:szCs w:val="24"/>
              </w:rPr>
            </w:pPr>
            <w:r w:rsidRPr="00CF41D2">
              <w:rPr>
                <w:szCs w:val="24"/>
              </w:rPr>
              <w:t>27.4%</w:t>
            </w:r>
          </w:p>
        </w:tc>
        <w:tc>
          <w:tcPr>
            <w:tcW w:w="672" w:type="pct"/>
          </w:tcPr>
          <w:p w:rsidR="00672193" w:rsidRPr="00CF41D2" w:rsidRDefault="00672193" w:rsidP="00642B54">
            <w:pPr>
              <w:spacing w:line="360" w:lineRule="auto"/>
              <w:rPr>
                <w:szCs w:val="24"/>
              </w:rPr>
            </w:pPr>
            <w:r w:rsidRPr="00CF41D2">
              <w:rPr>
                <w:szCs w:val="24"/>
              </w:rPr>
              <w:t>14.2%</w:t>
            </w:r>
          </w:p>
        </w:tc>
        <w:tc>
          <w:tcPr>
            <w:tcW w:w="693" w:type="pct"/>
          </w:tcPr>
          <w:p w:rsidR="00672193" w:rsidRPr="00CF41D2" w:rsidRDefault="00672193" w:rsidP="00642B54">
            <w:pPr>
              <w:spacing w:line="360" w:lineRule="auto"/>
              <w:rPr>
                <w:szCs w:val="24"/>
              </w:rPr>
            </w:pPr>
            <w:r w:rsidRPr="00CF41D2">
              <w:rPr>
                <w:szCs w:val="24"/>
              </w:rPr>
              <w:t>54%</w:t>
            </w:r>
          </w:p>
        </w:tc>
        <w:tc>
          <w:tcPr>
            <w:tcW w:w="1239" w:type="pct"/>
          </w:tcPr>
          <w:p w:rsidR="00672193" w:rsidRPr="00CF41D2" w:rsidRDefault="00672193" w:rsidP="00642B54">
            <w:pPr>
              <w:spacing w:line="360" w:lineRule="auto"/>
              <w:rPr>
                <w:szCs w:val="24"/>
              </w:rPr>
            </w:pPr>
            <w:r w:rsidRPr="00CF41D2">
              <w:rPr>
                <w:szCs w:val="24"/>
              </w:rPr>
              <w:t>Nominal GNP Growth Rate</w:t>
            </w:r>
          </w:p>
        </w:tc>
      </w:tr>
      <w:tr w:rsidR="00672193" w:rsidRPr="00CF41D2" w:rsidTr="00642B54">
        <w:tc>
          <w:tcPr>
            <w:tcW w:w="1959" w:type="pct"/>
          </w:tcPr>
          <w:p w:rsidR="00672193" w:rsidRPr="00CF41D2" w:rsidRDefault="00672193" w:rsidP="00642B54">
            <w:pPr>
              <w:spacing w:line="360" w:lineRule="auto"/>
              <w:rPr>
                <w:szCs w:val="24"/>
              </w:rPr>
            </w:pPr>
            <w:r w:rsidRPr="00CF41D2">
              <w:rPr>
                <w:szCs w:val="24"/>
              </w:rPr>
              <w:t>Loan Growth Rate</w:t>
            </w:r>
          </w:p>
        </w:tc>
        <w:tc>
          <w:tcPr>
            <w:tcW w:w="437" w:type="pct"/>
          </w:tcPr>
          <w:p w:rsidR="00672193" w:rsidRPr="00CF41D2" w:rsidRDefault="00672193" w:rsidP="00642B54">
            <w:pPr>
              <w:spacing w:line="360" w:lineRule="auto"/>
              <w:rPr>
                <w:szCs w:val="24"/>
              </w:rPr>
            </w:pPr>
            <w:r w:rsidRPr="00CF41D2">
              <w:rPr>
                <w:szCs w:val="24"/>
              </w:rPr>
              <w:t>30.9%</w:t>
            </w:r>
          </w:p>
        </w:tc>
        <w:tc>
          <w:tcPr>
            <w:tcW w:w="672" w:type="pct"/>
          </w:tcPr>
          <w:p w:rsidR="00672193" w:rsidRPr="00CF41D2" w:rsidRDefault="00672193" w:rsidP="00642B54">
            <w:pPr>
              <w:spacing w:line="360" w:lineRule="auto"/>
              <w:rPr>
                <w:szCs w:val="24"/>
              </w:rPr>
            </w:pPr>
            <w:r w:rsidRPr="00CF41D2">
              <w:rPr>
                <w:szCs w:val="24"/>
              </w:rPr>
              <w:t>14%</w:t>
            </w:r>
          </w:p>
        </w:tc>
        <w:tc>
          <w:tcPr>
            <w:tcW w:w="693" w:type="pct"/>
          </w:tcPr>
          <w:p w:rsidR="00672193" w:rsidRPr="00CF41D2" w:rsidRDefault="00672193" w:rsidP="00642B54">
            <w:pPr>
              <w:spacing w:line="360" w:lineRule="auto"/>
              <w:rPr>
                <w:szCs w:val="24"/>
              </w:rPr>
            </w:pPr>
            <w:r w:rsidRPr="00CF41D2">
              <w:rPr>
                <w:szCs w:val="24"/>
              </w:rPr>
              <w:t>62.9%</w:t>
            </w:r>
          </w:p>
        </w:tc>
        <w:tc>
          <w:tcPr>
            <w:tcW w:w="1239" w:type="pct"/>
          </w:tcPr>
          <w:p w:rsidR="00672193" w:rsidRPr="00CF41D2" w:rsidRDefault="00672193" w:rsidP="00642B54">
            <w:pPr>
              <w:spacing w:line="360" w:lineRule="auto"/>
              <w:rPr>
                <w:szCs w:val="24"/>
              </w:rPr>
            </w:pPr>
            <w:r w:rsidRPr="00CF41D2">
              <w:rPr>
                <w:szCs w:val="24"/>
              </w:rPr>
              <w:t>Nominal GNP Growth Rate</w:t>
            </w:r>
          </w:p>
        </w:tc>
      </w:tr>
      <w:tr w:rsidR="00672193" w:rsidRPr="00CF41D2" w:rsidTr="00642B54">
        <w:tc>
          <w:tcPr>
            <w:tcW w:w="1959" w:type="pct"/>
          </w:tcPr>
          <w:p w:rsidR="00672193" w:rsidRPr="00CF41D2" w:rsidRDefault="00672193" w:rsidP="00642B54">
            <w:pPr>
              <w:spacing w:line="360" w:lineRule="auto"/>
              <w:rPr>
                <w:szCs w:val="24"/>
              </w:rPr>
            </w:pPr>
            <w:r w:rsidRPr="00CF41D2">
              <w:rPr>
                <w:szCs w:val="24"/>
              </w:rPr>
              <w:t>Earnings Growth Rate</w:t>
            </w:r>
          </w:p>
        </w:tc>
        <w:tc>
          <w:tcPr>
            <w:tcW w:w="437" w:type="pct"/>
          </w:tcPr>
          <w:p w:rsidR="00672193" w:rsidRPr="00CF41D2" w:rsidRDefault="00672193" w:rsidP="00642B54">
            <w:pPr>
              <w:spacing w:line="360" w:lineRule="auto"/>
              <w:rPr>
                <w:szCs w:val="24"/>
              </w:rPr>
            </w:pPr>
            <w:r w:rsidRPr="00CF41D2">
              <w:rPr>
                <w:szCs w:val="24"/>
              </w:rPr>
              <w:t>21%</w:t>
            </w:r>
          </w:p>
        </w:tc>
        <w:tc>
          <w:tcPr>
            <w:tcW w:w="672" w:type="pct"/>
          </w:tcPr>
          <w:p w:rsidR="00672193" w:rsidRPr="00CF41D2" w:rsidRDefault="00672193" w:rsidP="00642B54">
            <w:pPr>
              <w:spacing w:line="360" w:lineRule="auto"/>
              <w:rPr>
                <w:szCs w:val="24"/>
              </w:rPr>
            </w:pPr>
            <w:r w:rsidRPr="00CF41D2">
              <w:rPr>
                <w:szCs w:val="24"/>
              </w:rPr>
              <w:t>-20%</w:t>
            </w:r>
          </w:p>
        </w:tc>
        <w:tc>
          <w:tcPr>
            <w:tcW w:w="693" w:type="pct"/>
          </w:tcPr>
          <w:p w:rsidR="00672193" w:rsidRPr="00CF41D2" w:rsidRDefault="00672193" w:rsidP="00642B54">
            <w:pPr>
              <w:spacing w:line="360" w:lineRule="auto"/>
              <w:rPr>
                <w:szCs w:val="24"/>
              </w:rPr>
            </w:pPr>
            <w:r w:rsidRPr="00CF41D2">
              <w:rPr>
                <w:szCs w:val="24"/>
              </w:rPr>
              <w:t>87%</w:t>
            </w:r>
          </w:p>
        </w:tc>
        <w:tc>
          <w:tcPr>
            <w:tcW w:w="1239" w:type="pct"/>
          </w:tcPr>
          <w:p w:rsidR="00672193" w:rsidRPr="00CF41D2" w:rsidRDefault="00672193" w:rsidP="00642B54">
            <w:pPr>
              <w:spacing w:line="360" w:lineRule="auto"/>
              <w:rPr>
                <w:szCs w:val="24"/>
              </w:rPr>
            </w:pPr>
            <w:r w:rsidRPr="00CF41D2">
              <w:rPr>
                <w:szCs w:val="24"/>
              </w:rPr>
              <w:t>&gt;10-15%</w:t>
            </w:r>
          </w:p>
        </w:tc>
      </w:tr>
    </w:tbl>
    <w:p w:rsidR="00672193" w:rsidRPr="00CF41D2" w:rsidRDefault="00672193" w:rsidP="00672193">
      <w:pPr>
        <w:spacing w:line="360" w:lineRule="auto"/>
        <w:rPr>
          <w:rFonts w:eastAsia="TimesNewRoman"/>
          <w:szCs w:val="24"/>
        </w:rPr>
      </w:pPr>
      <w:r w:rsidRPr="00CF41D2">
        <w:rPr>
          <w:rFonts w:eastAsia="TimesNewRoman"/>
          <w:szCs w:val="24"/>
        </w:rPr>
        <w:t xml:space="preserve">Source: CBE’s Annual Reports (2011-2020) and Own Computation </w:t>
      </w:r>
    </w:p>
    <w:p w:rsidR="00672193" w:rsidRPr="00CF41D2" w:rsidRDefault="00672193" w:rsidP="00672193">
      <w:pPr>
        <w:pStyle w:val="Heading3"/>
        <w:numPr>
          <w:ilvl w:val="2"/>
          <w:numId w:val="11"/>
        </w:numPr>
        <w:spacing w:line="360" w:lineRule="auto"/>
        <w:rPr>
          <w:rFonts w:eastAsiaTheme="minorHAnsi"/>
          <w:color w:val="auto"/>
          <w:sz w:val="22"/>
        </w:rPr>
      </w:pPr>
      <w:bookmarkStart w:id="75" w:name="_Toc519167269"/>
      <w:bookmarkStart w:id="76" w:name="_Toc73104298"/>
      <w:r w:rsidRPr="00CF41D2">
        <w:rPr>
          <w:rFonts w:eastAsiaTheme="minorHAnsi"/>
          <w:color w:val="auto"/>
          <w:sz w:val="22"/>
        </w:rPr>
        <w:t>Total Asset Growth Rate</w:t>
      </w:r>
      <w:bookmarkEnd w:id="75"/>
      <w:bookmarkEnd w:id="76"/>
    </w:p>
    <w:p w:rsidR="00672193" w:rsidRPr="00CF41D2" w:rsidRDefault="00672193" w:rsidP="00672193">
      <w:pPr>
        <w:spacing w:line="360" w:lineRule="auto"/>
        <w:rPr>
          <w:sz w:val="2"/>
        </w:rPr>
      </w:pP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The analysis result indicated in Table 4.3 above show that, the bank maintained the highest asset growth rate of 54 percent in the year 2011 and the lowest asset growth rate of 14 percent in 2020. On average the bank has performed 27.4 percent in asset growth rate throughout the study period commencing from 2011 to 2020. This indicates that the bank accumulated relatively a better asset growth during the study period.</w:t>
      </w:r>
    </w:p>
    <w:p w:rsidR="00672193" w:rsidRPr="00CF41D2" w:rsidRDefault="00672193" w:rsidP="00672193">
      <w:pPr>
        <w:pStyle w:val="Heading3"/>
        <w:numPr>
          <w:ilvl w:val="2"/>
          <w:numId w:val="11"/>
        </w:numPr>
        <w:spacing w:line="360" w:lineRule="auto"/>
        <w:rPr>
          <w:rFonts w:eastAsiaTheme="minorHAnsi"/>
          <w:color w:val="auto"/>
          <w:sz w:val="22"/>
        </w:rPr>
      </w:pPr>
      <w:bookmarkStart w:id="77" w:name="_Toc519167270"/>
      <w:bookmarkStart w:id="78" w:name="_Toc73104299"/>
      <w:r w:rsidRPr="00CF41D2">
        <w:rPr>
          <w:rFonts w:eastAsiaTheme="minorHAnsi"/>
          <w:color w:val="auto"/>
          <w:sz w:val="22"/>
        </w:rPr>
        <w:t>Loan Growth Rate</w:t>
      </w:r>
      <w:bookmarkEnd w:id="77"/>
      <w:bookmarkEnd w:id="78"/>
    </w:p>
    <w:p w:rsidR="00672193" w:rsidRPr="00CF41D2" w:rsidRDefault="00672193" w:rsidP="00672193">
      <w:pPr>
        <w:spacing w:line="360" w:lineRule="auto"/>
        <w:rPr>
          <w:sz w:val="4"/>
        </w:rPr>
      </w:pP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The analysis result indicated in Table 4.3 above show that, the bank maintained the highest loan growth rate of 62.9 percent in the year 2012 and the lowest loan growth rate of 14 percent in 2020. On average the bank has performed 30.9 percent in earnings growth rate throughout the study period commencing from 2011 to 2020. This indicates that the bank relatively controlled loan growth throughout the study period.</w:t>
      </w:r>
    </w:p>
    <w:p w:rsidR="00672193" w:rsidRPr="00CF41D2" w:rsidRDefault="00672193" w:rsidP="00672193">
      <w:pPr>
        <w:pStyle w:val="Heading3"/>
        <w:numPr>
          <w:ilvl w:val="2"/>
          <w:numId w:val="11"/>
        </w:numPr>
        <w:spacing w:line="360" w:lineRule="auto"/>
        <w:rPr>
          <w:rFonts w:eastAsiaTheme="minorHAnsi"/>
          <w:color w:val="auto"/>
          <w:sz w:val="22"/>
        </w:rPr>
      </w:pPr>
      <w:bookmarkStart w:id="79" w:name="_Toc519167271"/>
      <w:bookmarkStart w:id="80" w:name="_Toc73104300"/>
      <w:r w:rsidRPr="00CF41D2">
        <w:rPr>
          <w:rFonts w:eastAsiaTheme="minorHAnsi"/>
          <w:color w:val="auto"/>
          <w:sz w:val="22"/>
        </w:rPr>
        <w:t>Earnings Growth Rate</w:t>
      </w:r>
      <w:bookmarkEnd w:id="79"/>
      <w:bookmarkEnd w:id="80"/>
    </w:p>
    <w:p w:rsidR="00672193" w:rsidRPr="00CF41D2" w:rsidRDefault="00672193" w:rsidP="00672193">
      <w:pPr>
        <w:spacing w:line="360" w:lineRule="auto"/>
        <w:rPr>
          <w:sz w:val="2"/>
        </w:rPr>
      </w:pPr>
    </w:p>
    <w:p w:rsidR="00672193" w:rsidRPr="00CF41D2" w:rsidRDefault="00672193" w:rsidP="00672193">
      <w:pPr>
        <w:widowControl w:val="0"/>
        <w:overflowPunct w:val="0"/>
        <w:autoSpaceDE w:val="0"/>
        <w:autoSpaceDN w:val="0"/>
        <w:adjustRightInd w:val="0"/>
        <w:spacing w:line="360" w:lineRule="auto"/>
        <w:jc w:val="both"/>
      </w:pPr>
      <w:r w:rsidRPr="00CF41D2">
        <w:rPr>
          <w:rFonts w:eastAsia="TimesNewRoman"/>
          <w:szCs w:val="24"/>
        </w:rPr>
        <w:t xml:space="preserve">The analysis result indicated in Table 4.3 above show that, the bank maintained the highest earnings growth rate of 87 percent in the year 2012 and the lowest earnings growth rate of -20 percent in 2018. On average the bank has performed 21 percent in loan growth rate throughout the study period commencing from 2011 to 2020 </w:t>
      </w:r>
      <w:r w:rsidRPr="00CF41D2">
        <w:t>.however earnings growth rate drastically decreased below zero in the year 2018 and 2020.</w:t>
      </w:r>
      <w:r w:rsidRPr="00CF41D2">
        <w:rPr>
          <w:rFonts w:eastAsia="TimesNewRoman"/>
          <w:szCs w:val="24"/>
        </w:rPr>
        <w:t xml:space="preserve">this indicates that overall, the bank has maintained  </w:t>
      </w:r>
      <w:r w:rsidRPr="00CF41D2">
        <w:rPr>
          <w:rFonts w:eastAsia="Times New Roman"/>
        </w:rPr>
        <w:t>unfavorably</w:t>
      </w:r>
      <w:r w:rsidRPr="00CF41D2">
        <w:rPr>
          <w:rFonts w:eastAsia="TimesNewRoman"/>
          <w:szCs w:val="24"/>
        </w:rPr>
        <w:t xml:space="preserve"> earnings growth throughout the study period.</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When it </w:t>
      </w:r>
      <w:r w:rsidRPr="00CF41D2">
        <w:t>compared to the international standard requirement, the bank fulfilled the AIA’s standard of &gt;</w:t>
      </w:r>
      <w:r w:rsidRPr="00CF41D2">
        <w:rPr>
          <w:szCs w:val="24"/>
        </w:rPr>
        <w:t xml:space="preserve">10-15% </w:t>
      </w:r>
      <w:r w:rsidRPr="00CF41D2">
        <w:t xml:space="preserve">earnings growth rate during the study period commencing from 2011 to </w:t>
      </w:r>
      <w:r w:rsidRPr="00CF41D2">
        <w:lastRenderedPageBreak/>
        <w:t xml:space="preserve">2020. </w:t>
      </w:r>
      <w:r w:rsidRPr="00CF41D2">
        <w:rPr>
          <w:rFonts w:eastAsia="TimesNewRoman"/>
          <w:szCs w:val="24"/>
        </w:rPr>
        <w:t>This also indicates that, the bank has a competitive performance throughout the study period.</w:t>
      </w:r>
    </w:p>
    <w:p w:rsidR="00672193" w:rsidRPr="00CF41D2" w:rsidRDefault="00672193" w:rsidP="00672193">
      <w:pPr>
        <w:pStyle w:val="Heading2"/>
        <w:numPr>
          <w:ilvl w:val="1"/>
          <w:numId w:val="11"/>
        </w:numPr>
        <w:spacing w:before="0" w:after="100" w:line="360" w:lineRule="auto"/>
        <w:ind w:left="357" w:hanging="357"/>
        <w:jc w:val="both"/>
        <w:rPr>
          <w:rFonts w:eastAsia="TimesNewRoman"/>
          <w:color w:val="auto"/>
        </w:rPr>
      </w:pPr>
      <w:bookmarkStart w:id="81" w:name="_Toc519167272"/>
      <w:bookmarkStart w:id="82" w:name="_Toc73104301"/>
      <w:r w:rsidRPr="00CF41D2">
        <w:rPr>
          <w:rFonts w:eastAsia="TimesNewRoman"/>
          <w:color w:val="auto"/>
        </w:rPr>
        <w:t>Earnings Ability Analysis</w:t>
      </w:r>
      <w:bookmarkEnd w:id="81"/>
      <w:bookmarkEnd w:id="82"/>
    </w:p>
    <w:p w:rsidR="00672193" w:rsidRPr="00CF41D2" w:rsidRDefault="00672193" w:rsidP="00672193">
      <w:pPr>
        <w:widowControl w:val="0"/>
        <w:overflowPunct w:val="0"/>
        <w:autoSpaceDE w:val="0"/>
        <w:autoSpaceDN w:val="0"/>
        <w:adjustRightInd w:val="0"/>
        <w:spacing w:after="0" w:line="360" w:lineRule="auto"/>
        <w:jc w:val="both"/>
        <w:rPr>
          <w:noProof/>
        </w:rPr>
      </w:pPr>
      <w:r w:rsidRPr="00CF41D2">
        <w:rPr>
          <w:szCs w:val="24"/>
        </w:rPr>
        <w:t xml:space="preserve">To measure the earnings ability of the bank, ratios such as ROA and ROE have been utilized. Accordingly, the study results </w:t>
      </w:r>
      <w:r w:rsidRPr="00CF41D2">
        <w:rPr>
          <w:rFonts w:eastAsia="TimesNewRoman"/>
          <w:szCs w:val="24"/>
        </w:rPr>
        <w:t xml:space="preserve">CBE throughout the study period commencing from 2011 to 2020 </w:t>
      </w:r>
      <w:r w:rsidRPr="00CF41D2">
        <w:rPr>
          <w:szCs w:val="24"/>
        </w:rPr>
        <w:t>are presented in Figure 5 as follows.</w:t>
      </w:r>
      <w:r w:rsidRPr="00CF41D2">
        <w:rPr>
          <w:noProof/>
        </w:rPr>
        <w:t xml:space="preserve"> </w:t>
      </w:r>
    </w:p>
    <w:p w:rsidR="00672193" w:rsidRPr="00CF41D2" w:rsidRDefault="00672193" w:rsidP="00672193">
      <w:pPr>
        <w:widowControl w:val="0"/>
        <w:overflowPunct w:val="0"/>
        <w:autoSpaceDE w:val="0"/>
        <w:autoSpaceDN w:val="0"/>
        <w:adjustRightInd w:val="0"/>
        <w:spacing w:after="0" w:line="360" w:lineRule="auto"/>
        <w:jc w:val="both"/>
        <w:rPr>
          <w:szCs w:val="24"/>
        </w:rPr>
      </w:pPr>
      <w:r w:rsidRPr="00CF41D2">
        <w:rPr>
          <w:noProof/>
          <w:szCs w:val="24"/>
        </w:rPr>
        <w:drawing>
          <wp:inline distT="0" distB="0" distL="0" distR="0">
            <wp:extent cx="5276850" cy="2495550"/>
            <wp:effectExtent l="19050" t="0" r="19050" b="0"/>
            <wp:docPr id="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72193" w:rsidRPr="00CF41D2" w:rsidRDefault="00672193" w:rsidP="00672193">
      <w:pPr>
        <w:pStyle w:val="Caption"/>
        <w:spacing w:line="360" w:lineRule="auto"/>
        <w:jc w:val="center"/>
        <w:rPr>
          <w:rFonts w:eastAsia="TimesNewRoman"/>
          <w:b w:val="0"/>
          <w:color w:val="auto"/>
          <w:sz w:val="24"/>
          <w:szCs w:val="24"/>
        </w:rPr>
      </w:pPr>
      <w:r w:rsidRPr="00CF41D2">
        <w:rPr>
          <w:b w:val="0"/>
          <w:color w:val="auto"/>
          <w:sz w:val="24"/>
          <w:szCs w:val="24"/>
        </w:rPr>
        <w:t>Figure 5:  Earnings Ability of CBE from 2011 to 2020</w:t>
      </w:r>
    </w:p>
    <w:p w:rsidR="00672193" w:rsidRPr="00CF41D2" w:rsidRDefault="00672193" w:rsidP="00672193">
      <w:pPr>
        <w:widowControl w:val="0"/>
        <w:overflowPunct w:val="0"/>
        <w:autoSpaceDE w:val="0"/>
        <w:autoSpaceDN w:val="0"/>
        <w:adjustRightInd w:val="0"/>
        <w:spacing w:after="0" w:line="360" w:lineRule="auto"/>
        <w:jc w:val="center"/>
        <w:rPr>
          <w:rFonts w:eastAsia="TimesNewRoman"/>
          <w:szCs w:val="24"/>
        </w:rPr>
      </w:pPr>
      <w:r w:rsidRPr="00CF41D2">
        <w:rPr>
          <w:rFonts w:eastAsia="TimesNewRoman"/>
          <w:szCs w:val="24"/>
        </w:rPr>
        <w:t>Source: CBE’s Annual Reports (2011-2020</w:t>
      </w:r>
    </w:p>
    <w:p w:rsidR="00672193" w:rsidRPr="00CF41D2" w:rsidRDefault="00672193" w:rsidP="00672193">
      <w:pPr>
        <w:widowControl w:val="0"/>
        <w:overflowPunct w:val="0"/>
        <w:autoSpaceDE w:val="0"/>
        <w:autoSpaceDN w:val="0"/>
        <w:adjustRightInd w:val="0"/>
        <w:spacing w:after="0" w:line="360" w:lineRule="auto"/>
        <w:jc w:val="center"/>
        <w:rPr>
          <w:rFonts w:eastAsia="TimesNewRoman"/>
          <w:sz w:val="2"/>
          <w:szCs w:val="24"/>
        </w:rPr>
      </w:pPr>
    </w:p>
    <w:p w:rsidR="00672193" w:rsidRPr="00CF41D2" w:rsidRDefault="00672193" w:rsidP="00672193">
      <w:pPr>
        <w:spacing w:line="360" w:lineRule="auto"/>
        <w:jc w:val="both"/>
      </w:pPr>
      <w:r w:rsidRPr="00CF41D2">
        <w:t>When it analyzed ROA of CBE during the study period the result in figure 5 above shows a notable increase from 2012 to 2015 years of operation. But after sometime, particularly in 2018 to 2020 its performance on ROA fluctuates.</w:t>
      </w:r>
    </w:p>
    <w:p w:rsidR="002375B9" w:rsidRDefault="00672193" w:rsidP="002375B9">
      <w:pPr>
        <w:spacing w:line="360" w:lineRule="auto"/>
        <w:jc w:val="both"/>
        <w:rPr>
          <w:szCs w:val="24"/>
        </w:rPr>
      </w:pPr>
      <w:r w:rsidRPr="00CF41D2">
        <w:t xml:space="preserve">When it analyzed ROE </w:t>
      </w:r>
      <w:r w:rsidRPr="00CF41D2">
        <w:rPr>
          <w:rFonts w:eastAsia="TimesNewRoman"/>
          <w:szCs w:val="24"/>
        </w:rPr>
        <w:t>throughout</w:t>
      </w:r>
      <w:r w:rsidRPr="00CF41D2">
        <w:t xml:space="preserve"> the study period the result in figure 5 shows a continuous increase at increasing rate in the following two years of operations. Again</w:t>
      </w:r>
      <w:r w:rsidR="0047795E">
        <w:t xml:space="preserve"> earnings ROE slightly increase in the year 2015 </w:t>
      </w:r>
      <w:r w:rsidRPr="00CF41D2">
        <w:t xml:space="preserve">and showing </w:t>
      </w:r>
      <w:r w:rsidR="0047795E">
        <w:t xml:space="preserve">a continuous </w:t>
      </w:r>
      <w:r w:rsidR="0047795E" w:rsidRPr="00C4611B">
        <w:t xml:space="preserve">drastically decreased </w:t>
      </w:r>
      <w:r w:rsidRPr="00CF41D2">
        <w:t xml:space="preserve">in ROE in </w:t>
      </w:r>
      <w:r w:rsidR="0047795E">
        <w:t>the following five</w:t>
      </w:r>
      <w:r w:rsidRPr="00CF41D2">
        <w:t xml:space="preserve"> years of operation. </w:t>
      </w:r>
      <w:r w:rsidRPr="00CF41D2">
        <w:rPr>
          <w:szCs w:val="24"/>
        </w:rPr>
        <w:t xml:space="preserve">Table 4.4 shows the overall performance of each earnings ability measurement indicators in CBE </w:t>
      </w:r>
      <w:r w:rsidRPr="00CF41D2">
        <w:rPr>
          <w:rFonts w:eastAsia="TimesNewRoman"/>
          <w:szCs w:val="24"/>
        </w:rPr>
        <w:t>throughout</w:t>
      </w:r>
      <w:r w:rsidRPr="00CF41D2">
        <w:rPr>
          <w:szCs w:val="24"/>
        </w:rPr>
        <w:t xml:space="preserve"> the study period commencing from 2011 to 2020.</w:t>
      </w:r>
    </w:p>
    <w:p w:rsidR="002375B9" w:rsidRPr="002375B9" w:rsidRDefault="002375B9" w:rsidP="002375B9">
      <w:pPr>
        <w:spacing w:line="360" w:lineRule="auto"/>
        <w:jc w:val="both"/>
        <w:rPr>
          <w:szCs w:val="24"/>
        </w:rPr>
      </w:pPr>
    </w:p>
    <w:p w:rsidR="002375B9" w:rsidRDefault="002375B9" w:rsidP="00672193">
      <w:pPr>
        <w:pStyle w:val="Caption"/>
        <w:keepNext/>
        <w:spacing w:line="360" w:lineRule="auto"/>
        <w:rPr>
          <w:b w:val="0"/>
          <w:color w:val="auto"/>
          <w:sz w:val="24"/>
          <w:szCs w:val="24"/>
        </w:rPr>
      </w:pPr>
    </w:p>
    <w:p w:rsidR="002375B9" w:rsidRPr="002375B9" w:rsidRDefault="00672193" w:rsidP="002375B9">
      <w:pPr>
        <w:pStyle w:val="Caption"/>
        <w:keepNext/>
        <w:spacing w:line="360" w:lineRule="auto"/>
        <w:rPr>
          <w:b w:val="0"/>
          <w:color w:val="auto"/>
          <w:sz w:val="24"/>
          <w:szCs w:val="24"/>
        </w:rPr>
      </w:pPr>
      <w:r w:rsidRPr="00CF41D2">
        <w:rPr>
          <w:b w:val="0"/>
          <w:color w:val="auto"/>
          <w:sz w:val="24"/>
          <w:szCs w:val="24"/>
        </w:rPr>
        <w:t>Table 4.4:  The Overall Earnings Ability of CBE from 2011 to 2020</w:t>
      </w:r>
    </w:p>
    <w:tbl>
      <w:tblPr>
        <w:tblStyle w:val="TableGrid"/>
        <w:tblW w:w="5000" w:type="pct"/>
        <w:tblLook w:val="04A0"/>
      </w:tblPr>
      <w:tblGrid>
        <w:gridCol w:w="3743"/>
        <w:gridCol w:w="875"/>
        <w:gridCol w:w="1277"/>
        <w:gridCol w:w="1318"/>
        <w:gridCol w:w="2363"/>
      </w:tblGrid>
      <w:tr w:rsidR="00672193" w:rsidRPr="00CF41D2" w:rsidTr="00642B54">
        <w:tc>
          <w:tcPr>
            <w:tcW w:w="1954" w:type="pct"/>
          </w:tcPr>
          <w:p w:rsidR="00672193" w:rsidRPr="00CF41D2" w:rsidRDefault="00672193" w:rsidP="00642B54">
            <w:pPr>
              <w:spacing w:line="360" w:lineRule="auto"/>
              <w:rPr>
                <w:b/>
                <w:szCs w:val="24"/>
              </w:rPr>
            </w:pPr>
            <w:r w:rsidRPr="00CF41D2">
              <w:rPr>
                <w:b/>
                <w:szCs w:val="24"/>
              </w:rPr>
              <w:t>Ratios</w:t>
            </w:r>
          </w:p>
        </w:tc>
        <w:tc>
          <w:tcPr>
            <w:tcW w:w="457" w:type="pct"/>
          </w:tcPr>
          <w:p w:rsidR="00672193" w:rsidRPr="00CF41D2" w:rsidRDefault="00672193" w:rsidP="00642B54">
            <w:pPr>
              <w:spacing w:line="360" w:lineRule="auto"/>
              <w:rPr>
                <w:b/>
                <w:szCs w:val="24"/>
              </w:rPr>
            </w:pPr>
            <w:r w:rsidRPr="00CF41D2">
              <w:rPr>
                <w:b/>
                <w:szCs w:val="24"/>
              </w:rPr>
              <w:t>Mean</w:t>
            </w:r>
          </w:p>
        </w:tc>
        <w:tc>
          <w:tcPr>
            <w:tcW w:w="667" w:type="pct"/>
          </w:tcPr>
          <w:p w:rsidR="00672193" w:rsidRPr="00CF41D2" w:rsidRDefault="00672193" w:rsidP="00642B54">
            <w:pPr>
              <w:spacing w:line="360" w:lineRule="auto"/>
              <w:rPr>
                <w:b/>
                <w:szCs w:val="24"/>
              </w:rPr>
            </w:pPr>
            <w:r w:rsidRPr="00CF41D2">
              <w:rPr>
                <w:b/>
                <w:szCs w:val="24"/>
              </w:rPr>
              <w:t>Minimum</w:t>
            </w:r>
          </w:p>
        </w:tc>
        <w:tc>
          <w:tcPr>
            <w:tcW w:w="688" w:type="pct"/>
          </w:tcPr>
          <w:p w:rsidR="00672193" w:rsidRPr="00CF41D2" w:rsidRDefault="00672193" w:rsidP="00642B54">
            <w:pPr>
              <w:spacing w:line="360" w:lineRule="auto"/>
              <w:rPr>
                <w:b/>
                <w:szCs w:val="24"/>
              </w:rPr>
            </w:pPr>
            <w:r w:rsidRPr="00CF41D2">
              <w:rPr>
                <w:b/>
                <w:szCs w:val="24"/>
              </w:rPr>
              <w:t>Maximum</w:t>
            </w:r>
          </w:p>
        </w:tc>
        <w:tc>
          <w:tcPr>
            <w:tcW w:w="1234" w:type="pct"/>
          </w:tcPr>
          <w:p w:rsidR="00672193" w:rsidRPr="00CF41D2" w:rsidRDefault="00672193" w:rsidP="00642B54">
            <w:pPr>
              <w:spacing w:line="360" w:lineRule="auto"/>
              <w:rPr>
                <w:b/>
                <w:szCs w:val="24"/>
              </w:rPr>
            </w:pPr>
            <w:r w:rsidRPr="00CF41D2">
              <w:rPr>
                <w:b/>
                <w:szCs w:val="24"/>
              </w:rPr>
              <w:t>The AIA’s Standard</w:t>
            </w:r>
          </w:p>
        </w:tc>
      </w:tr>
      <w:tr w:rsidR="00672193" w:rsidRPr="00CF41D2" w:rsidTr="00642B54">
        <w:tc>
          <w:tcPr>
            <w:tcW w:w="1954" w:type="pct"/>
          </w:tcPr>
          <w:p w:rsidR="00672193" w:rsidRPr="00CF41D2" w:rsidRDefault="00672193" w:rsidP="00642B54">
            <w:pPr>
              <w:spacing w:line="360" w:lineRule="auto"/>
              <w:rPr>
                <w:szCs w:val="24"/>
              </w:rPr>
            </w:pPr>
            <w:r w:rsidRPr="00CF41D2">
              <w:rPr>
                <w:szCs w:val="24"/>
              </w:rPr>
              <w:t>Return on Asset</w:t>
            </w:r>
          </w:p>
        </w:tc>
        <w:tc>
          <w:tcPr>
            <w:tcW w:w="457" w:type="pct"/>
          </w:tcPr>
          <w:p w:rsidR="00672193" w:rsidRPr="00CF41D2" w:rsidRDefault="00672193" w:rsidP="00642B54">
            <w:pPr>
              <w:spacing w:line="360" w:lineRule="auto"/>
              <w:jc w:val="center"/>
              <w:rPr>
                <w:szCs w:val="24"/>
              </w:rPr>
            </w:pPr>
            <w:r w:rsidRPr="00CF41D2">
              <w:rPr>
                <w:szCs w:val="24"/>
              </w:rPr>
              <w:t>3.6</w:t>
            </w:r>
          </w:p>
        </w:tc>
        <w:tc>
          <w:tcPr>
            <w:tcW w:w="667" w:type="pct"/>
          </w:tcPr>
          <w:p w:rsidR="00672193" w:rsidRPr="00CF41D2" w:rsidRDefault="00672193" w:rsidP="00642B54">
            <w:pPr>
              <w:spacing w:line="360" w:lineRule="auto"/>
              <w:jc w:val="center"/>
              <w:rPr>
                <w:szCs w:val="24"/>
              </w:rPr>
            </w:pPr>
            <w:r w:rsidRPr="00CF41D2">
              <w:rPr>
                <w:szCs w:val="24"/>
              </w:rPr>
              <w:t>1</w:t>
            </w:r>
          </w:p>
        </w:tc>
        <w:tc>
          <w:tcPr>
            <w:tcW w:w="688" w:type="pct"/>
          </w:tcPr>
          <w:p w:rsidR="00672193" w:rsidRPr="00CF41D2" w:rsidRDefault="00672193" w:rsidP="00642B54">
            <w:pPr>
              <w:spacing w:line="360" w:lineRule="auto"/>
              <w:jc w:val="center"/>
              <w:rPr>
                <w:szCs w:val="24"/>
              </w:rPr>
            </w:pPr>
            <w:r w:rsidRPr="00CF41D2">
              <w:rPr>
                <w:szCs w:val="24"/>
              </w:rPr>
              <w:t>5.8</w:t>
            </w:r>
          </w:p>
        </w:tc>
        <w:tc>
          <w:tcPr>
            <w:tcW w:w="1234" w:type="pct"/>
          </w:tcPr>
          <w:p w:rsidR="00672193" w:rsidRPr="00CF41D2" w:rsidRDefault="00672193" w:rsidP="00642B54">
            <w:pPr>
              <w:spacing w:line="360" w:lineRule="auto"/>
              <w:jc w:val="center"/>
              <w:rPr>
                <w:szCs w:val="24"/>
              </w:rPr>
            </w:pPr>
            <w:r w:rsidRPr="00CF41D2">
              <w:rPr>
                <w:szCs w:val="24"/>
              </w:rPr>
              <w:t>&gt;1%</w:t>
            </w:r>
          </w:p>
        </w:tc>
      </w:tr>
      <w:tr w:rsidR="00672193" w:rsidRPr="00CF41D2" w:rsidTr="00642B54">
        <w:tc>
          <w:tcPr>
            <w:tcW w:w="1954" w:type="pct"/>
          </w:tcPr>
          <w:p w:rsidR="00672193" w:rsidRPr="00CF41D2" w:rsidRDefault="00672193" w:rsidP="00642B54">
            <w:pPr>
              <w:spacing w:line="360" w:lineRule="auto"/>
              <w:rPr>
                <w:szCs w:val="24"/>
              </w:rPr>
            </w:pPr>
            <w:r w:rsidRPr="00CF41D2">
              <w:rPr>
                <w:szCs w:val="24"/>
              </w:rPr>
              <w:t>Return on Equity</w:t>
            </w:r>
          </w:p>
        </w:tc>
        <w:tc>
          <w:tcPr>
            <w:tcW w:w="457" w:type="pct"/>
          </w:tcPr>
          <w:p w:rsidR="00672193" w:rsidRPr="00CF41D2" w:rsidRDefault="00672193" w:rsidP="00642B54">
            <w:pPr>
              <w:spacing w:line="360" w:lineRule="auto"/>
              <w:jc w:val="center"/>
              <w:rPr>
                <w:szCs w:val="24"/>
              </w:rPr>
            </w:pPr>
            <w:r w:rsidRPr="00CF41D2">
              <w:rPr>
                <w:szCs w:val="24"/>
              </w:rPr>
              <w:t>71.5</w:t>
            </w:r>
          </w:p>
        </w:tc>
        <w:tc>
          <w:tcPr>
            <w:tcW w:w="667" w:type="pct"/>
          </w:tcPr>
          <w:p w:rsidR="00672193" w:rsidRPr="00CF41D2" w:rsidRDefault="00672193" w:rsidP="00642B54">
            <w:pPr>
              <w:spacing w:line="360" w:lineRule="auto"/>
              <w:jc w:val="center"/>
              <w:rPr>
                <w:szCs w:val="24"/>
              </w:rPr>
            </w:pPr>
            <w:r w:rsidRPr="00CF41D2">
              <w:rPr>
                <w:szCs w:val="24"/>
              </w:rPr>
              <w:t>12</w:t>
            </w:r>
          </w:p>
        </w:tc>
        <w:tc>
          <w:tcPr>
            <w:tcW w:w="688" w:type="pct"/>
          </w:tcPr>
          <w:p w:rsidR="00672193" w:rsidRPr="00CF41D2" w:rsidRDefault="00672193" w:rsidP="00642B54">
            <w:pPr>
              <w:spacing w:line="360" w:lineRule="auto"/>
              <w:jc w:val="center"/>
              <w:rPr>
                <w:szCs w:val="24"/>
              </w:rPr>
            </w:pPr>
            <w:r w:rsidRPr="00CF41D2">
              <w:rPr>
                <w:szCs w:val="24"/>
              </w:rPr>
              <w:t>132.6</w:t>
            </w:r>
          </w:p>
        </w:tc>
        <w:tc>
          <w:tcPr>
            <w:tcW w:w="1234" w:type="pct"/>
          </w:tcPr>
          <w:p w:rsidR="00672193" w:rsidRPr="00CF41D2" w:rsidRDefault="00672193" w:rsidP="00642B54">
            <w:pPr>
              <w:spacing w:line="360" w:lineRule="auto"/>
              <w:jc w:val="center"/>
              <w:rPr>
                <w:szCs w:val="24"/>
              </w:rPr>
            </w:pPr>
            <w:r w:rsidRPr="00CF41D2">
              <w:rPr>
                <w:szCs w:val="24"/>
              </w:rPr>
              <w:t>&gt;15%</w:t>
            </w:r>
          </w:p>
        </w:tc>
      </w:tr>
    </w:tbl>
    <w:p w:rsidR="00672193" w:rsidRPr="00CF41D2" w:rsidRDefault="00672193" w:rsidP="00672193">
      <w:pPr>
        <w:spacing w:line="360" w:lineRule="auto"/>
        <w:rPr>
          <w:rFonts w:eastAsia="TimesNewRoman"/>
          <w:szCs w:val="24"/>
        </w:rPr>
      </w:pPr>
      <w:r w:rsidRPr="00CF41D2">
        <w:rPr>
          <w:rFonts w:eastAsia="TimesNewRoman"/>
          <w:szCs w:val="24"/>
        </w:rPr>
        <w:t xml:space="preserve">Source: CBE’s Annual Reports (2011-2020) and Own Computation </w:t>
      </w:r>
    </w:p>
    <w:p w:rsidR="00672193" w:rsidRPr="00CF41D2" w:rsidRDefault="00672193" w:rsidP="00672193">
      <w:pPr>
        <w:pStyle w:val="Heading3"/>
        <w:numPr>
          <w:ilvl w:val="2"/>
          <w:numId w:val="11"/>
        </w:numPr>
        <w:spacing w:line="360" w:lineRule="auto"/>
        <w:rPr>
          <w:rFonts w:eastAsiaTheme="minorHAnsi"/>
          <w:color w:val="auto"/>
          <w:sz w:val="22"/>
        </w:rPr>
      </w:pPr>
      <w:bookmarkStart w:id="83" w:name="_Toc519167273"/>
      <w:bookmarkStart w:id="84" w:name="_Toc73104302"/>
      <w:r w:rsidRPr="00CF41D2">
        <w:rPr>
          <w:rFonts w:eastAsiaTheme="minorHAnsi"/>
          <w:color w:val="auto"/>
          <w:sz w:val="22"/>
        </w:rPr>
        <w:t>Return on Asset</w:t>
      </w:r>
      <w:bookmarkEnd w:id="83"/>
      <w:bookmarkEnd w:id="84"/>
    </w:p>
    <w:p w:rsidR="00672193" w:rsidRPr="00CF41D2" w:rsidRDefault="00672193" w:rsidP="00672193">
      <w:pPr>
        <w:widowControl w:val="0"/>
        <w:overflowPunct w:val="0"/>
        <w:autoSpaceDE w:val="0"/>
        <w:autoSpaceDN w:val="0"/>
        <w:adjustRightInd w:val="0"/>
        <w:spacing w:after="0" w:line="360" w:lineRule="auto"/>
        <w:ind w:left="4"/>
        <w:jc w:val="both"/>
      </w:pPr>
      <w:r w:rsidRPr="00CF41D2">
        <w:t>This ratio helps us to evaluate how well the bank uses its assets in its operations. The lower the ROA means the less profitable is the bank and vice versa. Based on this line of reference, the ROA of CBE looks like as follows.</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t xml:space="preserve">As it can be seen in Table 4.4 above, </w:t>
      </w:r>
      <w:r w:rsidRPr="00CF41D2">
        <w:rPr>
          <w:rFonts w:eastAsia="TimesNewRoman"/>
          <w:szCs w:val="24"/>
        </w:rPr>
        <w:t xml:space="preserve">the bank has the highest ROA of 5.8 in the year 2012 and the lowest earnings growth rate of 1.03 in 2018. On average, </w:t>
      </w:r>
      <w:r w:rsidRPr="00CF41D2">
        <w:t>the bank had shown a</w:t>
      </w:r>
      <w:r w:rsidRPr="00CF41D2">
        <w:rPr>
          <w:rFonts w:eastAsia="TimesNewRoman"/>
          <w:szCs w:val="24"/>
        </w:rPr>
        <w:t xml:space="preserve"> 3.6 in ROA during the study period commencing from 2011 to 2020. </w:t>
      </w:r>
    </w:p>
    <w:p w:rsidR="00672193" w:rsidRPr="00CF41D2" w:rsidRDefault="00672193" w:rsidP="00672193">
      <w:pPr>
        <w:widowControl w:val="0"/>
        <w:overflowPunct w:val="0"/>
        <w:autoSpaceDE w:val="0"/>
        <w:autoSpaceDN w:val="0"/>
        <w:adjustRightInd w:val="0"/>
        <w:spacing w:line="360" w:lineRule="auto"/>
        <w:jc w:val="both"/>
      </w:pPr>
      <w:r w:rsidRPr="00CF41D2">
        <w:t>This implies that the bank has shown a better level of efficiency in utilization of assets to generate profit in the study period of operations. Thus, from the computation made above one can deduce that for every Birr invested in assets, on average CBE had earned about 3.6 from each and every asset invested during the study period.</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When it </w:t>
      </w:r>
      <w:r w:rsidRPr="00CF41D2">
        <w:t xml:space="preserve">compared to the international standard requirement, the bank fulfilled beyond the AIA’s standard of </w:t>
      </w:r>
      <w:r w:rsidRPr="00CF41D2">
        <w:rPr>
          <w:szCs w:val="24"/>
        </w:rPr>
        <w:t xml:space="preserve">&gt;1% </w:t>
      </w:r>
      <w:r w:rsidRPr="00CF41D2">
        <w:t>ROA</w:t>
      </w:r>
      <w:r w:rsidRPr="00CF41D2">
        <w:rPr>
          <w:rFonts w:eastAsia="TimesNewRoman"/>
          <w:szCs w:val="24"/>
        </w:rPr>
        <w:t xml:space="preserve"> throughout </w:t>
      </w:r>
      <w:r w:rsidRPr="00CF41D2">
        <w:t xml:space="preserve">the study period commencing from 2011 to 2020. </w:t>
      </w:r>
      <w:r w:rsidRPr="00CF41D2">
        <w:rPr>
          <w:rFonts w:eastAsia="TimesNewRoman"/>
          <w:szCs w:val="24"/>
        </w:rPr>
        <w:t>This also indicates that, the bank has a competitive performance in ROA throughout the study period.</w:t>
      </w:r>
    </w:p>
    <w:p w:rsidR="00672193" w:rsidRPr="00CF41D2" w:rsidRDefault="00672193" w:rsidP="00672193">
      <w:pPr>
        <w:pStyle w:val="Heading3"/>
        <w:numPr>
          <w:ilvl w:val="2"/>
          <w:numId w:val="11"/>
        </w:numPr>
        <w:spacing w:line="360" w:lineRule="auto"/>
        <w:rPr>
          <w:rFonts w:eastAsiaTheme="minorHAnsi"/>
          <w:color w:val="auto"/>
          <w:sz w:val="22"/>
        </w:rPr>
      </w:pPr>
      <w:bookmarkStart w:id="85" w:name="_Toc519167274"/>
      <w:bookmarkStart w:id="86" w:name="_Toc73104303"/>
      <w:r w:rsidRPr="00CF41D2">
        <w:rPr>
          <w:rFonts w:eastAsiaTheme="minorHAnsi"/>
          <w:color w:val="auto"/>
          <w:sz w:val="22"/>
        </w:rPr>
        <w:t>Return on Equity</w:t>
      </w:r>
      <w:bookmarkEnd w:id="85"/>
      <w:bookmarkEnd w:id="86"/>
    </w:p>
    <w:p w:rsidR="00672193" w:rsidRPr="00CF41D2" w:rsidRDefault="00672193" w:rsidP="00672193">
      <w:pPr>
        <w:spacing w:line="360" w:lineRule="auto"/>
        <w:jc w:val="both"/>
        <w:rPr>
          <w:szCs w:val="24"/>
        </w:rPr>
      </w:pPr>
      <w:r w:rsidRPr="00CF41D2">
        <w:rPr>
          <w:szCs w:val="24"/>
        </w:rPr>
        <w:t>The ROE is the ratio of the net income that shareholders receive to their equity in the stock. The lower value of this ratio shows the lower is the financial performance and vice versa.</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szCs w:val="24"/>
        </w:rPr>
        <w:t xml:space="preserve">In view of that, </w:t>
      </w:r>
      <w:r w:rsidRPr="00CF41D2">
        <w:t xml:space="preserve">Table 4.4 above shows that </w:t>
      </w:r>
      <w:r w:rsidRPr="00CF41D2">
        <w:rPr>
          <w:szCs w:val="24"/>
        </w:rPr>
        <w:t xml:space="preserve">the bank has </w:t>
      </w:r>
      <w:r w:rsidRPr="00CF41D2">
        <w:rPr>
          <w:rFonts w:eastAsia="TimesNewRoman"/>
          <w:szCs w:val="24"/>
        </w:rPr>
        <w:t xml:space="preserve">performed the highest ROE of </w:t>
      </w:r>
      <w:r w:rsidRPr="00CF41D2">
        <w:rPr>
          <w:szCs w:val="24"/>
        </w:rPr>
        <w:t xml:space="preserve">132.6 </w:t>
      </w:r>
      <w:r w:rsidRPr="00CF41D2">
        <w:rPr>
          <w:rFonts w:eastAsia="TimesNewRoman"/>
          <w:szCs w:val="24"/>
        </w:rPr>
        <w:t xml:space="preserve">in the year 2015 and the lowest ROE of </w:t>
      </w:r>
      <w:r w:rsidRPr="00CF41D2">
        <w:rPr>
          <w:szCs w:val="24"/>
        </w:rPr>
        <w:t xml:space="preserve">12 </w:t>
      </w:r>
      <w:r w:rsidRPr="00CF41D2">
        <w:rPr>
          <w:rFonts w:eastAsia="TimesNewRoman"/>
          <w:szCs w:val="24"/>
        </w:rPr>
        <w:t xml:space="preserve">in 2010. On average, </w:t>
      </w:r>
      <w:r w:rsidRPr="00CF41D2">
        <w:t>the bank had shown a</w:t>
      </w:r>
      <w:r w:rsidRPr="00CF41D2">
        <w:rPr>
          <w:rFonts w:eastAsia="TimesNewRoman"/>
          <w:szCs w:val="24"/>
        </w:rPr>
        <w:t xml:space="preserve"> </w:t>
      </w:r>
      <w:r w:rsidRPr="00CF41D2">
        <w:rPr>
          <w:szCs w:val="24"/>
        </w:rPr>
        <w:t xml:space="preserve">71.5 </w:t>
      </w:r>
      <w:r w:rsidRPr="00CF41D2">
        <w:rPr>
          <w:rFonts w:eastAsia="TimesNewRoman"/>
          <w:szCs w:val="24"/>
        </w:rPr>
        <w:t>in ROE throughout the study period commencing from 2011 to 2020. This indicates that on average</w:t>
      </w:r>
      <w:r w:rsidRPr="00CF41D2">
        <w:rPr>
          <w:szCs w:val="24"/>
        </w:rPr>
        <w:t xml:space="preserve">, the Bank had earned 71.5 % of its investment </w:t>
      </w:r>
      <w:r w:rsidRPr="00CF41D2">
        <w:rPr>
          <w:rFonts w:eastAsia="TimesNewRoman"/>
          <w:szCs w:val="24"/>
        </w:rPr>
        <w:t>throughout the study period.</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When it </w:t>
      </w:r>
      <w:r w:rsidRPr="00CF41D2">
        <w:t xml:space="preserve">compared to the international standard requirement, the bank has fulfilled beyond the AIA’s standard of </w:t>
      </w:r>
      <w:r w:rsidRPr="00CF41D2">
        <w:rPr>
          <w:szCs w:val="24"/>
        </w:rPr>
        <w:t xml:space="preserve">&gt;15% </w:t>
      </w:r>
      <w:r w:rsidRPr="00CF41D2">
        <w:t>ROE</w:t>
      </w:r>
      <w:r w:rsidRPr="00CF41D2">
        <w:rPr>
          <w:rFonts w:eastAsia="TimesNewRoman"/>
          <w:szCs w:val="24"/>
        </w:rPr>
        <w:t xml:space="preserve"> throughout </w:t>
      </w:r>
      <w:r w:rsidRPr="00CF41D2">
        <w:t xml:space="preserve">the study period commencing from 2011 to 2020. </w:t>
      </w:r>
      <w:r w:rsidRPr="00CF41D2">
        <w:rPr>
          <w:rFonts w:eastAsia="TimesNewRoman"/>
          <w:szCs w:val="24"/>
        </w:rPr>
        <w:t xml:space="preserve">This </w:t>
      </w:r>
      <w:r w:rsidRPr="00CF41D2">
        <w:rPr>
          <w:rFonts w:eastAsia="TimesNewRoman"/>
          <w:szCs w:val="24"/>
        </w:rPr>
        <w:lastRenderedPageBreak/>
        <w:t>also indicates that, the bank has a competitive performance in ROE throughout the study period.</w:t>
      </w:r>
    </w:p>
    <w:p w:rsidR="00672193" w:rsidRPr="00CF41D2" w:rsidRDefault="00672193" w:rsidP="00672193">
      <w:pPr>
        <w:pStyle w:val="Heading2"/>
        <w:numPr>
          <w:ilvl w:val="1"/>
          <w:numId w:val="11"/>
        </w:numPr>
        <w:spacing w:before="0" w:after="100" w:line="360" w:lineRule="auto"/>
        <w:ind w:left="357" w:hanging="357"/>
        <w:jc w:val="both"/>
        <w:rPr>
          <w:rFonts w:eastAsia="TimesNewRoman"/>
          <w:color w:val="auto"/>
        </w:rPr>
      </w:pPr>
      <w:bookmarkStart w:id="87" w:name="_Toc519167275"/>
      <w:bookmarkStart w:id="88" w:name="_Toc73104304"/>
      <w:r w:rsidRPr="00CF41D2">
        <w:rPr>
          <w:rFonts w:eastAsia="TimesNewRoman"/>
          <w:color w:val="auto"/>
        </w:rPr>
        <w:t>Liquidity Performance Analysis</w:t>
      </w:r>
      <w:bookmarkEnd w:id="87"/>
      <w:bookmarkEnd w:id="88"/>
    </w:p>
    <w:p w:rsidR="00672193" w:rsidRPr="00CF41D2" w:rsidRDefault="00672193" w:rsidP="00672193">
      <w:pPr>
        <w:widowControl w:val="0"/>
        <w:overflowPunct w:val="0"/>
        <w:autoSpaceDE w:val="0"/>
        <w:autoSpaceDN w:val="0"/>
        <w:adjustRightInd w:val="0"/>
        <w:spacing w:after="0" w:line="360" w:lineRule="auto"/>
        <w:jc w:val="both"/>
        <w:rPr>
          <w:szCs w:val="24"/>
        </w:rPr>
      </w:pPr>
      <w:r w:rsidRPr="00CF41D2">
        <w:rPr>
          <w:szCs w:val="24"/>
        </w:rPr>
        <w:t xml:space="preserve">Liquidity management is one of the most important functions of a bank. If funds tapped are not properly utilized, the institution will suffer loss. Idle cash balance in hand has no yield. On the other hand if the bank does not keep balanced liquid cash in hand, it cannot be able to pay the demand withdrawal of depositors, as well as, installment of creditors and ultimately payment for other contingent liabilities. </w:t>
      </w:r>
    </w:p>
    <w:p w:rsidR="00672193" w:rsidRPr="00CF41D2" w:rsidRDefault="00672193" w:rsidP="00672193">
      <w:pPr>
        <w:widowControl w:val="0"/>
        <w:overflowPunct w:val="0"/>
        <w:autoSpaceDE w:val="0"/>
        <w:autoSpaceDN w:val="0"/>
        <w:adjustRightInd w:val="0"/>
        <w:spacing w:after="0" w:line="360" w:lineRule="auto"/>
        <w:jc w:val="both"/>
        <w:rPr>
          <w:szCs w:val="24"/>
        </w:rPr>
      </w:pPr>
      <w:r w:rsidRPr="00CF41D2">
        <w:rPr>
          <w:szCs w:val="24"/>
        </w:rPr>
        <w:t xml:space="preserve">The liquidity ratios are ratios which are used for measuring the ability of the bank to meet its financial obligations as they become due and are crucial to the sustained viability of the banking institutions. The overall liquidity position of the CBE </w:t>
      </w:r>
      <w:r w:rsidRPr="00CF41D2">
        <w:rPr>
          <w:rFonts w:eastAsia="TimesNewRoman"/>
          <w:szCs w:val="24"/>
        </w:rPr>
        <w:t>throughout the study period commencing from 2011 to 2020</w:t>
      </w:r>
      <w:r w:rsidRPr="00CF41D2">
        <w:rPr>
          <w:szCs w:val="24"/>
        </w:rPr>
        <w:t xml:space="preserve"> are presented in Figure 6 bellow.</w:t>
      </w:r>
    </w:p>
    <w:p w:rsidR="00672193" w:rsidRPr="00CF41D2" w:rsidRDefault="00672193" w:rsidP="00672193">
      <w:pPr>
        <w:widowControl w:val="0"/>
        <w:overflowPunct w:val="0"/>
        <w:autoSpaceDE w:val="0"/>
        <w:autoSpaceDN w:val="0"/>
        <w:adjustRightInd w:val="0"/>
        <w:spacing w:after="0" w:line="360" w:lineRule="auto"/>
        <w:jc w:val="both"/>
        <w:rPr>
          <w:szCs w:val="24"/>
        </w:rPr>
      </w:pPr>
      <w:r w:rsidRPr="00CF41D2">
        <w:rPr>
          <w:noProof/>
          <w:szCs w:val="24"/>
        </w:rPr>
        <w:drawing>
          <wp:inline distT="0" distB="0" distL="0" distR="0">
            <wp:extent cx="5762625" cy="2562225"/>
            <wp:effectExtent l="19050" t="0" r="9525" b="0"/>
            <wp:docPr id="1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72193" w:rsidRPr="00CF41D2" w:rsidRDefault="00672193" w:rsidP="00672193">
      <w:pPr>
        <w:pStyle w:val="Caption"/>
        <w:spacing w:line="360" w:lineRule="auto"/>
        <w:jc w:val="center"/>
        <w:rPr>
          <w:rFonts w:eastAsia="TimesNewRoman"/>
          <w:b w:val="0"/>
          <w:color w:val="auto"/>
          <w:sz w:val="24"/>
          <w:szCs w:val="24"/>
        </w:rPr>
      </w:pPr>
      <w:r w:rsidRPr="00CF41D2">
        <w:rPr>
          <w:b w:val="0"/>
          <w:color w:val="auto"/>
          <w:sz w:val="24"/>
          <w:szCs w:val="24"/>
        </w:rPr>
        <w:t>Figure 6:  Liquidity Performance of CBE from 2011 to 2020</w:t>
      </w:r>
    </w:p>
    <w:p w:rsidR="00672193" w:rsidRPr="00CF41D2" w:rsidRDefault="00672193" w:rsidP="00672193">
      <w:pPr>
        <w:widowControl w:val="0"/>
        <w:overflowPunct w:val="0"/>
        <w:autoSpaceDE w:val="0"/>
        <w:autoSpaceDN w:val="0"/>
        <w:adjustRightInd w:val="0"/>
        <w:spacing w:after="0" w:line="360" w:lineRule="auto"/>
        <w:jc w:val="center"/>
        <w:rPr>
          <w:rFonts w:eastAsia="TimesNewRoman"/>
          <w:szCs w:val="24"/>
        </w:rPr>
      </w:pPr>
      <w:r w:rsidRPr="00CF41D2">
        <w:rPr>
          <w:rFonts w:eastAsia="TimesNewRoman"/>
          <w:szCs w:val="24"/>
        </w:rPr>
        <w:t>Source: CBE’s Annual Reports (2011-2020)</w:t>
      </w:r>
    </w:p>
    <w:p w:rsidR="00672193" w:rsidRPr="00CF41D2" w:rsidRDefault="00672193" w:rsidP="00672193">
      <w:pPr>
        <w:widowControl w:val="0"/>
        <w:overflowPunct w:val="0"/>
        <w:autoSpaceDE w:val="0"/>
        <w:autoSpaceDN w:val="0"/>
        <w:adjustRightInd w:val="0"/>
        <w:spacing w:after="0" w:line="360" w:lineRule="auto"/>
        <w:rPr>
          <w:rFonts w:eastAsia="TimesNewRoman"/>
          <w:sz w:val="8"/>
          <w:szCs w:val="24"/>
        </w:rPr>
      </w:pPr>
    </w:p>
    <w:p w:rsidR="00672193" w:rsidRPr="00CF41D2" w:rsidRDefault="00672193" w:rsidP="00672193">
      <w:pPr>
        <w:widowControl w:val="0"/>
        <w:overflowPunct w:val="0"/>
        <w:autoSpaceDE w:val="0"/>
        <w:autoSpaceDN w:val="0"/>
        <w:adjustRightInd w:val="0"/>
        <w:spacing w:after="0" w:line="360" w:lineRule="auto"/>
        <w:jc w:val="both"/>
        <w:rPr>
          <w:szCs w:val="24"/>
        </w:rPr>
      </w:pPr>
      <w:r w:rsidRPr="00CF41D2">
        <w:rPr>
          <w:szCs w:val="24"/>
        </w:rPr>
        <w:t>In this study, CBE had shown approximately a steady performance in loan to deposit ratio throughout the study period. Nonetheless, in 2012 of the study period, the bank had shown a steady increase in loan to deposit ratio.</w:t>
      </w:r>
    </w:p>
    <w:p w:rsidR="00672193" w:rsidRPr="00CF41D2" w:rsidRDefault="00672193" w:rsidP="00672193">
      <w:pPr>
        <w:spacing w:line="360" w:lineRule="auto"/>
        <w:jc w:val="both"/>
        <w:rPr>
          <w:szCs w:val="24"/>
        </w:rPr>
      </w:pPr>
      <w:r w:rsidRPr="00CF41D2">
        <w:t xml:space="preserve">When it analyzed deposit to asset ratio of CBE </w:t>
      </w:r>
      <w:r w:rsidRPr="00CF41D2">
        <w:rPr>
          <w:rFonts w:eastAsia="TimesNewRoman"/>
          <w:szCs w:val="24"/>
        </w:rPr>
        <w:t>throughout</w:t>
      </w:r>
      <w:r w:rsidRPr="00CF41D2">
        <w:t xml:space="preserve"> the study period the result in figure 4 shows a growth rate in the two years of operations. Again the deposit to asset ratio shows a decline rate in the next four years of operation. However, the deposit to asset ratio of CBE increased in 2015. </w:t>
      </w:r>
      <w:r w:rsidRPr="00CF41D2">
        <w:rPr>
          <w:szCs w:val="24"/>
        </w:rPr>
        <w:t xml:space="preserve">Table 4.5 shows the overall performance of each liquidity measurement indicators in CBE </w:t>
      </w:r>
      <w:r w:rsidRPr="00CF41D2">
        <w:rPr>
          <w:rFonts w:eastAsia="TimesNewRoman"/>
          <w:szCs w:val="24"/>
        </w:rPr>
        <w:t>throughout</w:t>
      </w:r>
      <w:r w:rsidRPr="00CF41D2">
        <w:rPr>
          <w:szCs w:val="24"/>
        </w:rPr>
        <w:t xml:space="preserve"> the study period commencing from 2011 to 2020.</w:t>
      </w:r>
    </w:p>
    <w:p w:rsidR="00672193" w:rsidRPr="00CF41D2" w:rsidRDefault="00672193" w:rsidP="00672193">
      <w:pPr>
        <w:pStyle w:val="Caption"/>
        <w:keepNext/>
        <w:spacing w:line="360" w:lineRule="auto"/>
        <w:rPr>
          <w:b w:val="0"/>
          <w:color w:val="auto"/>
          <w:sz w:val="24"/>
          <w:szCs w:val="24"/>
        </w:rPr>
      </w:pPr>
      <w:r w:rsidRPr="00CF41D2">
        <w:rPr>
          <w:b w:val="0"/>
          <w:color w:val="auto"/>
          <w:sz w:val="24"/>
          <w:szCs w:val="24"/>
        </w:rPr>
        <w:lastRenderedPageBreak/>
        <w:t>Table 4.5:  The Overall Liquidity Performance of CBE from 2011 to 2020</w:t>
      </w:r>
    </w:p>
    <w:tbl>
      <w:tblPr>
        <w:tblStyle w:val="TableGrid"/>
        <w:tblW w:w="5000" w:type="pct"/>
        <w:tblLook w:val="04A0"/>
      </w:tblPr>
      <w:tblGrid>
        <w:gridCol w:w="3752"/>
        <w:gridCol w:w="837"/>
        <w:gridCol w:w="1287"/>
        <w:gridCol w:w="1327"/>
        <w:gridCol w:w="2373"/>
      </w:tblGrid>
      <w:tr w:rsidR="00672193" w:rsidRPr="00CF41D2" w:rsidTr="00642B54">
        <w:tc>
          <w:tcPr>
            <w:tcW w:w="1959" w:type="pct"/>
          </w:tcPr>
          <w:p w:rsidR="00672193" w:rsidRPr="00CF41D2" w:rsidRDefault="00672193" w:rsidP="00642B54">
            <w:pPr>
              <w:spacing w:line="360" w:lineRule="auto"/>
              <w:rPr>
                <w:b/>
                <w:szCs w:val="24"/>
              </w:rPr>
            </w:pPr>
            <w:r w:rsidRPr="00CF41D2">
              <w:rPr>
                <w:b/>
                <w:szCs w:val="24"/>
              </w:rPr>
              <w:t>Ratios</w:t>
            </w:r>
          </w:p>
        </w:tc>
        <w:tc>
          <w:tcPr>
            <w:tcW w:w="437" w:type="pct"/>
          </w:tcPr>
          <w:p w:rsidR="00672193" w:rsidRPr="00CF41D2" w:rsidRDefault="00672193" w:rsidP="00642B54">
            <w:pPr>
              <w:spacing w:line="360" w:lineRule="auto"/>
              <w:rPr>
                <w:b/>
                <w:szCs w:val="24"/>
              </w:rPr>
            </w:pPr>
            <w:r w:rsidRPr="00CF41D2">
              <w:rPr>
                <w:b/>
                <w:szCs w:val="24"/>
              </w:rPr>
              <w:t>Mean</w:t>
            </w:r>
          </w:p>
        </w:tc>
        <w:tc>
          <w:tcPr>
            <w:tcW w:w="672" w:type="pct"/>
          </w:tcPr>
          <w:p w:rsidR="00672193" w:rsidRPr="00CF41D2" w:rsidRDefault="00672193" w:rsidP="00642B54">
            <w:pPr>
              <w:spacing w:line="360" w:lineRule="auto"/>
              <w:rPr>
                <w:b/>
                <w:szCs w:val="24"/>
              </w:rPr>
            </w:pPr>
            <w:r w:rsidRPr="00CF41D2">
              <w:rPr>
                <w:b/>
                <w:szCs w:val="24"/>
              </w:rPr>
              <w:t>Minimum</w:t>
            </w:r>
          </w:p>
        </w:tc>
        <w:tc>
          <w:tcPr>
            <w:tcW w:w="693" w:type="pct"/>
          </w:tcPr>
          <w:p w:rsidR="00672193" w:rsidRPr="00CF41D2" w:rsidRDefault="00672193" w:rsidP="00642B54">
            <w:pPr>
              <w:spacing w:line="360" w:lineRule="auto"/>
              <w:rPr>
                <w:b/>
                <w:szCs w:val="24"/>
              </w:rPr>
            </w:pPr>
            <w:r w:rsidRPr="00CF41D2">
              <w:rPr>
                <w:b/>
                <w:szCs w:val="24"/>
              </w:rPr>
              <w:t>Maximum</w:t>
            </w:r>
          </w:p>
        </w:tc>
        <w:tc>
          <w:tcPr>
            <w:tcW w:w="1239" w:type="pct"/>
          </w:tcPr>
          <w:p w:rsidR="00672193" w:rsidRPr="00CF41D2" w:rsidRDefault="00672193" w:rsidP="00642B54">
            <w:pPr>
              <w:spacing w:line="360" w:lineRule="auto"/>
              <w:rPr>
                <w:b/>
                <w:szCs w:val="24"/>
              </w:rPr>
            </w:pPr>
            <w:r w:rsidRPr="00CF41D2">
              <w:rPr>
                <w:b/>
                <w:szCs w:val="24"/>
              </w:rPr>
              <w:t>The AIA’s Standard</w:t>
            </w:r>
          </w:p>
        </w:tc>
      </w:tr>
      <w:tr w:rsidR="00672193" w:rsidRPr="00CF41D2" w:rsidTr="00642B54">
        <w:tc>
          <w:tcPr>
            <w:tcW w:w="1959" w:type="pct"/>
          </w:tcPr>
          <w:p w:rsidR="00672193" w:rsidRPr="00CF41D2" w:rsidRDefault="00672193" w:rsidP="00642B54">
            <w:pPr>
              <w:spacing w:line="360" w:lineRule="auto"/>
              <w:rPr>
                <w:szCs w:val="24"/>
              </w:rPr>
            </w:pPr>
            <w:r w:rsidRPr="00CF41D2">
              <w:rPr>
                <w:szCs w:val="24"/>
              </w:rPr>
              <w:t>Loan to Deposit Ratio</w:t>
            </w:r>
          </w:p>
        </w:tc>
        <w:tc>
          <w:tcPr>
            <w:tcW w:w="437" w:type="pct"/>
          </w:tcPr>
          <w:p w:rsidR="00672193" w:rsidRPr="00CF41D2" w:rsidRDefault="00672193" w:rsidP="00642B54">
            <w:pPr>
              <w:spacing w:line="360" w:lineRule="auto"/>
              <w:rPr>
                <w:szCs w:val="24"/>
              </w:rPr>
            </w:pPr>
            <w:r w:rsidRPr="00CF41D2">
              <w:rPr>
                <w:szCs w:val="24"/>
              </w:rPr>
              <w:t>43%</w:t>
            </w:r>
          </w:p>
        </w:tc>
        <w:tc>
          <w:tcPr>
            <w:tcW w:w="672" w:type="pct"/>
          </w:tcPr>
          <w:p w:rsidR="00672193" w:rsidRPr="00CF41D2" w:rsidRDefault="00672193" w:rsidP="00642B54">
            <w:pPr>
              <w:spacing w:line="360" w:lineRule="auto"/>
              <w:rPr>
                <w:szCs w:val="24"/>
              </w:rPr>
            </w:pPr>
            <w:r w:rsidRPr="00CF41D2">
              <w:rPr>
                <w:szCs w:val="24"/>
              </w:rPr>
              <w:t>36%</w:t>
            </w:r>
          </w:p>
        </w:tc>
        <w:tc>
          <w:tcPr>
            <w:tcW w:w="693" w:type="pct"/>
          </w:tcPr>
          <w:p w:rsidR="00672193" w:rsidRPr="00CF41D2" w:rsidRDefault="00672193" w:rsidP="00642B54">
            <w:pPr>
              <w:spacing w:line="360" w:lineRule="auto"/>
              <w:rPr>
                <w:szCs w:val="24"/>
              </w:rPr>
            </w:pPr>
            <w:r w:rsidRPr="00CF41D2">
              <w:rPr>
                <w:szCs w:val="24"/>
              </w:rPr>
              <w:t>51%</w:t>
            </w:r>
          </w:p>
        </w:tc>
        <w:tc>
          <w:tcPr>
            <w:tcW w:w="1239" w:type="pct"/>
          </w:tcPr>
          <w:p w:rsidR="00672193" w:rsidRPr="00CF41D2" w:rsidRDefault="00672193" w:rsidP="00642B54">
            <w:pPr>
              <w:spacing w:line="360" w:lineRule="auto"/>
              <w:rPr>
                <w:szCs w:val="24"/>
              </w:rPr>
            </w:pPr>
            <w:r w:rsidRPr="00CF41D2">
              <w:rPr>
                <w:szCs w:val="24"/>
              </w:rPr>
              <w:t>&lt; 80%</w:t>
            </w:r>
          </w:p>
        </w:tc>
      </w:tr>
      <w:tr w:rsidR="00672193" w:rsidRPr="00CF41D2" w:rsidTr="00642B54">
        <w:tc>
          <w:tcPr>
            <w:tcW w:w="1959" w:type="pct"/>
          </w:tcPr>
          <w:p w:rsidR="00672193" w:rsidRPr="00CF41D2" w:rsidRDefault="00672193" w:rsidP="00642B54">
            <w:pPr>
              <w:spacing w:line="360" w:lineRule="auto"/>
              <w:rPr>
                <w:szCs w:val="24"/>
              </w:rPr>
            </w:pPr>
            <w:r w:rsidRPr="00CF41D2">
              <w:rPr>
                <w:szCs w:val="24"/>
              </w:rPr>
              <w:t>Deposit to Asset Ratio</w:t>
            </w:r>
          </w:p>
        </w:tc>
        <w:tc>
          <w:tcPr>
            <w:tcW w:w="437" w:type="pct"/>
          </w:tcPr>
          <w:p w:rsidR="00672193" w:rsidRPr="00CF41D2" w:rsidRDefault="00672193" w:rsidP="00642B54">
            <w:pPr>
              <w:spacing w:line="360" w:lineRule="auto"/>
              <w:rPr>
                <w:szCs w:val="24"/>
              </w:rPr>
            </w:pPr>
            <w:r w:rsidRPr="00CF41D2">
              <w:rPr>
                <w:szCs w:val="24"/>
              </w:rPr>
              <w:t>77%</w:t>
            </w:r>
          </w:p>
        </w:tc>
        <w:tc>
          <w:tcPr>
            <w:tcW w:w="672" w:type="pct"/>
          </w:tcPr>
          <w:p w:rsidR="00672193" w:rsidRPr="00CF41D2" w:rsidRDefault="00672193" w:rsidP="00642B54">
            <w:pPr>
              <w:spacing w:line="360" w:lineRule="auto"/>
              <w:rPr>
                <w:szCs w:val="24"/>
              </w:rPr>
            </w:pPr>
            <w:r w:rsidRPr="00CF41D2">
              <w:rPr>
                <w:szCs w:val="24"/>
              </w:rPr>
              <w:t>73%</w:t>
            </w:r>
          </w:p>
        </w:tc>
        <w:tc>
          <w:tcPr>
            <w:tcW w:w="693" w:type="pct"/>
          </w:tcPr>
          <w:p w:rsidR="00672193" w:rsidRPr="00CF41D2" w:rsidRDefault="00672193" w:rsidP="00642B54">
            <w:pPr>
              <w:spacing w:line="360" w:lineRule="auto"/>
              <w:rPr>
                <w:szCs w:val="24"/>
              </w:rPr>
            </w:pPr>
            <w:r w:rsidRPr="00CF41D2">
              <w:rPr>
                <w:szCs w:val="24"/>
              </w:rPr>
              <w:t>80%</w:t>
            </w:r>
          </w:p>
        </w:tc>
        <w:tc>
          <w:tcPr>
            <w:tcW w:w="1239" w:type="pct"/>
          </w:tcPr>
          <w:p w:rsidR="00672193" w:rsidRPr="00CF41D2" w:rsidRDefault="00672193" w:rsidP="00642B54">
            <w:pPr>
              <w:spacing w:line="360" w:lineRule="auto"/>
              <w:rPr>
                <w:szCs w:val="24"/>
              </w:rPr>
            </w:pPr>
            <w:r w:rsidRPr="00CF41D2">
              <w:rPr>
                <w:szCs w:val="24"/>
              </w:rPr>
              <w:t>&gt;=75%</w:t>
            </w:r>
          </w:p>
        </w:tc>
      </w:tr>
    </w:tbl>
    <w:p w:rsidR="00672193" w:rsidRPr="00CF41D2" w:rsidRDefault="00672193" w:rsidP="00672193">
      <w:pPr>
        <w:spacing w:line="360" w:lineRule="auto"/>
        <w:rPr>
          <w:rFonts w:eastAsia="TimesNewRoman"/>
          <w:szCs w:val="24"/>
        </w:rPr>
      </w:pPr>
      <w:r w:rsidRPr="00CF41D2">
        <w:rPr>
          <w:rFonts w:eastAsia="TimesNewRoman"/>
          <w:szCs w:val="24"/>
        </w:rPr>
        <w:t xml:space="preserve">Source: CBE’s Annual Reports (2011-2020 and Own Computation </w:t>
      </w:r>
    </w:p>
    <w:p w:rsidR="00672193" w:rsidRPr="00CF41D2" w:rsidRDefault="00672193" w:rsidP="00672193">
      <w:pPr>
        <w:pStyle w:val="Heading3"/>
        <w:numPr>
          <w:ilvl w:val="2"/>
          <w:numId w:val="11"/>
        </w:numPr>
        <w:spacing w:line="360" w:lineRule="auto"/>
        <w:rPr>
          <w:rFonts w:eastAsiaTheme="minorHAnsi"/>
          <w:color w:val="auto"/>
          <w:sz w:val="22"/>
        </w:rPr>
      </w:pPr>
      <w:bookmarkStart w:id="89" w:name="_Toc519167276"/>
      <w:bookmarkStart w:id="90" w:name="_Toc73104305"/>
      <w:r w:rsidRPr="00CF41D2">
        <w:rPr>
          <w:rFonts w:eastAsiaTheme="minorHAnsi"/>
          <w:color w:val="auto"/>
          <w:sz w:val="22"/>
        </w:rPr>
        <w:t>Loan to Deposit Ratio</w:t>
      </w:r>
      <w:bookmarkEnd w:id="89"/>
      <w:bookmarkEnd w:id="90"/>
      <w:r w:rsidRPr="00CF41D2">
        <w:rPr>
          <w:rFonts w:eastAsiaTheme="minorHAnsi"/>
          <w:color w:val="auto"/>
          <w:sz w:val="22"/>
        </w:rPr>
        <w:t xml:space="preserve"> </w:t>
      </w:r>
    </w:p>
    <w:p w:rsidR="00672193" w:rsidRPr="00CF41D2" w:rsidRDefault="00672193" w:rsidP="00672193">
      <w:pPr>
        <w:widowControl w:val="0"/>
        <w:overflowPunct w:val="0"/>
        <w:autoSpaceDE w:val="0"/>
        <w:autoSpaceDN w:val="0"/>
        <w:adjustRightInd w:val="0"/>
        <w:spacing w:line="360" w:lineRule="auto"/>
        <w:ind w:right="23"/>
        <w:jc w:val="both"/>
        <w:rPr>
          <w:szCs w:val="24"/>
        </w:rPr>
      </w:pPr>
      <w:r w:rsidRPr="00CF41D2">
        <w:rPr>
          <w:szCs w:val="24"/>
        </w:rPr>
        <w:t>The loan to deposit ratio is a ratio that is used in determining the amount of loans that a bank has out versus the amount of current deposits on hand at the same time. The loan to deposit ratio also shows the bank’s ability to cover loans. If the ratio is too high, it means that banks might not have enough liquidity to cover any unforeseen fund requirement and vice versa. For that reason, a lower loan to deposit ratio has been always favorable than the higher loan to deposit ratio.</w:t>
      </w:r>
    </w:p>
    <w:p w:rsidR="00672193" w:rsidRPr="00CF41D2" w:rsidRDefault="00672193" w:rsidP="00672193">
      <w:pPr>
        <w:widowControl w:val="0"/>
        <w:overflowPunct w:val="0"/>
        <w:autoSpaceDE w:val="0"/>
        <w:autoSpaceDN w:val="0"/>
        <w:adjustRightInd w:val="0"/>
        <w:spacing w:after="0" w:line="360" w:lineRule="auto"/>
        <w:jc w:val="both"/>
        <w:rPr>
          <w:szCs w:val="24"/>
        </w:rPr>
      </w:pPr>
      <w:r w:rsidRPr="00CF41D2">
        <w:rPr>
          <w:szCs w:val="24"/>
        </w:rPr>
        <w:t xml:space="preserve">In this study, CBE had shown approximately a steady performance in loan to deposit ratio. It is cognizant that the minimum (36%) and the maximum (51%) loan to deposit ratio had been seen throughout the study period. </w:t>
      </w:r>
    </w:p>
    <w:p w:rsidR="00672193" w:rsidRPr="00CF41D2" w:rsidRDefault="00672193" w:rsidP="00672193">
      <w:pPr>
        <w:widowControl w:val="0"/>
        <w:overflowPunct w:val="0"/>
        <w:autoSpaceDE w:val="0"/>
        <w:autoSpaceDN w:val="0"/>
        <w:adjustRightInd w:val="0"/>
        <w:spacing w:after="0" w:line="360" w:lineRule="auto"/>
        <w:jc w:val="both"/>
        <w:rPr>
          <w:szCs w:val="24"/>
        </w:rPr>
      </w:pPr>
      <w:r w:rsidRPr="00CF41D2">
        <w:rPr>
          <w:szCs w:val="24"/>
        </w:rPr>
        <w:t>On average, the loan to deposit ratio of CBE was 43% throughout the study period. This indicates since the bank’s loan to deposit ratio in all years of operation (2011 to 2018) was below 100%, one can conclude that the bank relied on its own deposits to make loans to its customers, without any outside borrowing.</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When it </w:t>
      </w:r>
      <w:r w:rsidRPr="00CF41D2">
        <w:t xml:space="preserve">compared to the international standard requirement, the bank has fulfilled beyond the AIA’s standard of </w:t>
      </w:r>
      <w:r w:rsidRPr="00CF41D2">
        <w:rPr>
          <w:szCs w:val="24"/>
        </w:rPr>
        <w:t xml:space="preserve">&lt;80 % </w:t>
      </w:r>
      <w:r w:rsidRPr="00CF41D2">
        <w:t xml:space="preserve">loan to deposit ratio </w:t>
      </w:r>
      <w:r w:rsidRPr="00CF41D2">
        <w:rPr>
          <w:rFonts w:eastAsia="TimesNewRoman"/>
          <w:szCs w:val="24"/>
        </w:rPr>
        <w:t xml:space="preserve">throughout </w:t>
      </w:r>
      <w:r w:rsidRPr="00CF41D2">
        <w:t xml:space="preserve">the study period commencing from 2011 to 2020. </w:t>
      </w:r>
      <w:r w:rsidRPr="00CF41D2">
        <w:rPr>
          <w:rFonts w:eastAsia="TimesNewRoman"/>
          <w:szCs w:val="24"/>
        </w:rPr>
        <w:t>This also indicates that, the bank has a competitive performance in loan to deposit ratio throughout the study period.</w:t>
      </w:r>
    </w:p>
    <w:p w:rsidR="00672193" w:rsidRPr="00CF41D2" w:rsidRDefault="00672193" w:rsidP="00672193">
      <w:pPr>
        <w:pStyle w:val="Heading3"/>
        <w:numPr>
          <w:ilvl w:val="2"/>
          <w:numId w:val="11"/>
        </w:numPr>
        <w:spacing w:line="360" w:lineRule="auto"/>
        <w:rPr>
          <w:rFonts w:eastAsiaTheme="minorHAnsi"/>
          <w:color w:val="auto"/>
          <w:sz w:val="22"/>
        </w:rPr>
      </w:pPr>
      <w:bookmarkStart w:id="91" w:name="_Toc519167277"/>
      <w:bookmarkStart w:id="92" w:name="_Toc73104306"/>
      <w:r w:rsidRPr="00CF41D2">
        <w:rPr>
          <w:rFonts w:eastAsiaTheme="minorHAnsi"/>
          <w:color w:val="auto"/>
          <w:sz w:val="22"/>
        </w:rPr>
        <w:t>Deposits to Total Assets Ratio</w:t>
      </w:r>
      <w:bookmarkEnd w:id="91"/>
      <w:bookmarkEnd w:id="92"/>
    </w:p>
    <w:p w:rsidR="00672193" w:rsidRPr="00CF41D2" w:rsidRDefault="00672193" w:rsidP="00672193">
      <w:pPr>
        <w:widowControl w:val="0"/>
        <w:overflowPunct w:val="0"/>
        <w:autoSpaceDE w:val="0"/>
        <w:autoSpaceDN w:val="0"/>
        <w:adjustRightInd w:val="0"/>
        <w:spacing w:after="0" w:line="360" w:lineRule="auto"/>
        <w:jc w:val="both"/>
        <w:rPr>
          <w:szCs w:val="24"/>
        </w:rPr>
      </w:pPr>
      <w:r w:rsidRPr="00CF41D2">
        <w:rPr>
          <w:szCs w:val="24"/>
        </w:rPr>
        <w:t>This ratio refers the ratio of total customer deposits to total assets of a bank. As this ratio increases, there was a remarkable customer deposit maintained in the bank and vice-versa.</w:t>
      </w:r>
    </w:p>
    <w:p w:rsidR="00672193" w:rsidRPr="00CF41D2" w:rsidRDefault="00672193" w:rsidP="00672193">
      <w:pPr>
        <w:widowControl w:val="0"/>
        <w:overflowPunct w:val="0"/>
        <w:autoSpaceDE w:val="0"/>
        <w:autoSpaceDN w:val="0"/>
        <w:adjustRightInd w:val="0"/>
        <w:spacing w:after="0" w:line="360" w:lineRule="auto"/>
        <w:jc w:val="both"/>
        <w:rPr>
          <w:szCs w:val="24"/>
        </w:rPr>
      </w:pPr>
      <w:r w:rsidRPr="00CF41D2">
        <w:rPr>
          <w:szCs w:val="24"/>
        </w:rPr>
        <w:t xml:space="preserve">In this study, CBE had shown approximately a steady performance in deposit to asset ratio. The lowest ratio (73%) was exhibited in the year 2020 and the highest (80%) deposit to asset ratio had been performed in 2015. On average, CBE has performed 77% on customer deposit to asset ratio throughout the study period. </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rFonts w:eastAsia="TimesNewRoman"/>
          <w:szCs w:val="24"/>
        </w:rPr>
        <w:t xml:space="preserve">When it </w:t>
      </w:r>
      <w:r w:rsidRPr="00CF41D2">
        <w:t xml:space="preserve">compared to the international standard requirement, the bank has fulfilled beyond the AIA’s standard of </w:t>
      </w:r>
      <w:r w:rsidRPr="00CF41D2">
        <w:rPr>
          <w:szCs w:val="24"/>
        </w:rPr>
        <w:t xml:space="preserve">&gt;=75% </w:t>
      </w:r>
      <w:r w:rsidRPr="00CF41D2">
        <w:t xml:space="preserve">deposit to asset ratio </w:t>
      </w:r>
      <w:r w:rsidRPr="00CF41D2">
        <w:rPr>
          <w:rFonts w:eastAsia="TimesNewRoman"/>
          <w:szCs w:val="24"/>
        </w:rPr>
        <w:t xml:space="preserve">throughout </w:t>
      </w:r>
      <w:r w:rsidRPr="00CF41D2">
        <w:t xml:space="preserve">the study period commencing from </w:t>
      </w:r>
      <w:r w:rsidRPr="00CF41D2">
        <w:lastRenderedPageBreak/>
        <w:t xml:space="preserve">2011 to 2020. </w:t>
      </w:r>
      <w:r w:rsidRPr="00CF41D2">
        <w:rPr>
          <w:rFonts w:eastAsia="TimesNewRoman"/>
          <w:szCs w:val="24"/>
        </w:rPr>
        <w:t>This indicates that, the bank has a competitive performance in deposit to asset ratio throughout the study period.</w:t>
      </w:r>
    </w:p>
    <w:p w:rsidR="00672193" w:rsidRPr="00CF41D2" w:rsidRDefault="00672193" w:rsidP="00672193">
      <w:pPr>
        <w:spacing w:after="100" w:line="360" w:lineRule="auto"/>
        <w:rPr>
          <w:szCs w:val="24"/>
        </w:rPr>
      </w:pPr>
    </w:p>
    <w:p w:rsidR="00672193" w:rsidRPr="00CF41D2" w:rsidRDefault="00672193" w:rsidP="00672193">
      <w:pPr>
        <w:spacing w:after="100" w:line="360" w:lineRule="auto"/>
        <w:rPr>
          <w:szCs w:val="24"/>
        </w:rPr>
      </w:pPr>
    </w:p>
    <w:p w:rsidR="00672193" w:rsidRPr="00CF41D2" w:rsidRDefault="00672193" w:rsidP="00672193">
      <w:pPr>
        <w:spacing w:after="100" w:line="360" w:lineRule="auto"/>
        <w:rPr>
          <w:szCs w:val="24"/>
        </w:rPr>
      </w:pPr>
    </w:p>
    <w:p w:rsidR="00672193" w:rsidRPr="00CF41D2" w:rsidRDefault="00672193" w:rsidP="00672193">
      <w:pPr>
        <w:spacing w:after="100" w:line="360" w:lineRule="auto"/>
        <w:rPr>
          <w:szCs w:val="24"/>
        </w:rPr>
      </w:pPr>
    </w:p>
    <w:p w:rsidR="00672193" w:rsidRDefault="00672193" w:rsidP="00672193">
      <w:pPr>
        <w:spacing w:after="100" w:line="360" w:lineRule="auto"/>
        <w:rPr>
          <w:szCs w:val="24"/>
        </w:rPr>
      </w:pPr>
    </w:p>
    <w:p w:rsidR="00672193" w:rsidRDefault="00672193" w:rsidP="00672193">
      <w:pPr>
        <w:spacing w:after="100" w:line="360" w:lineRule="auto"/>
        <w:rPr>
          <w:szCs w:val="24"/>
        </w:rPr>
      </w:pPr>
    </w:p>
    <w:p w:rsidR="00672193" w:rsidRDefault="00672193" w:rsidP="00672193">
      <w:pPr>
        <w:spacing w:after="100" w:line="360" w:lineRule="auto"/>
        <w:rPr>
          <w:szCs w:val="24"/>
        </w:rPr>
      </w:pPr>
    </w:p>
    <w:p w:rsidR="00672193" w:rsidRDefault="00672193" w:rsidP="00672193">
      <w:pPr>
        <w:spacing w:after="100" w:line="360" w:lineRule="auto"/>
        <w:rPr>
          <w:szCs w:val="24"/>
        </w:rPr>
      </w:pPr>
    </w:p>
    <w:p w:rsidR="00672193" w:rsidRDefault="00672193" w:rsidP="00672193">
      <w:pPr>
        <w:spacing w:after="100" w:line="360" w:lineRule="auto"/>
        <w:rPr>
          <w:szCs w:val="24"/>
        </w:rPr>
      </w:pPr>
    </w:p>
    <w:p w:rsidR="00672193" w:rsidRDefault="00672193" w:rsidP="00672193">
      <w:pPr>
        <w:spacing w:after="100" w:line="360" w:lineRule="auto"/>
        <w:rPr>
          <w:szCs w:val="24"/>
        </w:rPr>
      </w:pPr>
    </w:p>
    <w:p w:rsidR="00672193" w:rsidRPr="00CF41D2" w:rsidRDefault="00672193" w:rsidP="00672193">
      <w:pPr>
        <w:spacing w:after="100" w:line="360" w:lineRule="auto"/>
        <w:rPr>
          <w:szCs w:val="24"/>
        </w:rPr>
      </w:pPr>
    </w:p>
    <w:p w:rsidR="00672193" w:rsidRDefault="00672193" w:rsidP="00672193">
      <w:pPr>
        <w:spacing w:after="100" w:line="360" w:lineRule="auto"/>
        <w:rPr>
          <w:szCs w:val="24"/>
        </w:rPr>
      </w:pPr>
    </w:p>
    <w:p w:rsidR="00672193" w:rsidRDefault="00672193" w:rsidP="00672193">
      <w:pPr>
        <w:spacing w:after="100" w:line="360" w:lineRule="auto"/>
        <w:rPr>
          <w:szCs w:val="24"/>
        </w:rPr>
      </w:pPr>
    </w:p>
    <w:p w:rsidR="00672193" w:rsidRDefault="00672193" w:rsidP="00672193">
      <w:pPr>
        <w:spacing w:after="100" w:line="360" w:lineRule="auto"/>
        <w:rPr>
          <w:szCs w:val="24"/>
        </w:rPr>
      </w:pPr>
    </w:p>
    <w:p w:rsidR="00672193" w:rsidRDefault="00672193" w:rsidP="00672193">
      <w:pPr>
        <w:spacing w:after="100" w:line="360" w:lineRule="auto"/>
        <w:rPr>
          <w:szCs w:val="24"/>
        </w:rPr>
      </w:pPr>
    </w:p>
    <w:p w:rsidR="00672193" w:rsidRDefault="00672193" w:rsidP="00672193">
      <w:pPr>
        <w:spacing w:after="100" w:line="360" w:lineRule="auto"/>
        <w:rPr>
          <w:szCs w:val="24"/>
        </w:rPr>
      </w:pPr>
    </w:p>
    <w:p w:rsidR="00672193" w:rsidRDefault="00672193" w:rsidP="00672193">
      <w:pPr>
        <w:spacing w:after="100" w:line="360" w:lineRule="auto"/>
        <w:rPr>
          <w:szCs w:val="24"/>
        </w:rPr>
      </w:pPr>
    </w:p>
    <w:p w:rsidR="00672193" w:rsidRDefault="00672193" w:rsidP="00672193">
      <w:pPr>
        <w:spacing w:after="100" w:line="360" w:lineRule="auto"/>
        <w:rPr>
          <w:szCs w:val="24"/>
        </w:rPr>
      </w:pPr>
    </w:p>
    <w:p w:rsidR="00672193" w:rsidRPr="00CF41D2" w:rsidRDefault="00672193" w:rsidP="00672193">
      <w:pPr>
        <w:spacing w:after="100" w:line="360" w:lineRule="auto"/>
        <w:rPr>
          <w:szCs w:val="24"/>
        </w:rPr>
      </w:pPr>
    </w:p>
    <w:p w:rsidR="00672193" w:rsidRPr="00CF41D2" w:rsidRDefault="00672193" w:rsidP="00672193">
      <w:pPr>
        <w:spacing w:after="100" w:line="360" w:lineRule="auto"/>
        <w:rPr>
          <w:szCs w:val="24"/>
        </w:rPr>
      </w:pPr>
    </w:p>
    <w:p w:rsidR="00672193" w:rsidRPr="00CF41D2" w:rsidRDefault="00672193" w:rsidP="00672193">
      <w:pPr>
        <w:spacing w:after="100" w:line="360" w:lineRule="auto"/>
        <w:rPr>
          <w:szCs w:val="24"/>
        </w:rPr>
      </w:pPr>
    </w:p>
    <w:p w:rsidR="00672193" w:rsidRPr="00CF41D2" w:rsidRDefault="00672193" w:rsidP="00672193">
      <w:pPr>
        <w:pStyle w:val="Heading1"/>
        <w:spacing w:before="0" w:after="100" w:line="360" w:lineRule="auto"/>
        <w:jc w:val="center"/>
        <w:rPr>
          <w:color w:val="auto"/>
        </w:rPr>
      </w:pPr>
      <w:bookmarkStart w:id="93" w:name="_Toc511725962"/>
      <w:bookmarkStart w:id="94" w:name="_Toc519167278"/>
      <w:bookmarkStart w:id="95" w:name="_Toc73104307"/>
      <w:r w:rsidRPr="00CF41D2">
        <w:rPr>
          <w:color w:val="auto"/>
        </w:rPr>
        <w:lastRenderedPageBreak/>
        <w:t>CHAPTER FIVE: SUMMARY CONCLUSIONS AND RECOMMENDATIONS</w:t>
      </w:r>
      <w:bookmarkEnd w:id="93"/>
      <w:bookmarkEnd w:id="94"/>
      <w:bookmarkEnd w:id="95"/>
    </w:p>
    <w:p w:rsidR="00672193" w:rsidRPr="00CF41D2" w:rsidRDefault="00672193" w:rsidP="00672193">
      <w:pPr>
        <w:pStyle w:val="Heading2"/>
        <w:numPr>
          <w:ilvl w:val="1"/>
          <w:numId w:val="14"/>
        </w:numPr>
        <w:spacing w:before="0" w:after="100" w:line="360" w:lineRule="auto"/>
        <w:jc w:val="both"/>
        <w:rPr>
          <w:rFonts w:eastAsia="TimesNewRoman"/>
          <w:color w:val="auto"/>
        </w:rPr>
      </w:pPr>
      <w:bookmarkStart w:id="96" w:name="_Toc511725963"/>
      <w:bookmarkStart w:id="97" w:name="_Toc519167279"/>
      <w:bookmarkStart w:id="98" w:name="_Toc73104308"/>
      <w:r w:rsidRPr="00CF41D2">
        <w:rPr>
          <w:rFonts w:eastAsia="TimesNewRoman"/>
          <w:color w:val="auto"/>
        </w:rPr>
        <w:t>Introduction</w:t>
      </w:r>
      <w:bookmarkEnd w:id="96"/>
      <w:bookmarkEnd w:id="97"/>
      <w:bookmarkEnd w:id="98"/>
      <w:r w:rsidRPr="00CF41D2">
        <w:rPr>
          <w:rFonts w:eastAsia="TimesNewRoman"/>
          <w:color w:val="auto"/>
        </w:rPr>
        <w:t xml:space="preserve"> </w:t>
      </w:r>
    </w:p>
    <w:p w:rsidR="00672193" w:rsidRPr="00CF41D2" w:rsidRDefault="00672193" w:rsidP="00672193">
      <w:pPr>
        <w:spacing w:after="100" w:line="360" w:lineRule="auto"/>
        <w:jc w:val="both"/>
        <w:rPr>
          <w:szCs w:val="24"/>
        </w:rPr>
      </w:pPr>
      <w:r w:rsidRPr="00CF41D2">
        <w:rPr>
          <w:szCs w:val="24"/>
        </w:rPr>
        <w:t>On the basis of the findings of the results presented in the preceding chapter, this chapter constitutes summary, conclusions and recommendations of the study.</w:t>
      </w:r>
    </w:p>
    <w:p w:rsidR="00672193" w:rsidRPr="00CF41D2" w:rsidRDefault="00672193" w:rsidP="00672193">
      <w:pPr>
        <w:pStyle w:val="Heading2"/>
        <w:numPr>
          <w:ilvl w:val="1"/>
          <w:numId w:val="14"/>
        </w:numPr>
        <w:spacing w:before="0" w:after="100" w:line="360" w:lineRule="auto"/>
        <w:jc w:val="both"/>
        <w:rPr>
          <w:rFonts w:eastAsia="TimesNewRoman"/>
          <w:color w:val="auto"/>
        </w:rPr>
      </w:pPr>
      <w:bookmarkStart w:id="99" w:name="_Toc519167280"/>
      <w:bookmarkStart w:id="100" w:name="_Toc73104309"/>
      <w:r w:rsidRPr="00CF41D2">
        <w:rPr>
          <w:rFonts w:eastAsia="TimesNewRoman"/>
          <w:color w:val="auto"/>
        </w:rPr>
        <w:t>Summary</w:t>
      </w:r>
      <w:bookmarkEnd w:id="99"/>
      <w:bookmarkEnd w:id="100"/>
    </w:p>
    <w:p w:rsidR="00672193" w:rsidRPr="00CF41D2" w:rsidRDefault="00672193" w:rsidP="00672193">
      <w:pPr>
        <w:spacing w:after="100" w:line="360" w:lineRule="auto"/>
        <w:jc w:val="both"/>
        <w:rPr>
          <w:szCs w:val="24"/>
        </w:rPr>
      </w:pPr>
      <w:r w:rsidRPr="00CF41D2">
        <w:rPr>
          <w:szCs w:val="24"/>
        </w:rPr>
        <w:t xml:space="preserve">The main objective of this study was to analyze the financial performance of Commercial Bank of Ethiopia based on CAMEL rating approach over the periods of 2011-2020 using secondary data collected from Audited financial statements of the Bank. </w:t>
      </w:r>
      <w:r w:rsidRPr="00CF41D2">
        <w:rPr>
          <w:rFonts w:eastAsia="TimesNewRoman"/>
          <w:szCs w:val="24"/>
          <w:lang w:val="en-GB"/>
        </w:rPr>
        <w:t>The researcher used five types of financial performance measurement indicators such as capital adequacy, asset quality, management efficiency, earnings ability and liquidity to measure the financial performance of the Bank.</w:t>
      </w:r>
    </w:p>
    <w:p w:rsidR="00672193" w:rsidRPr="00CF41D2" w:rsidRDefault="00672193" w:rsidP="00672193">
      <w:pPr>
        <w:spacing w:after="100" w:line="360" w:lineRule="auto"/>
        <w:jc w:val="both"/>
        <w:rPr>
          <w:rFonts w:eastAsia="TimesNewRoman"/>
          <w:szCs w:val="24"/>
        </w:rPr>
      </w:pPr>
      <w:r w:rsidRPr="00CF41D2">
        <w:rPr>
          <w:szCs w:val="24"/>
        </w:rPr>
        <w:t xml:space="preserve">The most common measure of </w:t>
      </w:r>
      <w:r w:rsidRPr="00CF41D2">
        <w:rPr>
          <w:rFonts w:eastAsia="TimesNewRoman"/>
          <w:szCs w:val="24"/>
          <w:lang w:val="en-GB"/>
        </w:rPr>
        <w:t>capital adequacy performance is the ratio of total</w:t>
      </w:r>
      <w:r w:rsidRPr="00CF41D2">
        <w:rPr>
          <w:rFonts w:eastAsia="TimesNewRoman"/>
          <w:szCs w:val="24"/>
        </w:rPr>
        <w:t xml:space="preserve"> capital to total asset. CAR of CBE was in a better position (beyond the minimum international standard of 8%) trough out the study period commencing from 2011-2020 (see Figure 2).</w:t>
      </w:r>
    </w:p>
    <w:p w:rsidR="00672193" w:rsidRPr="00CF41D2" w:rsidRDefault="00672193" w:rsidP="00672193">
      <w:pPr>
        <w:spacing w:after="100" w:line="360" w:lineRule="auto"/>
        <w:jc w:val="both"/>
        <w:rPr>
          <w:szCs w:val="24"/>
        </w:rPr>
      </w:pPr>
      <w:r w:rsidRPr="00CF41D2">
        <w:t xml:space="preserve">Asset quality determines the healthiness of financial institutions against loss of value in asset as asset impairment risks the solvency of financial institutions. The asset quality performance of the bank was measured using </w:t>
      </w:r>
      <w:r w:rsidRPr="00CF41D2">
        <w:rPr>
          <w:szCs w:val="24"/>
        </w:rPr>
        <w:t xml:space="preserve">NPL to total loans, NPL to equity and loan loss provision to total loans ratios. </w:t>
      </w:r>
    </w:p>
    <w:p w:rsidR="00672193" w:rsidRPr="00CF41D2" w:rsidRDefault="00672193" w:rsidP="00672193">
      <w:pPr>
        <w:spacing w:after="100" w:line="360" w:lineRule="auto"/>
        <w:jc w:val="both"/>
        <w:rPr>
          <w:szCs w:val="24"/>
        </w:rPr>
      </w:pPr>
      <w:r w:rsidRPr="00CF41D2">
        <w:rPr>
          <w:szCs w:val="24"/>
        </w:rPr>
        <w:t>The Bank NPL to total loans ratio declining and its progress improved from year to year throughout the study period and showing the minimum rate of 0.61% (see Figure 3). In addition, the NPL to Equity ratio shows relatively a stable performance throughout the study period (see Figure 3). Furthermore, allowance for loan loss provision to total loan ratio shows improved progress from year to year throughout the study period and showing the maximum of 450% (see Table 4.2).</w:t>
      </w:r>
    </w:p>
    <w:p w:rsidR="00672193" w:rsidRPr="00CF41D2" w:rsidRDefault="00672193" w:rsidP="00672193">
      <w:pPr>
        <w:widowControl w:val="0"/>
        <w:autoSpaceDE w:val="0"/>
        <w:autoSpaceDN w:val="0"/>
        <w:adjustRightInd w:val="0"/>
        <w:spacing w:after="0" w:line="360" w:lineRule="auto"/>
        <w:jc w:val="both"/>
        <w:rPr>
          <w:szCs w:val="24"/>
        </w:rPr>
      </w:pPr>
      <w:r w:rsidRPr="00CF41D2">
        <w:rPr>
          <w:szCs w:val="24"/>
        </w:rPr>
        <w:t>Management  quality  is  basically  the  capability  of  the  board  of  directors  and management, to identify, measure, and control the risks of an institution‘s ac to ensure the safe, sound, and efficient operation in compliance with applicable laws and regulations. The researcher used total asset growth rate, loan growth rate and earnings growth rate to measure management quality of the Bank.</w:t>
      </w:r>
    </w:p>
    <w:p w:rsidR="00672193" w:rsidRPr="00CF41D2" w:rsidRDefault="00672193" w:rsidP="00672193">
      <w:pPr>
        <w:widowControl w:val="0"/>
        <w:overflowPunct w:val="0"/>
        <w:autoSpaceDE w:val="0"/>
        <w:autoSpaceDN w:val="0"/>
        <w:adjustRightInd w:val="0"/>
        <w:spacing w:line="360" w:lineRule="auto"/>
        <w:jc w:val="both"/>
        <w:rPr>
          <w:rFonts w:eastAsia="TimesNewRoman"/>
          <w:szCs w:val="24"/>
        </w:rPr>
      </w:pPr>
      <w:r w:rsidRPr="00CF41D2">
        <w:rPr>
          <w:szCs w:val="24"/>
        </w:rPr>
        <w:lastRenderedPageBreak/>
        <w:t xml:space="preserve">Relatively the bank </w:t>
      </w:r>
      <w:r w:rsidRPr="00CF41D2">
        <w:rPr>
          <w:rFonts w:eastAsia="TimesNewRoman"/>
          <w:szCs w:val="24"/>
        </w:rPr>
        <w:t xml:space="preserve">accumulated a better asset growth during the study period the maximum of 54% (see Table 4.3) during the study period. In addition, the bank also effectively controlled its loan growth the maximum growth of 62.9% (see Table 4.3) during the study period. Furthermore, the bank has maintained </w:t>
      </w:r>
      <w:r w:rsidR="006E4CAA">
        <w:rPr>
          <w:rFonts w:eastAsia="TimesNewRoman"/>
          <w:szCs w:val="24"/>
        </w:rPr>
        <w:t xml:space="preserve">high degree of failure </w:t>
      </w:r>
      <w:r w:rsidRPr="00CF41D2">
        <w:rPr>
          <w:rFonts w:eastAsia="TimesNewRoman"/>
          <w:szCs w:val="24"/>
        </w:rPr>
        <w:t>negative earnings growth throughout the study period the minimum of   -20% (see Table 4.3).</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rFonts w:eastAsia="TimesNewRoman"/>
          <w:szCs w:val="24"/>
        </w:rPr>
        <w:t xml:space="preserve">To measure the earnings ability of CBE, </w:t>
      </w:r>
      <w:r w:rsidRPr="00CF41D2">
        <w:rPr>
          <w:szCs w:val="24"/>
        </w:rPr>
        <w:t>the researcher used ROA and ROE.</w:t>
      </w:r>
      <w:r w:rsidRPr="00CF41D2">
        <w:t xml:space="preserve"> The bank has shown a better level of efficiency in utilization of assets to generate profit in the study period of operations </w:t>
      </w:r>
      <w:r w:rsidRPr="00CF41D2">
        <w:rPr>
          <w:rFonts w:eastAsia="TimesNewRoman"/>
          <w:szCs w:val="24"/>
        </w:rPr>
        <w:t>the minimum of 5.8 (see Table 4.4) for</w:t>
      </w:r>
      <w:r w:rsidRPr="00CF41D2">
        <w:t xml:space="preserve"> every Birr invested in assets</w:t>
      </w:r>
      <w:r w:rsidRPr="00CF41D2">
        <w:rPr>
          <w:rFonts w:eastAsia="TimesNewRoman"/>
          <w:szCs w:val="24"/>
        </w:rPr>
        <w:t xml:space="preserve">. The bank has also earned a substantial amount from its investment showing the maximum ROE of </w:t>
      </w:r>
      <w:r w:rsidRPr="00CF41D2">
        <w:rPr>
          <w:szCs w:val="24"/>
        </w:rPr>
        <w:t xml:space="preserve">132.6% </w:t>
      </w:r>
      <w:r w:rsidRPr="00CF41D2">
        <w:rPr>
          <w:rFonts w:eastAsia="TimesNewRoman"/>
          <w:szCs w:val="24"/>
        </w:rPr>
        <w:t xml:space="preserve">(see Table 4.4) </w:t>
      </w:r>
      <w:r w:rsidRPr="00CF41D2">
        <w:rPr>
          <w:szCs w:val="24"/>
        </w:rPr>
        <w:t>in the study period.</w:t>
      </w:r>
    </w:p>
    <w:p w:rsidR="00672193" w:rsidRPr="00CF41D2" w:rsidRDefault="00672193" w:rsidP="00672193">
      <w:pPr>
        <w:widowControl w:val="0"/>
        <w:overflowPunct w:val="0"/>
        <w:autoSpaceDE w:val="0"/>
        <w:autoSpaceDN w:val="0"/>
        <w:adjustRightInd w:val="0"/>
        <w:spacing w:line="360" w:lineRule="auto"/>
        <w:jc w:val="both"/>
        <w:rPr>
          <w:szCs w:val="24"/>
        </w:rPr>
      </w:pPr>
      <w:r w:rsidRPr="00CF41D2">
        <w:rPr>
          <w:szCs w:val="24"/>
        </w:rPr>
        <w:t xml:space="preserve">The researcher used loans to deposit ratio and deposit to asset ratio to measure liquidity management performance of CBE during the study period. The bank had a steady performance in loans to deposit ratio showing the maximum of 51% </w:t>
      </w:r>
      <w:r w:rsidRPr="00CF41D2">
        <w:rPr>
          <w:rFonts w:eastAsia="TimesNewRoman"/>
          <w:szCs w:val="24"/>
        </w:rPr>
        <w:t xml:space="preserve">(see Table 4.5) </w:t>
      </w:r>
      <w:r w:rsidRPr="00CF41D2">
        <w:rPr>
          <w:szCs w:val="24"/>
        </w:rPr>
        <w:t>in the study period. In addition, the bank had also shown a steady performance in deposit to asset ratio showing the maximum of 80% (</w:t>
      </w:r>
      <w:r w:rsidRPr="00CF41D2">
        <w:rPr>
          <w:rFonts w:eastAsia="TimesNewRoman"/>
          <w:szCs w:val="24"/>
        </w:rPr>
        <w:t xml:space="preserve">see Table 4.5) </w:t>
      </w:r>
      <w:r w:rsidRPr="00CF41D2">
        <w:rPr>
          <w:szCs w:val="24"/>
        </w:rPr>
        <w:t>in the study period.</w:t>
      </w:r>
    </w:p>
    <w:p w:rsidR="00672193" w:rsidRPr="00CF41D2" w:rsidRDefault="00672193" w:rsidP="00672193">
      <w:pPr>
        <w:pStyle w:val="Heading2"/>
        <w:numPr>
          <w:ilvl w:val="1"/>
          <w:numId w:val="14"/>
        </w:numPr>
        <w:spacing w:before="0" w:after="100" w:line="360" w:lineRule="auto"/>
        <w:jc w:val="both"/>
        <w:rPr>
          <w:rFonts w:eastAsia="TimesNewRoman"/>
          <w:color w:val="auto"/>
        </w:rPr>
      </w:pPr>
      <w:bookmarkStart w:id="101" w:name="_Toc519167281"/>
      <w:bookmarkStart w:id="102" w:name="_Toc73104310"/>
      <w:r w:rsidRPr="00CF41D2">
        <w:rPr>
          <w:rFonts w:eastAsia="TimesNewRoman"/>
          <w:color w:val="auto"/>
        </w:rPr>
        <w:t>Conclusions</w:t>
      </w:r>
      <w:bookmarkEnd w:id="101"/>
      <w:bookmarkEnd w:id="102"/>
    </w:p>
    <w:p w:rsidR="00672193" w:rsidRPr="00CF41D2" w:rsidRDefault="00672193" w:rsidP="00672193">
      <w:pPr>
        <w:widowControl w:val="0"/>
        <w:overflowPunct w:val="0"/>
        <w:autoSpaceDE w:val="0"/>
        <w:autoSpaceDN w:val="0"/>
        <w:adjustRightInd w:val="0"/>
        <w:spacing w:after="100" w:line="360" w:lineRule="auto"/>
        <w:jc w:val="both"/>
        <w:rPr>
          <w:szCs w:val="24"/>
        </w:rPr>
      </w:pPr>
      <w:r w:rsidRPr="00CF41D2">
        <w:rPr>
          <w:szCs w:val="24"/>
        </w:rPr>
        <w:t xml:space="preserve">Based on the results of the study, the researcher draws the following conclusions: </w:t>
      </w:r>
    </w:p>
    <w:p w:rsidR="00672193" w:rsidRPr="00CF41D2" w:rsidRDefault="00672193" w:rsidP="00672193">
      <w:pPr>
        <w:widowControl w:val="0"/>
        <w:overflowPunct w:val="0"/>
        <w:autoSpaceDE w:val="0"/>
        <w:autoSpaceDN w:val="0"/>
        <w:adjustRightInd w:val="0"/>
        <w:spacing w:after="100" w:line="360" w:lineRule="auto"/>
        <w:jc w:val="both"/>
        <w:rPr>
          <w:szCs w:val="24"/>
        </w:rPr>
      </w:pPr>
      <w:r w:rsidRPr="00CF41D2">
        <w:rPr>
          <w:szCs w:val="24"/>
        </w:rPr>
        <w:t>The overall result of the study shows that, the CAR performance of the bank had kept on improving over time. The case in point is the remarkable growth of the bank’s capital as a result of the injection of profit as a capital of the bank from year to year.</w:t>
      </w:r>
    </w:p>
    <w:p w:rsidR="00672193" w:rsidRPr="00CF41D2" w:rsidRDefault="00672193" w:rsidP="00672193">
      <w:pPr>
        <w:spacing w:line="360" w:lineRule="auto"/>
        <w:jc w:val="both"/>
        <w:rPr>
          <w:szCs w:val="24"/>
        </w:rPr>
      </w:pPr>
      <w:r w:rsidRPr="00CF41D2">
        <w:rPr>
          <w:szCs w:val="24"/>
        </w:rPr>
        <w:t>The result of the asset performance analysis revealed that the bank had an experience of an overall increasing pattern of performance during its functioning. However, it has consistently fluctuates in the some years of the study. Particularly, so far as NPL to loan and loan loss provision is concerned, the bank has shown a better level of efficiency in covering the potential loss as a result of doubtful loans outstanding in all years of operation.</w:t>
      </w:r>
    </w:p>
    <w:p w:rsidR="00672193" w:rsidRPr="00CF41D2" w:rsidRDefault="00672193" w:rsidP="00672193">
      <w:pPr>
        <w:spacing w:line="360" w:lineRule="auto"/>
        <w:jc w:val="both"/>
        <w:rPr>
          <w:szCs w:val="24"/>
        </w:rPr>
      </w:pPr>
      <w:r w:rsidRPr="00CF41D2">
        <w:rPr>
          <w:szCs w:val="24"/>
        </w:rPr>
        <w:t xml:space="preserve">To measure the profitability of the Bank, ratios such as ROA and ROE have been employed. The result of the ratios revealed that the bank had an experience of an increasing pattern although it has sometimes fluctuates in the few years of the study. </w:t>
      </w:r>
    </w:p>
    <w:p w:rsidR="00672193" w:rsidRPr="00CF41D2" w:rsidRDefault="00672193" w:rsidP="00672193">
      <w:pPr>
        <w:spacing w:line="360" w:lineRule="auto"/>
        <w:jc w:val="both"/>
        <w:rPr>
          <w:szCs w:val="24"/>
        </w:rPr>
      </w:pPr>
      <w:r w:rsidRPr="00CF41D2">
        <w:rPr>
          <w:szCs w:val="24"/>
        </w:rPr>
        <w:lastRenderedPageBreak/>
        <w:t>So far as ROA is concerned, the bank has shown a better level of efficiency in the utilization of its assets to generate profit in all years of operation. Likewise, the ROE of the bank follows the same trend of ROA. Hence, this shows that the quality of the management decision making of the bank in generating profit in relation to the total assets and equity has improved over the study periods.</w:t>
      </w:r>
    </w:p>
    <w:p w:rsidR="00672193" w:rsidRPr="00CF41D2" w:rsidRDefault="00672193" w:rsidP="00672193">
      <w:pPr>
        <w:spacing w:line="360" w:lineRule="auto"/>
        <w:jc w:val="both"/>
        <w:rPr>
          <w:szCs w:val="24"/>
        </w:rPr>
      </w:pPr>
      <w:r w:rsidRPr="00CF41D2">
        <w:rPr>
          <w:szCs w:val="24"/>
        </w:rPr>
        <w:t>The study also reveals that the liquidity of the bank has been improved through time. It was evident that both loan to deposit ratio and deposit to assets ratio have shown advancement though sometimes they had fluctuates.</w:t>
      </w:r>
    </w:p>
    <w:p w:rsidR="00672193" w:rsidRPr="00CF41D2" w:rsidRDefault="00672193" w:rsidP="00672193">
      <w:pPr>
        <w:pStyle w:val="Heading2"/>
        <w:numPr>
          <w:ilvl w:val="1"/>
          <w:numId w:val="14"/>
        </w:numPr>
        <w:spacing w:before="0" w:after="100" w:line="360" w:lineRule="auto"/>
        <w:jc w:val="both"/>
        <w:rPr>
          <w:rFonts w:eastAsia="TimesNewRoman"/>
          <w:color w:val="auto"/>
        </w:rPr>
      </w:pPr>
      <w:bookmarkStart w:id="103" w:name="_Toc519167282"/>
      <w:bookmarkStart w:id="104" w:name="_Toc73104311"/>
      <w:r w:rsidRPr="00CF41D2">
        <w:rPr>
          <w:rFonts w:eastAsia="TimesNewRoman"/>
          <w:color w:val="auto"/>
        </w:rPr>
        <w:t>Recommendations</w:t>
      </w:r>
      <w:bookmarkEnd w:id="103"/>
      <w:bookmarkEnd w:id="104"/>
    </w:p>
    <w:p w:rsidR="00672193" w:rsidRPr="00CF41D2" w:rsidRDefault="00672193" w:rsidP="00672193">
      <w:pPr>
        <w:spacing w:line="360" w:lineRule="auto"/>
        <w:jc w:val="both"/>
      </w:pPr>
      <w:r w:rsidRPr="00CF41D2">
        <w:t>Based on the study results, the researcher forwarded the following recommendations:</w:t>
      </w:r>
    </w:p>
    <w:p w:rsidR="00672193" w:rsidRPr="00CF41D2" w:rsidRDefault="00672193" w:rsidP="00672193">
      <w:pPr>
        <w:pStyle w:val="ListParagraph"/>
        <w:numPr>
          <w:ilvl w:val="0"/>
          <w:numId w:val="40"/>
        </w:numPr>
        <w:spacing w:line="360" w:lineRule="auto"/>
        <w:jc w:val="both"/>
      </w:pPr>
      <w:r w:rsidRPr="00CF41D2">
        <w:t>It is recommended that the bank should continuously assess how well it performs in utilizing its assets in its operations.</w:t>
      </w:r>
    </w:p>
    <w:p w:rsidR="00672193" w:rsidRPr="00CF41D2" w:rsidRDefault="00672193" w:rsidP="00672193">
      <w:pPr>
        <w:pStyle w:val="ListParagraph"/>
        <w:numPr>
          <w:ilvl w:val="0"/>
          <w:numId w:val="40"/>
        </w:numPr>
        <w:spacing w:line="360" w:lineRule="auto"/>
        <w:jc w:val="both"/>
      </w:pPr>
      <w:r w:rsidRPr="00CF41D2">
        <w:rPr>
          <w:szCs w:val="24"/>
        </w:rPr>
        <w:t>Management of the Bank is strongly advised to assess current financial performance of the bank, its strengths and weaknesses and take timely decision making accordingly.</w:t>
      </w:r>
    </w:p>
    <w:p w:rsidR="00672193" w:rsidRPr="00CF41D2" w:rsidRDefault="00672193" w:rsidP="00672193">
      <w:pPr>
        <w:pStyle w:val="ListParagraph"/>
        <w:numPr>
          <w:ilvl w:val="0"/>
          <w:numId w:val="40"/>
        </w:numPr>
        <w:spacing w:line="360" w:lineRule="auto"/>
        <w:jc w:val="both"/>
      </w:pPr>
      <w:r w:rsidRPr="00CF41D2">
        <w:t>Now a day’s in addition to the usual ROA and ROE profitability measures seen from the perspective of economic value added. The CAMEL model has also the sixth dimension referred as sensitivity to the market. Therefore, the bank would make relevant contribution if it considers those developments into its performance analysis.</w:t>
      </w:r>
    </w:p>
    <w:p w:rsidR="00672193" w:rsidRPr="00CF41D2" w:rsidRDefault="00672193" w:rsidP="00672193">
      <w:pPr>
        <w:pStyle w:val="ListParagraph"/>
        <w:numPr>
          <w:ilvl w:val="0"/>
          <w:numId w:val="40"/>
        </w:numPr>
        <w:spacing w:line="360" w:lineRule="auto"/>
        <w:jc w:val="both"/>
      </w:pPr>
      <w:r w:rsidRPr="00CF41D2">
        <w:t>The current study uses only some representative financial ratios from factors of the CAMEL model, the financial ratios included in the research may not be exhaustive and enough to evaluate the bank’s Capital adequacy, asset quality, management quality, earning ability and liquidity. Therefore the bank is recommended to consider additional performance measurement indicators.</w:t>
      </w:r>
    </w:p>
    <w:p w:rsidR="00672193" w:rsidRPr="00CF41D2" w:rsidRDefault="00672193" w:rsidP="00672193">
      <w:pPr>
        <w:pStyle w:val="ListParagraph"/>
        <w:numPr>
          <w:ilvl w:val="0"/>
          <w:numId w:val="40"/>
        </w:numPr>
        <w:spacing w:line="360" w:lineRule="auto"/>
        <w:jc w:val="both"/>
      </w:pPr>
      <w:r w:rsidRPr="00CF41D2">
        <w:t xml:space="preserve">The bank is recommended to employ the composite CAMEL rating model on a periodic basis (at least once a year) in order to identify the components along with their associated specific ratios that need special attention. This will help bank managers for enduring financial and economic stresses and complying with laws and regulations. </w:t>
      </w:r>
    </w:p>
    <w:p w:rsidR="00672193" w:rsidRPr="00CF41D2" w:rsidRDefault="00672193" w:rsidP="00672193">
      <w:pPr>
        <w:pStyle w:val="Heading1"/>
        <w:spacing w:before="0" w:after="100" w:line="360" w:lineRule="auto"/>
        <w:rPr>
          <w:color w:val="auto"/>
        </w:rPr>
      </w:pPr>
      <w:bookmarkStart w:id="105" w:name="_Toc519167283"/>
      <w:bookmarkStart w:id="106" w:name="_Toc73104312"/>
      <w:r w:rsidRPr="00CF41D2">
        <w:rPr>
          <w:color w:val="auto"/>
        </w:rPr>
        <w:t>Future Areas of Research</w:t>
      </w:r>
      <w:bookmarkEnd w:id="105"/>
      <w:bookmarkEnd w:id="106"/>
      <w:r w:rsidRPr="00CF41D2">
        <w:rPr>
          <w:color w:val="auto"/>
        </w:rPr>
        <w:t xml:space="preserve"> </w:t>
      </w:r>
    </w:p>
    <w:p w:rsidR="00672193" w:rsidRPr="00CF41D2" w:rsidRDefault="00672193" w:rsidP="00672193">
      <w:pPr>
        <w:widowControl w:val="0"/>
        <w:overflowPunct w:val="0"/>
        <w:autoSpaceDE w:val="0"/>
        <w:autoSpaceDN w:val="0"/>
        <w:adjustRightInd w:val="0"/>
        <w:spacing w:after="0" w:line="360" w:lineRule="auto"/>
        <w:jc w:val="both"/>
      </w:pPr>
      <w:bookmarkStart w:id="107" w:name="_Toc511725965"/>
      <w:r w:rsidRPr="00CF41D2">
        <w:t xml:space="preserve">The current study is fully employed the analysis of secondary data from 2011 to 2020. However, secondary data obtained from financial reports of bank or any source can have potential bias. </w:t>
      </w:r>
      <w:r w:rsidRPr="00CF41D2">
        <w:lastRenderedPageBreak/>
        <w:t>Thus, future research is recommended to increase the time frame and to substantiate secondary data by experts’ judgment.</w:t>
      </w:r>
    </w:p>
    <w:p w:rsidR="00672193" w:rsidRDefault="00672193" w:rsidP="00672193">
      <w:pPr>
        <w:pStyle w:val="Heading2"/>
        <w:spacing w:before="0" w:line="360" w:lineRule="auto"/>
        <w:ind w:left="720"/>
        <w:jc w:val="center"/>
        <w:rPr>
          <w:color w:val="auto"/>
          <w:sz w:val="28"/>
          <w:szCs w:val="28"/>
        </w:rPr>
      </w:pPr>
      <w:bookmarkStart w:id="108" w:name="_Toc519167284"/>
    </w:p>
    <w:p w:rsidR="00672193" w:rsidRDefault="00672193" w:rsidP="00672193">
      <w:pPr>
        <w:pStyle w:val="Heading2"/>
        <w:spacing w:before="0" w:line="360" w:lineRule="auto"/>
        <w:ind w:left="720"/>
        <w:jc w:val="center"/>
        <w:rPr>
          <w:color w:val="auto"/>
          <w:sz w:val="28"/>
          <w:szCs w:val="28"/>
        </w:rPr>
      </w:pPr>
    </w:p>
    <w:p w:rsidR="00672193" w:rsidRDefault="00672193" w:rsidP="00672193">
      <w:pPr>
        <w:pStyle w:val="Heading2"/>
        <w:spacing w:before="0" w:line="360" w:lineRule="auto"/>
        <w:ind w:left="720"/>
        <w:jc w:val="center"/>
        <w:rPr>
          <w:color w:val="auto"/>
          <w:sz w:val="28"/>
          <w:szCs w:val="28"/>
        </w:rPr>
      </w:pPr>
    </w:p>
    <w:p w:rsidR="00672193" w:rsidRDefault="00672193" w:rsidP="00672193"/>
    <w:p w:rsidR="00672193" w:rsidRPr="00CB2778" w:rsidRDefault="00672193" w:rsidP="00672193"/>
    <w:p w:rsidR="00672193" w:rsidRDefault="00672193" w:rsidP="00672193">
      <w:pPr>
        <w:pStyle w:val="Heading2"/>
        <w:spacing w:before="0" w:line="360" w:lineRule="auto"/>
        <w:ind w:left="720"/>
        <w:jc w:val="center"/>
        <w:rPr>
          <w:color w:val="auto"/>
          <w:sz w:val="28"/>
          <w:szCs w:val="28"/>
        </w:rPr>
      </w:pPr>
    </w:p>
    <w:p w:rsidR="00672193" w:rsidRDefault="00672193" w:rsidP="00672193">
      <w:pPr>
        <w:pStyle w:val="Heading2"/>
        <w:spacing w:before="0" w:line="360" w:lineRule="auto"/>
        <w:ind w:left="720"/>
        <w:jc w:val="center"/>
        <w:rPr>
          <w:color w:val="auto"/>
          <w:sz w:val="28"/>
          <w:szCs w:val="28"/>
        </w:rPr>
      </w:pPr>
    </w:p>
    <w:p w:rsidR="00672193" w:rsidRDefault="00672193" w:rsidP="00672193">
      <w:pPr>
        <w:pStyle w:val="Heading2"/>
        <w:spacing w:before="0" w:line="360" w:lineRule="auto"/>
        <w:ind w:left="720"/>
        <w:jc w:val="center"/>
        <w:rPr>
          <w:color w:val="auto"/>
          <w:sz w:val="28"/>
          <w:szCs w:val="28"/>
        </w:rPr>
      </w:pPr>
    </w:p>
    <w:p w:rsidR="00672193" w:rsidRDefault="00672193" w:rsidP="00672193">
      <w:pPr>
        <w:pStyle w:val="Heading2"/>
        <w:spacing w:before="0" w:line="360" w:lineRule="auto"/>
        <w:ind w:left="720"/>
        <w:jc w:val="center"/>
        <w:rPr>
          <w:color w:val="auto"/>
          <w:sz w:val="28"/>
          <w:szCs w:val="28"/>
        </w:rPr>
      </w:pPr>
    </w:p>
    <w:p w:rsidR="00672193" w:rsidRDefault="00672193" w:rsidP="00672193">
      <w:pPr>
        <w:pStyle w:val="Heading2"/>
        <w:spacing w:before="0" w:line="360" w:lineRule="auto"/>
        <w:ind w:left="720"/>
        <w:jc w:val="center"/>
        <w:rPr>
          <w:rFonts w:eastAsia="Calibri"/>
          <w:b w:val="0"/>
          <w:bCs w:val="0"/>
          <w:color w:val="auto"/>
          <w:sz w:val="24"/>
          <w:szCs w:val="22"/>
        </w:rPr>
      </w:pPr>
    </w:p>
    <w:p w:rsidR="00672193" w:rsidRDefault="00672193" w:rsidP="00672193"/>
    <w:p w:rsidR="00672193" w:rsidRDefault="00672193" w:rsidP="00672193"/>
    <w:p w:rsidR="00672193" w:rsidRDefault="00672193" w:rsidP="00672193"/>
    <w:p w:rsidR="00672193" w:rsidRDefault="00672193" w:rsidP="00672193"/>
    <w:p w:rsidR="00672193" w:rsidRDefault="00672193" w:rsidP="00672193"/>
    <w:p w:rsidR="00672193" w:rsidRDefault="00672193" w:rsidP="00672193"/>
    <w:p w:rsidR="00672193" w:rsidRDefault="00672193" w:rsidP="00672193"/>
    <w:p w:rsidR="00672193" w:rsidRDefault="00672193" w:rsidP="00672193"/>
    <w:p w:rsidR="00672193" w:rsidRDefault="00672193" w:rsidP="00672193"/>
    <w:p w:rsidR="00672193" w:rsidRDefault="00672193" w:rsidP="00672193"/>
    <w:p w:rsidR="00672193" w:rsidRDefault="00672193" w:rsidP="00672193"/>
    <w:p w:rsidR="00672193" w:rsidRDefault="00672193" w:rsidP="00672193"/>
    <w:p w:rsidR="00672193" w:rsidRDefault="00672193" w:rsidP="00672193">
      <w:pPr>
        <w:pStyle w:val="Heading2"/>
        <w:spacing w:before="0" w:line="360" w:lineRule="auto"/>
        <w:ind w:left="720"/>
        <w:jc w:val="center"/>
        <w:rPr>
          <w:rFonts w:eastAsia="Calibri"/>
          <w:b w:val="0"/>
          <w:bCs w:val="0"/>
          <w:color w:val="auto"/>
          <w:sz w:val="24"/>
          <w:szCs w:val="22"/>
        </w:rPr>
      </w:pPr>
    </w:p>
    <w:p w:rsidR="00672193" w:rsidRPr="00D7262A" w:rsidRDefault="00672193" w:rsidP="00672193"/>
    <w:p w:rsidR="00672193" w:rsidRPr="00CF41D2" w:rsidRDefault="00672193" w:rsidP="00672193">
      <w:pPr>
        <w:pStyle w:val="Heading2"/>
        <w:spacing w:before="0" w:line="360" w:lineRule="auto"/>
        <w:ind w:left="720"/>
        <w:jc w:val="center"/>
        <w:rPr>
          <w:color w:val="auto"/>
          <w:sz w:val="28"/>
          <w:szCs w:val="28"/>
        </w:rPr>
      </w:pPr>
      <w:bookmarkStart w:id="109" w:name="_Toc73104313"/>
      <w:r w:rsidRPr="00CF41D2">
        <w:rPr>
          <w:color w:val="auto"/>
          <w:sz w:val="28"/>
          <w:szCs w:val="28"/>
        </w:rPr>
        <w:lastRenderedPageBreak/>
        <w:t>R</w:t>
      </w:r>
      <w:bookmarkEnd w:id="107"/>
      <w:r w:rsidRPr="00CF41D2">
        <w:rPr>
          <w:color w:val="auto"/>
          <w:sz w:val="28"/>
          <w:szCs w:val="28"/>
        </w:rPr>
        <w:t>EFERENCES</w:t>
      </w:r>
      <w:bookmarkEnd w:id="108"/>
      <w:bookmarkEnd w:id="109"/>
    </w:p>
    <w:sdt>
      <w:sdtPr>
        <w:rPr>
          <w:rFonts w:eastAsia="Calibri"/>
        </w:rPr>
        <w:id w:val="13074329"/>
        <w:bibliography/>
      </w:sdtPr>
      <w:sdtContent>
        <w:p w:rsidR="00672193" w:rsidRPr="00CF41D2" w:rsidRDefault="00ED70D5" w:rsidP="00672193">
          <w:pPr>
            <w:pStyle w:val="Bibliography"/>
            <w:spacing w:after="0" w:line="360" w:lineRule="auto"/>
            <w:jc w:val="both"/>
            <w:rPr>
              <w:noProof/>
              <w:szCs w:val="24"/>
            </w:rPr>
          </w:pPr>
          <w:r w:rsidRPr="00ED70D5">
            <w:rPr>
              <w:szCs w:val="24"/>
            </w:rPr>
            <w:fldChar w:fldCharType="begin"/>
          </w:r>
          <w:r w:rsidR="00672193" w:rsidRPr="00CF41D2">
            <w:rPr>
              <w:szCs w:val="24"/>
            </w:rPr>
            <w:instrText xml:space="preserve"> BIBLIOGRAPHY </w:instrText>
          </w:r>
          <w:r w:rsidRPr="00ED70D5">
            <w:rPr>
              <w:szCs w:val="24"/>
            </w:rPr>
            <w:fldChar w:fldCharType="separate"/>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Adamu, T., &amp; Kenenisa, L. (2017). Financial Performance of Commercial Banks in Ethiopia: An Application of CAMEL Model. </w:t>
          </w:r>
          <w:r w:rsidRPr="00CF41D2">
            <w:rPr>
              <w:i/>
              <w:iCs/>
              <w:noProof/>
              <w:szCs w:val="24"/>
            </w:rPr>
            <w:t>International Journal of Multidisciplinary Research</w:t>
          </w:r>
          <w:r w:rsidRPr="00CF41D2">
            <w:rPr>
              <w:noProof/>
              <w:szCs w:val="24"/>
            </w:rPr>
            <w:t>, 208-221.</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Aspal, P. K., &amp; Dhawan, S. (2016). Camels Rating Model For Evaluating Financial Performance of Banking Sector: A Theoretical Perspective. </w:t>
          </w:r>
          <w:r w:rsidRPr="00CF41D2">
            <w:rPr>
              <w:i/>
              <w:iCs/>
              <w:noProof/>
              <w:szCs w:val="24"/>
            </w:rPr>
            <w:t>International Journal of System Modeling and Simulation, 1</w:t>
          </w:r>
          <w:r w:rsidRPr="00CF41D2">
            <w:rPr>
              <w:noProof/>
              <w:szCs w:val="24"/>
            </w:rPr>
            <w:t>(3), 10-15.</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Baral, K. (2005). Health Check-Up of Commercial Banks in the Framework of CAMEL: A Case Study of Joint Venture Banks in Nepal. </w:t>
          </w:r>
          <w:r w:rsidRPr="00CF41D2">
            <w:rPr>
              <w:i/>
              <w:noProof/>
              <w:szCs w:val="24"/>
            </w:rPr>
            <w:t>The Journal of Nepalese Business Studies</w:t>
          </w:r>
          <w:r w:rsidRPr="00CF41D2">
            <w:rPr>
              <w:noProof/>
              <w:szCs w:val="24"/>
            </w:rPr>
            <w:t xml:space="preserve">, 2(1), 14-35. </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Barker, D., &amp; Holdsworth, D. (1993). The causes of bank failures in the 1980s. Research Paper No. 9325, Federal Reserve Bank of New York.</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Cekrezi, A. (2015). Factors Affecting Performance of Commercial Banks in Albania. The Euro-Pean Proceedings of Social &amp; Behavioral Sciences 2015 May, Department of Finance and Accounting, University “A.Xhuvani”, Elbasan, Albania.  </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Christopoulos, A., Mylonakis, J., &amp; Diktapanidis, P. (2011). Could Lehman Brothers’ Collapse be anticipated? An Examination Using CAMELS Rating System. </w:t>
          </w:r>
          <w:r w:rsidRPr="00CF41D2">
            <w:rPr>
              <w:i/>
              <w:noProof/>
              <w:szCs w:val="24"/>
            </w:rPr>
            <w:t>International Business Research</w:t>
          </w:r>
          <w:r w:rsidRPr="00CF41D2">
            <w:rPr>
              <w:noProof/>
              <w:szCs w:val="24"/>
            </w:rPr>
            <w:t xml:space="preserve">, 4(2), 11-19. </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Dang, U. (2011).The CAMEL rating system in banking supervision: A case study. Arcada University of Applied Sciences, </w:t>
          </w:r>
          <w:r w:rsidRPr="00CF41D2">
            <w:rPr>
              <w:i/>
              <w:noProof/>
              <w:szCs w:val="24"/>
            </w:rPr>
            <w:t>International Business</w:t>
          </w:r>
          <w:r w:rsidRPr="00CF41D2">
            <w:rPr>
              <w:noProof/>
              <w:szCs w:val="24"/>
            </w:rPr>
            <w:t xml:space="preserve">. </w:t>
          </w:r>
        </w:p>
        <w:p w:rsidR="00672193" w:rsidRPr="00CF41D2" w:rsidRDefault="00672193" w:rsidP="00672193">
          <w:pPr>
            <w:pStyle w:val="ListParagraph"/>
            <w:autoSpaceDE w:val="0"/>
            <w:autoSpaceDN w:val="0"/>
            <w:adjustRightInd w:val="0"/>
            <w:spacing w:after="0" w:line="360" w:lineRule="auto"/>
            <w:ind w:hanging="720"/>
            <w:jc w:val="both"/>
            <w:rPr>
              <w:szCs w:val="24"/>
            </w:rPr>
          </w:pPr>
          <w:r w:rsidRPr="00CF41D2">
            <w:rPr>
              <w:iCs/>
              <w:szCs w:val="24"/>
            </w:rPr>
            <w:t>Ehrhardt, M., &amp; Brigham, E. (2009),</w:t>
          </w:r>
          <w:r w:rsidRPr="00CF41D2">
            <w:rPr>
              <w:szCs w:val="24"/>
            </w:rPr>
            <w:t xml:space="preserve"> Financial Management: Theory</w:t>
          </w:r>
          <w:r w:rsidRPr="00CF41D2">
            <w:rPr>
              <w:i/>
              <w:szCs w:val="24"/>
            </w:rPr>
            <w:t xml:space="preserve"> </w:t>
          </w:r>
          <w:r w:rsidRPr="00CF41D2">
            <w:rPr>
              <w:szCs w:val="24"/>
            </w:rPr>
            <w:t>and Practice.13</w:t>
          </w:r>
          <w:r w:rsidRPr="00CF41D2">
            <w:rPr>
              <w:szCs w:val="24"/>
              <w:vertAlign w:val="superscript"/>
            </w:rPr>
            <w:t>th</w:t>
          </w:r>
          <w:r w:rsidRPr="00CF41D2">
            <w:rPr>
              <w:szCs w:val="24"/>
            </w:rPr>
            <w:t xml:space="preserve"> edition. USA: Nelson Education, Ltd.</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Federal Deposit Insurance Corporation. (2015). Risk Management Manual of Examination Policies. Retrieved on May 26, 2018 from www.fdic.gov/regulations/safety/ manual.</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Ferrouhi, E. (2014). Moroccan Banks Analysis Using CAMEL Model. </w:t>
          </w:r>
          <w:r w:rsidRPr="00CF41D2">
            <w:rPr>
              <w:i/>
              <w:noProof/>
              <w:szCs w:val="24"/>
            </w:rPr>
            <w:t>International Journal of Economics and Financial Issues</w:t>
          </w:r>
          <w:r w:rsidRPr="00CF41D2">
            <w:rPr>
              <w:noProof/>
              <w:szCs w:val="24"/>
            </w:rPr>
            <w:t xml:space="preserve">, 4(3), 622-627. </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Frederick, N. (2014). Factors Affecting Performance of Commercial Banks in Uganda: A Case for Domestic Commercial Banks. Proceedings of 25th International Business Research Confer-ence, 13-14 January 2014, Taj Hotel, Cape Town, South Africa. </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Getahun, M. (2015). Analyzing financial performance of commercial banks in Ethiopia: CAMEL Approach (Master Thesis). Addis Ababa University, Addis Ababa, Ethiopia.</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lastRenderedPageBreak/>
            <w:t xml:space="preserve">Ginevicius, R., &amp; Podviezko, A.(2011). A Framework of Evaluation of Commercial Banks. Intellectual Economics, 1(9), 37-53. </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Hasbi, H., &amp; Haruman, T.(2011). Banking: According to Islamic Sharia Concepts and its Performance in Indonesia. </w:t>
          </w:r>
          <w:r w:rsidRPr="00CF41D2">
            <w:rPr>
              <w:i/>
              <w:noProof/>
              <w:szCs w:val="24"/>
            </w:rPr>
            <w:t>International Review of Business Research Papers</w:t>
          </w:r>
          <w:r w:rsidRPr="00CF41D2">
            <w:rPr>
              <w:noProof/>
              <w:szCs w:val="24"/>
            </w:rPr>
            <w:t xml:space="preserve">, 7(1), 60-76. </w:t>
          </w:r>
        </w:p>
        <w:p w:rsidR="00672193" w:rsidRPr="00CF41D2" w:rsidRDefault="00672193" w:rsidP="00672193">
          <w:pPr>
            <w:widowControl w:val="0"/>
            <w:overflowPunct w:val="0"/>
            <w:autoSpaceDE w:val="0"/>
            <w:autoSpaceDN w:val="0"/>
            <w:adjustRightInd w:val="0"/>
            <w:spacing w:after="0" w:line="360" w:lineRule="auto"/>
            <w:ind w:right="120"/>
            <w:jc w:val="both"/>
            <w:rPr>
              <w:noProof/>
              <w:szCs w:val="24"/>
            </w:rPr>
          </w:pPr>
          <w:r w:rsidRPr="00CF41D2">
            <w:rPr>
              <w:noProof/>
              <w:szCs w:val="24"/>
            </w:rPr>
            <w:t xml:space="preserve">Jha, S., &amp; Hui, X. (2012). A Comparison of Financial Performance of Commercial Banks: A Case Study of Nepal. </w:t>
          </w:r>
          <w:r w:rsidRPr="00CF41D2">
            <w:rPr>
              <w:i/>
              <w:noProof/>
              <w:szCs w:val="24"/>
            </w:rPr>
            <w:t>African Journal of Business Management</w:t>
          </w:r>
          <w:r w:rsidRPr="00CF41D2">
            <w:rPr>
              <w:noProof/>
              <w:szCs w:val="24"/>
            </w:rPr>
            <w:t>, 6(25), 7601-7611.</w:t>
          </w:r>
        </w:p>
        <w:p w:rsidR="00672193" w:rsidRPr="00CF41D2" w:rsidRDefault="00672193" w:rsidP="00672193">
          <w:pPr>
            <w:pStyle w:val="Bibliography"/>
            <w:spacing w:after="0" w:line="360" w:lineRule="auto"/>
            <w:ind w:left="720" w:hanging="720"/>
            <w:jc w:val="both"/>
            <w:rPr>
              <w:i/>
              <w:noProof/>
              <w:szCs w:val="24"/>
            </w:rPr>
          </w:pPr>
          <w:r w:rsidRPr="00CF41D2">
            <w:rPr>
              <w:noProof/>
              <w:szCs w:val="24"/>
            </w:rPr>
            <w:t xml:space="preserve">Khan, H. (2006), Prospectus and challenges in Banking Industry, </w:t>
          </w:r>
          <w:r w:rsidRPr="00CF41D2">
            <w:rPr>
              <w:i/>
              <w:noProof/>
              <w:szCs w:val="24"/>
            </w:rPr>
            <w:t>Economic Review in the Banking industry.</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King, R. &amp; Levine, R. (1993) Finance &amp; Growth: Schumpeter might be right, </w:t>
          </w:r>
          <w:r w:rsidRPr="00CF41D2">
            <w:rPr>
              <w:i/>
              <w:noProof/>
              <w:szCs w:val="24"/>
            </w:rPr>
            <w:t>Quarterly Journal of Economics</w:t>
          </w:r>
          <w:r w:rsidRPr="00CF41D2">
            <w:rPr>
              <w:noProof/>
              <w:szCs w:val="24"/>
            </w:rPr>
            <w:t>, 108 (3), 717-738</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Lelissa, B. (2007). </w:t>
          </w:r>
          <w:r w:rsidRPr="00CF41D2">
            <w:rPr>
              <w:i/>
              <w:iCs/>
              <w:noProof/>
              <w:szCs w:val="24"/>
            </w:rPr>
            <w:t>The Impact of Financial Liberalization on the Ownership, Market Structure &amp; Performance for the Ethiopian Banking Industry.</w:t>
          </w:r>
          <w:r w:rsidRPr="00CF41D2">
            <w:rPr>
              <w:noProof/>
              <w:szCs w:val="24"/>
            </w:rPr>
            <w:t xml:space="preserve"> Addis Ababa University, Accounting and Finance, Addis Ababa.</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Majithiya, R., &amp; Pattani, A.(2010). Rating the performance of the bank through CAMELS model (Post Diploma Thesis), Tolani Institute of Management Studies, India. </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Muhabie, M. (2015). Evaluation of the Financial Performance of Banking Sectors in Ethiopia: The Case of Zemen Bank. </w:t>
          </w:r>
          <w:r w:rsidRPr="00CF41D2">
            <w:rPr>
              <w:i/>
              <w:iCs/>
              <w:noProof/>
              <w:szCs w:val="24"/>
            </w:rPr>
            <w:t>Global Journal of Management and Business Research, 15</w:t>
          </w:r>
          <w:r w:rsidRPr="00CF41D2">
            <w:rPr>
              <w:noProof/>
              <w:szCs w:val="24"/>
            </w:rPr>
            <w:t>(9), 51-63.</w:t>
          </w:r>
        </w:p>
        <w:p w:rsidR="00672193" w:rsidRPr="00CF41D2" w:rsidRDefault="00672193" w:rsidP="00672193">
          <w:pPr>
            <w:pStyle w:val="Bibliography"/>
            <w:spacing w:line="360" w:lineRule="auto"/>
            <w:ind w:left="720" w:hanging="720"/>
            <w:rPr>
              <w:noProof/>
            </w:rPr>
          </w:pPr>
          <w:r w:rsidRPr="00CF41D2">
            <w:rPr>
              <w:noProof/>
            </w:rPr>
            <w:t>Mulualem, G. (2015). Analyzing Financial Performance of Commercial Banks in Ethiopia: CAMEL Approach.</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Ongore, V., &amp; Kusa, G. (2013). Determinants of Financial Performance of Commercial Banks in Kenya. </w:t>
          </w:r>
          <w:r w:rsidRPr="00CF41D2">
            <w:rPr>
              <w:i/>
              <w:noProof/>
              <w:szCs w:val="24"/>
            </w:rPr>
            <w:t>International Journal of Economics and Financial Issues</w:t>
          </w:r>
          <w:r w:rsidRPr="00CF41D2">
            <w:rPr>
              <w:noProof/>
              <w:szCs w:val="24"/>
            </w:rPr>
            <w:t xml:space="preserve">, 3(1), 237-252. </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Rozzani, N., &amp; Rahman, R. (2013). CAMELS and Performance Evaluation of Banks in Malaysia: Conventional versus Islamic. </w:t>
          </w:r>
          <w:r w:rsidRPr="00CF41D2">
            <w:rPr>
              <w:i/>
              <w:noProof/>
              <w:szCs w:val="24"/>
            </w:rPr>
            <w:t>Journal of Islamic Finance and Business Research</w:t>
          </w:r>
          <w:r w:rsidRPr="00CF41D2">
            <w:rPr>
              <w:noProof/>
              <w:szCs w:val="24"/>
            </w:rPr>
            <w:t xml:space="preserve">, 2(1), 36-45. </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Samuels, W. (1993). The History of Economics, History of Political economy, Michingan State University, USA: Duke University Press, 25 (2) 351-374</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Sarker, A. (2006). CAMELS rating system in the context of Islamic banking: A proposed ‘S’ for Shariah framework. </w:t>
          </w:r>
          <w:r w:rsidRPr="00CF41D2">
            <w:rPr>
              <w:i/>
              <w:noProof/>
              <w:szCs w:val="24"/>
            </w:rPr>
            <w:t>Journal of Islamic Economics, Banking and Finance</w:t>
          </w:r>
          <w:r w:rsidRPr="00CF41D2">
            <w:rPr>
              <w:noProof/>
              <w:szCs w:val="24"/>
            </w:rPr>
            <w:t xml:space="preserve">, 2(2), 1-26. </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lastRenderedPageBreak/>
            <w:t xml:space="preserve">Sarwar, A., &amp; Asif, S. (2011). Safety &amp; Soundness of Financial sector of Pakistan: CAMEL Rating Application. </w:t>
          </w:r>
          <w:r w:rsidRPr="00CF41D2">
            <w:rPr>
              <w:i/>
              <w:noProof/>
              <w:szCs w:val="24"/>
            </w:rPr>
            <w:t>Interdisciplinary Journal of Contemporary Research in Business</w:t>
          </w:r>
          <w:r w:rsidRPr="00CF41D2">
            <w:rPr>
              <w:noProof/>
              <w:szCs w:val="24"/>
            </w:rPr>
            <w:t xml:space="preserve">, 3(2), 624-630. </w:t>
          </w:r>
        </w:p>
        <w:p w:rsidR="00672193" w:rsidRPr="00CF41D2" w:rsidRDefault="00672193" w:rsidP="00672193">
          <w:pPr>
            <w:pStyle w:val="Bibliography"/>
            <w:spacing w:after="0" w:line="360" w:lineRule="auto"/>
            <w:ind w:left="720" w:hanging="720"/>
            <w:jc w:val="both"/>
            <w:rPr>
              <w:noProof/>
              <w:szCs w:val="24"/>
            </w:rPr>
          </w:pPr>
          <w:r w:rsidRPr="00CF41D2">
            <w:rPr>
              <w:noProof/>
              <w:szCs w:val="24"/>
            </w:rPr>
            <w:t xml:space="preserve">Tesfation, S. (2016). Finacial Performance of “The Best African Banks”: A Comparative Analaysis Through CAMEL Rating. </w:t>
          </w:r>
          <w:r w:rsidRPr="00CF41D2">
            <w:rPr>
              <w:i/>
              <w:iCs/>
              <w:noProof/>
              <w:szCs w:val="24"/>
            </w:rPr>
            <w:t>Journal of Accounting and Management, 6</w:t>
          </w:r>
          <w:r w:rsidRPr="00CF41D2">
            <w:rPr>
              <w:noProof/>
              <w:szCs w:val="24"/>
            </w:rPr>
            <w:t>(1), 1-20.</w:t>
          </w:r>
        </w:p>
        <w:p w:rsidR="00672193" w:rsidRPr="00CF41D2" w:rsidRDefault="00ED70D5" w:rsidP="00672193">
          <w:pPr>
            <w:autoSpaceDE w:val="0"/>
            <w:autoSpaceDN w:val="0"/>
            <w:adjustRightInd w:val="0"/>
            <w:spacing w:after="0" w:line="360" w:lineRule="auto"/>
            <w:jc w:val="both"/>
            <w:rPr>
              <w:rFonts w:eastAsiaTheme="minorHAnsi"/>
              <w:szCs w:val="24"/>
              <w:lang w:val="en-GB"/>
            </w:rPr>
          </w:pPr>
          <w:r w:rsidRPr="00CF41D2">
            <w:rPr>
              <w:szCs w:val="24"/>
            </w:rPr>
            <w:fldChar w:fldCharType="end"/>
          </w:r>
        </w:p>
      </w:sdtContent>
    </w:sdt>
    <w:sdt>
      <w:sdtPr>
        <w:rPr>
          <w:rFonts w:eastAsia="Calibri"/>
        </w:rPr>
        <w:id w:val="111145805"/>
        <w:bibliography/>
      </w:sdtPr>
      <w:sdtContent>
        <w:p w:rsidR="00672193" w:rsidRPr="00CF41D2" w:rsidRDefault="00ED70D5" w:rsidP="00672193">
          <w:pPr>
            <w:pStyle w:val="Bibliography"/>
            <w:spacing w:after="100" w:line="360" w:lineRule="auto"/>
            <w:ind w:left="720" w:hanging="720"/>
            <w:jc w:val="both"/>
            <w:rPr>
              <w:noProof/>
            </w:rPr>
          </w:pPr>
          <w:r w:rsidRPr="00ED70D5">
            <w:fldChar w:fldCharType="begin"/>
          </w:r>
          <w:r w:rsidR="00672193" w:rsidRPr="00CF41D2">
            <w:instrText xml:space="preserve"> BIBLIOGRAPHY </w:instrText>
          </w:r>
          <w:r w:rsidRPr="00ED70D5">
            <w:fldChar w:fldCharType="separate"/>
          </w:r>
        </w:p>
        <w:p w:rsidR="00672193" w:rsidRPr="00CF41D2" w:rsidRDefault="00672193" w:rsidP="00672193">
          <w:pPr>
            <w:spacing w:after="100" w:line="360" w:lineRule="auto"/>
            <w:jc w:val="both"/>
          </w:pPr>
        </w:p>
        <w:p w:rsidR="00672193" w:rsidRPr="00CF41D2" w:rsidRDefault="00ED70D5" w:rsidP="00672193">
          <w:pPr>
            <w:spacing w:after="100" w:line="360" w:lineRule="auto"/>
            <w:jc w:val="both"/>
          </w:pPr>
          <w:r w:rsidRPr="00CF41D2">
            <w:fldChar w:fldCharType="end"/>
          </w:r>
        </w:p>
      </w:sdtContent>
    </w:sdt>
    <w:p w:rsidR="00672193" w:rsidRPr="00CF41D2" w:rsidRDefault="00672193" w:rsidP="00672193">
      <w:pPr>
        <w:spacing w:after="100" w:line="360" w:lineRule="auto"/>
        <w:jc w:val="both"/>
        <w:outlineLvl w:val="8"/>
        <w:rPr>
          <w:szCs w:val="24"/>
        </w:rPr>
      </w:pPr>
    </w:p>
    <w:p w:rsidR="00672193" w:rsidRDefault="00672193" w:rsidP="00672193">
      <w:pPr>
        <w:pStyle w:val="Heading1"/>
        <w:spacing w:before="0" w:after="100" w:line="360" w:lineRule="auto"/>
        <w:rPr>
          <w:rFonts w:cs="Times New Roman"/>
          <w:color w:val="auto"/>
        </w:rPr>
      </w:pPr>
    </w:p>
    <w:p w:rsidR="00AE4086" w:rsidRDefault="00AE4086" w:rsidP="00AE4086"/>
    <w:p w:rsidR="00AE4086" w:rsidRDefault="00AE4086" w:rsidP="00AE4086"/>
    <w:p w:rsidR="00AE4086" w:rsidRDefault="00AE4086" w:rsidP="00AE4086"/>
    <w:p w:rsidR="00AE4086" w:rsidRDefault="00AE4086" w:rsidP="00AE4086"/>
    <w:p w:rsidR="00AE4086" w:rsidRDefault="00AE4086" w:rsidP="00AE4086"/>
    <w:p w:rsidR="00AE4086" w:rsidRDefault="00AE4086" w:rsidP="00AE4086"/>
    <w:p w:rsidR="00AE4086" w:rsidRDefault="00AE4086" w:rsidP="00AE4086"/>
    <w:p w:rsidR="00AE4086" w:rsidRDefault="00AE4086" w:rsidP="00AE4086"/>
    <w:p w:rsidR="00AE4086" w:rsidRDefault="00AE4086" w:rsidP="00AE4086"/>
    <w:p w:rsidR="00AE4086" w:rsidRDefault="00AE4086" w:rsidP="00AE4086"/>
    <w:p w:rsidR="00AE4086" w:rsidRDefault="00AE4086" w:rsidP="00AE4086"/>
    <w:p w:rsidR="00AE4086" w:rsidRDefault="00AE4086" w:rsidP="00AE4086"/>
    <w:p w:rsidR="00AE4086" w:rsidRDefault="00AE4086" w:rsidP="00AE4086"/>
    <w:p w:rsidR="00AE4086" w:rsidRDefault="00AE4086" w:rsidP="00AE4086"/>
    <w:p w:rsidR="00AE4086" w:rsidRDefault="00AE4086" w:rsidP="00AE4086"/>
    <w:p w:rsidR="00AE4086" w:rsidRDefault="00AE4086" w:rsidP="00AE4086"/>
    <w:p w:rsidR="00AE4086" w:rsidRDefault="00AE4086" w:rsidP="00AE4086">
      <w:pPr>
        <w:rPr>
          <w:sz w:val="28"/>
          <w:szCs w:val="28"/>
        </w:rPr>
      </w:pPr>
      <w:r>
        <w:rPr>
          <w:noProof/>
          <w:sz w:val="28"/>
          <w:szCs w:val="28"/>
        </w:rPr>
        <w:lastRenderedPageBreak/>
        <w:drawing>
          <wp:anchor distT="0" distB="0" distL="114300" distR="114300" simplePos="0" relativeHeight="251664384" behindDoc="0" locked="0" layoutInCell="1" allowOverlap="1">
            <wp:simplePos x="0" y="0"/>
            <wp:positionH relativeFrom="column">
              <wp:posOffset>-455735</wp:posOffset>
            </wp:positionH>
            <wp:positionV relativeFrom="paragraph">
              <wp:posOffset>206180</wp:posOffset>
            </wp:positionV>
            <wp:extent cx="6900497" cy="5547946"/>
            <wp:effectExtent l="1905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6900497" cy="5547946"/>
                    </a:xfrm>
                    <a:prstGeom prst="rect">
                      <a:avLst/>
                    </a:prstGeom>
                    <a:noFill/>
                    <a:ln w="9525">
                      <a:noFill/>
                      <a:miter lim="800000"/>
                      <a:headEnd/>
                      <a:tailEnd/>
                    </a:ln>
                  </pic:spPr>
                </pic:pic>
              </a:graphicData>
            </a:graphic>
          </wp:anchor>
        </w:drawing>
      </w:r>
      <w:r w:rsidRPr="00CF41D2">
        <w:rPr>
          <w:sz w:val="28"/>
          <w:szCs w:val="28"/>
        </w:rPr>
        <w:t>APPENDIX:</w:t>
      </w:r>
      <w:r>
        <w:rPr>
          <w:sz w:val="28"/>
          <w:szCs w:val="28"/>
        </w:rPr>
        <w:t xml:space="preserve"> 1</w:t>
      </w:r>
    </w:p>
    <w:p w:rsidR="00AE4086" w:rsidRDefault="00AE4086" w:rsidP="00AE4086">
      <w:pPr>
        <w:rPr>
          <w:sz w:val="28"/>
          <w:szCs w:val="28"/>
        </w:rPr>
      </w:pPr>
    </w:p>
    <w:p w:rsidR="00AE4086" w:rsidRDefault="00AE4086" w:rsidP="00AE4086">
      <w:pPr>
        <w:rPr>
          <w:sz w:val="28"/>
          <w:szCs w:val="28"/>
        </w:rPr>
      </w:pPr>
    </w:p>
    <w:p w:rsidR="00AE4086" w:rsidRDefault="00AE4086" w:rsidP="00AE4086">
      <w:pPr>
        <w:rPr>
          <w:sz w:val="28"/>
          <w:szCs w:val="28"/>
        </w:rPr>
      </w:pPr>
    </w:p>
    <w:p w:rsidR="00AE4086" w:rsidRDefault="00AE4086" w:rsidP="00AE4086">
      <w:pPr>
        <w:rPr>
          <w:sz w:val="28"/>
          <w:szCs w:val="28"/>
        </w:rPr>
      </w:pPr>
    </w:p>
    <w:p w:rsidR="00AE4086" w:rsidRDefault="00AE4086" w:rsidP="00AE4086">
      <w:pPr>
        <w:rPr>
          <w:sz w:val="28"/>
          <w:szCs w:val="28"/>
        </w:rPr>
      </w:pPr>
    </w:p>
    <w:p w:rsidR="00AE4086" w:rsidRDefault="00AE4086" w:rsidP="00AE4086">
      <w:pPr>
        <w:rPr>
          <w:sz w:val="28"/>
          <w:szCs w:val="28"/>
        </w:rPr>
      </w:pPr>
    </w:p>
    <w:p w:rsidR="00AE4086" w:rsidRDefault="00AE4086" w:rsidP="00AE4086">
      <w:pPr>
        <w:rPr>
          <w:sz w:val="28"/>
          <w:szCs w:val="28"/>
        </w:rPr>
      </w:pPr>
    </w:p>
    <w:p w:rsidR="00AE4086" w:rsidRDefault="00AE4086" w:rsidP="00AE4086">
      <w:pPr>
        <w:rPr>
          <w:sz w:val="28"/>
          <w:szCs w:val="28"/>
        </w:rPr>
      </w:pPr>
    </w:p>
    <w:p w:rsidR="00AE4086" w:rsidRDefault="00AE4086" w:rsidP="00AE4086">
      <w:pPr>
        <w:rPr>
          <w:sz w:val="28"/>
          <w:szCs w:val="28"/>
        </w:rPr>
      </w:pPr>
    </w:p>
    <w:p w:rsidR="00AE4086" w:rsidRDefault="00AE4086" w:rsidP="00AE4086">
      <w:pPr>
        <w:rPr>
          <w:sz w:val="28"/>
          <w:szCs w:val="28"/>
        </w:rPr>
      </w:pPr>
    </w:p>
    <w:p w:rsidR="00AE4086" w:rsidRDefault="00AE4086" w:rsidP="00AE4086">
      <w:pPr>
        <w:rPr>
          <w:sz w:val="28"/>
          <w:szCs w:val="28"/>
        </w:rPr>
      </w:pPr>
    </w:p>
    <w:p w:rsidR="00AE4086" w:rsidRDefault="00AE4086" w:rsidP="00AE4086">
      <w:pPr>
        <w:rPr>
          <w:sz w:val="28"/>
          <w:szCs w:val="28"/>
        </w:rPr>
      </w:pPr>
    </w:p>
    <w:p w:rsidR="00AE4086" w:rsidRDefault="00AE4086" w:rsidP="00AE4086">
      <w:pPr>
        <w:rPr>
          <w:sz w:val="28"/>
          <w:szCs w:val="28"/>
        </w:rPr>
      </w:pPr>
    </w:p>
    <w:p w:rsidR="00AE4086" w:rsidRDefault="00AE4086" w:rsidP="00AE4086">
      <w:pPr>
        <w:rPr>
          <w:sz w:val="28"/>
          <w:szCs w:val="28"/>
        </w:rPr>
      </w:pPr>
    </w:p>
    <w:p w:rsidR="00AE4086" w:rsidRDefault="00AE4086" w:rsidP="00AE4086">
      <w:pPr>
        <w:rPr>
          <w:sz w:val="28"/>
          <w:szCs w:val="28"/>
        </w:rPr>
      </w:pPr>
    </w:p>
    <w:p w:rsidR="00AE4086" w:rsidRDefault="00AE4086" w:rsidP="00AE4086">
      <w:pPr>
        <w:rPr>
          <w:rFonts w:eastAsia="TimesNewRoman"/>
          <w:szCs w:val="24"/>
        </w:rPr>
      </w:pPr>
      <w:r w:rsidRPr="00AE4086">
        <w:rPr>
          <w:rFonts w:eastAsia="TimesNewRoman"/>
          <w:szCs w:val="24"/>
        </w:rPr>
        <w:t xml:space="preserve"> </w:t>
      </w:r>
    </w:p>
    <w:p w:rsidR="00AE4086" w:rsidRPr="00AE4086" w:rsidRDefault="00AE4086" w:rsidP="00AE4086">
      <w:pPr>
        <w:sectPr w:rsidR="00AE4086" w:rsidRPr="00AE4086" w:rsidSect="00642B54">
          <w:pgSz w:w="12240" w:h="15840"/>
          <w:pgMar w:top="1166" w:right="1440" w:bottom="806" w:left="1440" w:header="720" w:footer="720" w:gutter="0"/>
          <w:pgNumType w:start="1"/>
          <w:cols w:space="720"/>
          <w:docGrid w:linePitch="360"/>
        </w:sectPr>
      </w:pPr>
      <w:r w:rsidRPr="00CF41D2">
        <w:rPr>
          <w:rFonts w:eastAsia="TimesNewRoman"/>
          <w:szCs w:val="24"/>
        </w:rPr>
        <w:t>Source: Own Computation from</w:t>
      </w:r>
      <w:r w:rsidR="00E2368E">
        <w:rPr>
          <w:rFonts w:eastAsia="TimesNewRoman"/>
          <w:szCs w:val="24"/>
        </w:rPr>
        <w:t xml:space="preserve"> CBE’s Annual Reports (2011-2020</w:t>
      </w:r>
      <w:r w:rsidRPr="00CF41D2">
        <w:rPr>
          <w:rFonts w:eastAsia="TimesNewRoman"/>
          <w:szCs w:val="24"/>
        </w:rPr>
        <w:t>) available on official website: www.cbe.com.et</w:t>
      </w:r>
    </w:p>
    <w:p w:rsidR="000F31FD" w:rsidRDefault="000F31FD" w:rsidP="000F31FD">
      <w:pPr>
        <w:rPr>
          <w:rFonts w:eastAsia="TimesNewRoman"/>
          <w:szCs w:val="24"/>
        </w:rPr>
      </w:pPr>
      <w:r w:rsidRPr="00CF41D2">
        <w:rPr>
          <w:sz w:val="28"/>
          <w:szCs w:val="28"/>
        </w:rPr>
        <w:lastRenderedPageBreak/>
        <w:t>APPENDIX:</w:t>
      </w:r>
      <w:r>
        <w:rPr>
          <w:sz w:val="28"/>
          <w:szCs w:val="28"/>
        </w:rPr>
        <w:t xml:space="preserve"> </w:t>
      </w:r>
      <w:r w:rsidR="00CA7139">
        <w:rPr>
          <w:sz w:val="28"/>
          <w:szCs w:val="28"/>
        </w:rPr>
        <w:t>2</w:t>
      </w:r>
      <w:r w:rsidRPr="000F31FD">
        <w:rPr>
          <w:rFonts w:eastAsia="TimesNewRoman"/>
          <w:szCs w:val="24"/>
        </w:rPr>
        <w:t xml:space="preserve"> </w:t>
      </w:r>
    </w:p>
    <w:p w:rsidR="000F31FD" w:rsidRDefault="000F31FD" w:rsidP="000F31FD">
      <w:pPr>
        <w:rPr>
          <w:rFonts w:eastAsia="TimesNewRoman"/>
          <w:szCs w:val="24"/>
        </w:rPr>
      </w:pPr>
      <w:r w:rsidRPr="000F31FD">
        <w:rPr>
          <w:rFonts w:eastAsia="TimesNewRoman"/>
          <w:noProof/>
          <w:szCs w:val="24"/>
        </w:rPr>
        <w:drawing>
          <wp:anchor distT="0" distB="0" distL="114300" distR="114300" simplePos="0" relativeHeight="251666432" behindDoc="0" locked="0" layoutInCell="1" allowOverlap="1">
            <wp:simplePos x="0" y="0"/>
            <wp:positionH relativeFrom="column">
              <wp:posOffset>-148004</wp:posOffset>
            </wp:positionH>
            <wp:positionV relativeFrom="paragraph">
              <wp:posOffset>148004</wp:posOffset>
            </wp:positionV>
            <wp:extent cx="6356682" cy="3279531"/>
            <wp:effectExtent l="19050" t="0" r="6018" b="0"/>
            <wp:wrapNone/>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6359299" cy="3280881"/>
                    </a:xfrm>
                    <a:prstGeom prst="rect">
                      <a:avLst/>
                    </a:prstGeom>
                    <a:noFill/>
                    <a:ln w="9525">
                      <a:noFill/>
                      <a:miter lim="800000"/>
                      <a:headEnd/>
                      <a:tailEnd/>
                    </a:ln>
                  </pic:spPr>
                </pic:pic>
              </a:graphicData>
            </a:graphic>
          </wp:anchor>
        </w:drawing>
      </w:r>
    </w:p>
    <w:p w:rsidR="000F31FD" w:rsidRDefault="000F31FD" w:rsidP="000F31FD">
      <w:pPr>
        <w:rPr>
          <w:rFonts w:eastAsia="TimesNewRoman"/>
          <w:szCs w:val="24"/>
        </w:rPr>
      </w:pPr>
    </w:p>
    <w:p w:rsidR="000F31FD" w:rsidRDefault="000F31FD" w:rsidP="000F31FD">
      <w:pPr>
        <w:rPr>
          <w:rFonts w:eastAsia="TimesNewRoman"/>
          <w:szCs w:val="24"/>
        </w:rPr>
      </w:pPr>
    </w:p>
    <w:p w:rsidR="000F31FD" w:rsidRDefault="000F31FD" w:rsidP="000F31FD">
      <w:pPr>
        <w:rPr>
          <w:rFonts w:eastAsia="TimesNewRoman"/>
          <w:szCs w:val="24"/>
        </w:rPr>
      </w:pPr>
    </w:p>
    <w:p w:rsidR="000F31FD" w:rsidRDefault="000F31FD" w:rsidP="000F31FD">
      <w:pPr>
        <w:rPr>
          <w:rFonts w:eastAsia="TimesNewRoman"/>
          <w:szCs w:val="24"/>
        </w:rPr>
      </w:pPr>
    </w:p>
    <w:p w:rsidR="000F31FD" w:rsidRDefault="000F31FD" w:rsidP="000F31FD">
      <w:pPr>
        <w:rPr>
          <w:rFonts w:eastAsia="TimesNewRoman"/>
          <w:szCs w:val="24"/>
        </w:rPr>
      </w:pPr>
    </w:p>
    <w:p w:rsidR="000F31FD" w:rsidRDefault="000F31FD" w:rsidP="000F31FD">
      <w:pPr>
        <w:rPr>
          <w:rFonts w:eastAsia="TimesNewRoman"/>
          <w:szCs w:val="24"/>
        </w:rPr>
      </w:pPr>
    </w:p>
    <w:p w:rsidR="000F31FD" w:rsidRDefault="000F31FD" w:rsidP="000F31FD">
      <w:pPr>
        <w:rPr>
          <w:rFonts w:eastAsia="TimesNewRoman"/>
          <w:szCs w:val="24"/>
        </w:rPr>
      </w:pPr>
    </w:p>
    <w:p w:rsidR="000F31FD" w:rsidRDefault="000F31FD" w:rsidP="000F31FD">
      <w:pPr>
        <w:rPr>
          <w:rFonts w:eastAsia="TimesNewRoman"/>
          <w:szCs w:val="24"/>
        </w:rPr>
      </w:pPr>
    </w:p>
    <w:p w:rsidR="000F31FD" w:rsidRDefault="000F31FD" w:rsidP="000F31FD">
      <w:pPr>
        <w:rPr>
          <w:rFonts w:eastAsia="TimesNewRoman"/>
          <w:szCs w:val="24"/>
        </w:rPr>
      </w:pPr>
    </w:p>
    <w:p w:rsidR="000F31FD" w:rsidRDefault="000F31FD" w:rsidP="000F31FD">
      <w:pPr>
        <w:rPr>
          <w:rFonts w:eastAsia="TimesNewRoman"/>
          <w:szCs w:val="24"/>
        </w:rPr>
      </w:pPr>
    </w:p>
    <w:p w:rsidR="000F31FD" w:rsidRDefault="000F31FD" w:rsidP="000F31FD">
      <w:pPr>
        <w:rPr>
          <w:sz w:val="28"/>
          <w:szCs w:val="28"/>
        </w:rPr>
      </w:pPr>
      <w:r w:rsidRPr="00CF41D2">
        <w:rPr>
          <w:rFonts w:eastAsia="TimesNewRoman"/>
          <w:szCs w:val="24"/>
        </w:rPr>
        <w:t xml:space="preserve">Source: Own Computation from </w:t>
      </w:r>
      <w:r>
        <w:rPr>
          <w:rFonts w:eastAsia="TimesNewRoman"/>
          <w:szCs w:val="24"/>
        </w:rPr>
        <w:t>CBE’s Annual Reports (2011-2020</w:t>
      </w:r>
      <w:r w:rsidRPr="00CF41D2">
        <w:rPr>
          <w:rFonts w:eastAsia="TimesNewRoman"/>
          <w:szCs w:val="24"/>
        </w:rPr>
        <w:t xml:space="preserve"> available on official website: www.cbe.com.et</w:t>
      </w:r>
    </w:p>
    <w:p w:rsidR="00E4014D" w:rsidRDefault="00E4014D" w:rsidP="00672193">
      <w:pPr>
        <w:spacing w:after="100" w:line="360" w:lineRule="auto"/>
        <w:jc w:val="both"/>
        <w:rPr>
          <w:sz w:val="2"/>
        </w:rPr>
      </w:pPr>
    </w:p>
    <w:p w:rsidR="00AE4086" w:rsidRDefault="00AE4086" w:rsidP="00672193">
      <w:pPr>
        <w:spacing w:after="100" w:line="360" w:lineRule="auto"/>
        <w:jc w:val="both"/>
        <w:rPr>
          <w:sz w:val="2"/>
        </w:rPr>
      </w:pPr>
    </w:p>
    <w:p w:rsidR="00AE4086" w:rsidRDefault="00AE4086" w:rsidP="00672193">
      <w:pPr>
        <w:spacing w:after="100" w:line="360" w:lineRule="auto"/>
        <w:jc w:val="both"/>
        <w:rPr>
          <w:sz w:val="2"/>
        </w:rPr>
      </w:pPr>
    </w:p>
    <w:p w:rsidR="00AE4086" w:rsidRDefault="00AE4086" w:rsidP="00672193">
      <w:pPr>
        <w:spacing w:after="100" w:line="360" w:lineRule="auto"/>
        <w:jc w:val="both"/>
        <w:rPr>
          <w:sz w:val="2"/>
        </w:rPr>
      </w:pPr>
    </w:p>
    <w:p w:rsidR="00AE4086" w:rsidRDefault="00AE4086" w:rsidP="00672193">
      <w:pPr>
        <w:spacing w:after="100" w:line="360" w:lineRule="auto"/>
        <w:jc w:val="both"/>
        <w:rPr>
          <w:sz w:val="2"/>
        </w:rPr>
      </w:pPr>
    </w:p>
    <w:p w:rsidR="00AE4086" w:rsidRDefault="00AE4086" w:rsidP="00672193">
      <w:pPr>
        <w:spacing w:after="100" w:line="360" w:lineRule="auto"/>
        <w:jc w:val="both"/>
        <w:rPr>
          <w:sz w:val="2"/>
        </w:rPr>
      </w:pPr>
    </w:p>
    <w:p w:rsidR="000B1DE3" w:rsidRDefault="000B1DE3" w:rsidP="00672193">
      <w:pPr>
        <w:pStyle w:val="Heading2"/>
        <w:spacing w:before="0" w:after="100" w:line="360" w:lineRule="auto"/>
        <w:ind w:left="720"/>
        <w:jc w:val="center"/>
        <w:rPr>
          <w:color w:val="auto"/>
          <w:sz w:val="28"/>
          <w:szCs w:val="28"/>
        </w:rPr>
      </w:pPr>
      <w:bookmarkStart w:id="110" w:name="_Toc519167285"/>
      <w:bookmarkStart w:id="111" w:name="_Toc73104314"/>
    </w:p>
    <w:p w:rsidR="000B1DE3" w:rsidRDefault="000B1DE3" w:rsidP="00672193">
      <w:pPr>
        <w:pStyle w:val="Heading2"/>
        <w:spacing w:before="0" w:after="100" w:line="360" w:lineRule="auto"/>
        <w:ind w:left="720"/>
        <w:jc w:val="center"/>
        <w:rPr>
          <w:color w:val="auto"/>
          <w:sz w:val="28"/>
          <w:szCs w:val="28"/>
        </w:rPr>
      </w:pPr>
    </w:p>
    <w:p w:rsidR="000B1DE3" w:rsidRDefault="000B1DE3" w:rsidP="00672193">
      <w:pPr>
        <w:pStyle w:val="Heading2"/>
        <w:spacing w:before="0" w:after="100" w:line="360" w:lineRule="auto"/>
        <w:ind w:left="720"/>
        <w:jc w:val="center"/>
        <w:rPr>
          <w:color w:val="auto"/>
          <w:sz w:val="28"/>
          <w:szCs w:val="28"/>
        </w:rPr>
      </w:pPr>
    </w:p>
    <w:p w:rsidR="000B1DE3" w:rsidRDefault="000B1DE3" w:rsidP="00672193">
      <w:pPr>
        <w:pStyle w:val="Heading2"/>
        <w:spacing w:before="0" w:after="100" w:line="360" w:lineRule="auto"/>
        <w:ind w:left="720"/>
        <w:jc w:val="center"/>
        <w:rPr>
          <w:color w:val="auto"/>
          <w:sz w:val="28"/>
          <w:szCs w:val="28"/>
        </w:rPr>
      </w:pPr>
    </w:p>
    <w:p w:rsidR="000B1DE3" w:rsidRDefault="000B1DE3" w:rsidP="00672193">
      <w:pPr>
        <w:pStyle w:val="Heading2"/>
        <w:spacing w:before="0" w:after="100" w:line="360" w:lineRule="auto"/>
        <w:ind w:left="720"/>
        <w:jc w:val="center"/>
        <w:rPr>
          <w:color w:val="auto"/>
          <w:sz w:val="28"/>
          <w:szCs w:val="28"/>
        </w:rPr>
      </w:pPr>
    </w:p>
    <w:p w:rsidR="000B1DE3" w:rsidRDefault="000B1DE3" w:rsidP="00AE4086">
      <w:pPr>
        <w:pStyle w:val="Heading2"/>
        <w:spacing w:before="0" w:after="100" w:line="360" w:lineRule="auto"/>
        <w:rPr>
          <w:color w:val="auto"/>
          <w:sz w:val="28"/>
          <w:szCs w:val="28"/>
        </w:rPr>
      </w:pPr>
    </w:p>
    <w:p w:rsidR="00CA7139" w:rsidRDefault="00CA7139" w:rsidP="00CA7139"/>
    <w:p w:rsidR="00CA7139" w:rsidRPr="00CA7139" w:rsidRDefault="00CA7139" w:rsidP="00CA7139"/>
    <w:p w:rsidR="00672193" w:rsidRPr="00CF41D2" w:rsidRDefault="00AE4086" w:rsidP="00AE4086">
      <w:pPr>
        <w:pStyle w:val="Heading2"/>
        <w:spacing w:before="0" w:after="100" w:line="360" w:lineRule="auto"/>
        <w:rPr>
          <w:color w:val="auto"/>
          <w:sz w:val="28"/>
          <w:szCs w:val="28"/>
        </w:rPr>
      </w:pPr>
      <w:r>
        <w:rPr>
          <w:color w:val="auto"/>
          <w:sz w:val="28"/>
          <w:szCs w:val="28"/>
        </w:rPr>
        <w:lastRenderedPageBreak/>
        <w:t xml:space="preserve">                             </w:t>
      </w:r>
      <w:r w:rsidR="00672193" w:rsidRPr="00CF41D2">
        <w:rPr>
          <w:color w:val="auto"/>
          <w:sz w:val="28"/>
          <w:szCs w:val="28"/>
        </w:rPr>
        <w:t>APPENDIX</w:t>
      </w:r>
      <w:r w:rsidR="00CA7139">
        <w:rPr>
          <w:color w:val="auto"/>
          <w:sz w:val="28"/>
          <w:szCs w:val="28"/>
        </w:rPr>
        <w:t xml:space="preserve"> 3 </w:t>
      </w:r>
      <w:r w:rsidR="00672193" w:rsidRPr="00CF41D2">
        <w:rPr>
          <w:color w:val="auto"/>
          <w:sz w:val="28"/>
          <w:szCs w:val="28"/>
        </w:rPr>
        <w:t>RAW DATA</w:t>
      </w:r>
      <w:bookmarkEnd w:id="110"/>
      <w:bookmarkEnd w:id="111"/>
    </w:p>
    <w:p w:rsidR="00672193" w:rsidRPr="00CF41D2" w:rsidRDefault="00672193" w:rsidP="00672193">
      <w:pPr>
        <w:autoSpaceDE w:val="0"/>
        <w:autoSpaceDN w:val="0"/>
        <w:adjustRightInd w:val="0"/>
        <w:spacing w:after="0" w:line="360" w:lineRule="auto"/>
        <w:rPr>
          <w:noProof/>
        </w:rPr>
      </w:pPr>
      <w:r w:rsidRPr="00CF41D2">
        <w:rPr>
          <w:noProof/>
        </w:rPr>
        <w:t xml:space="preserve">   </w:t>
      </w:r>
    </w:p>
    <w:tbl>
      <w:tblPr>
        <w:tblStyle w:val="TableGrid"/>
        <w:tblW w:w="10638" w:type="dxa"/>
        <w:tblInd w:w="-432" w:type="dxa"/>
        <w:tblLook w:val="04A0"/>
      </w:tblPr>
      <w:tblGrid>
        <w:gridCol w:w="2339"/>
        <w:gridCol w:w="900"/>
        <w:gridCol w:w="871"/>
        <w:gridCol w:w="871"/>
        <w:gridCol w:w="871"/>
        <w:gridCol w:w="871"/>
        <w:gridCol w:w="803"/>
        <w:gridCol w:w="803"/>
        <w:gridCol w:w="803"/>
        <w:gridCol w:w="768"/>
        <w:gridCol w:w="738"/>
      </w:tblGrid>
      <w:tr w:rsidR="00672193" w:rsidRPr="00CF41D2" w:rsidTr="00642B54">
        <w:tc>
          <w:tcPr>
            <w:tcW w:w="2340"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Year</w:t>
            </w:r>
          </w:p>
        </w:tc>
        <w:tc>
          <w:tcPr>
            <w:tcW w:w="900"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2011</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2012</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2013</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2014</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2015</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2016</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2017</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2018</w:t>
            </w:r>
          </w:p>
        </w:tc>
        <w:tc>
          <w:tcPr>
            <w:tcW w:w="768"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2019</w:t>
            </w:r>
          </w:p>
        </w:tc>
        <w:tc>
          <w:tcPr>
            <w:tcW w:w="738"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2020</w:t>
            </w:r>
          </w:p>
        </w:tc>
      </w:tr>
      <w:tr w:rsidR="00672193" w:rsidRPr="00CF41D2" w:rsidTr="00642B54">
        <w:tc>
          <w:tcPr>
            <w:tcW w:w="2340" w:type="dxa"/>
          </w:tcPr>
          <w:p w:rsidR="00672193" w:rsidRPr="00CF41D2" w:rsidRDefault="00672193" w:rsidP="00642B54">
            <w:pPr>
              <w:autoSpaceDE w:val="0"/>
              <w:autoSpaceDN w:val="0"/>
              <w:adjustRightInd w:val="0"/>
              <w:spacing w:line="360" w:lineRule="auto"/>
              <w:jc w:val="center"/>
              <w:rPr>
                <w:noProof/>
                <w:szCs w:val="24"/>
              </w:rPr>
            </w:pPr>
            <w:r w:rsidRPr="00CF41D2">
              <w:rPr>
                <w:szCs w:val="24"/>
              </w:rPr>
              <w:t>Capital Adequacy Ratio</w:t>
            </w:r>
          </w:p>
        </w:tc>
        <w:tc>
          <w:tcPr>
            <w:tcW w:w="900"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11.5</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9.2</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13.3</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12.90</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13.2</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12.9</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29.7</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30</w:t>
            </w:r>
          </w:p>
        </w:tc>
        <w:tc>
          <w:tcPr>
            <w:tcW w:w="768" w:type="dxa"/>
          </w:tcPr>
          <w:p w:rsidR="00672193" w:rsidRPr="00CF41D2" w:rsidRDefault="00672193" w:rsidP="00642B54">
            <w:pPr>
              <w:autoSpaceDE w:val="0"/>
              <w:autoSpaceDN w:val="0"/>
              <w:adjustRightInd w:val="0"/>
              <w:spacing w:line="360" w:lineRule="auto"/>
              <w:jc w:val="center"/>
              <w:rPr>
                <w:szCs w:val="24"/>
              </w:rPr>
            </w:pPr>
            <w:r w:rsidRPr="00CF41D2">
              <w:rPr>
                <w:szCs w:val="24"/>
              </w:rPr>
              <w:t>27.4</w:t>
            </w:r>
          </w:p>
        </w:tc>
        <w:tc>
          <w:tcPr>
            <w:tcW w:w="738" w:type="dxa"/>
          </w:tcPr>
          <w:p w:rsidR="00672193" w:rsidRPr="00CF41D2" w:rsidRDefault="00672193" w:rsidP="00642B54">
            <w:pPr>
              <w:autoSpaceDE w:val="0"/>
              <w:autoSpaceDN w:val="0"/>
              <w:adjustRightInd w:val="0"/>
              <w:spacing w:line="360" w:lineRule="auto"/>
              <w:jc w:val="center"/>
              <w:rPr>
                <w:szCs w:val="24"/>
              </w:rPr>
            </w:pPr>
            <w:r w:rsidRPr="00CF41D2">
              <w:rPr>
                <w:szCs w:val="24"/>
              </w:rPr>
              <w:t>22.4</w:t>
            </w:r>
          </w:p>
        </w:tc>
      </w:tr>
      <w:tr w:rsidR="00672193" w:rsidRPr="00CF41D2" w:rsidTr="00642B54">
        <w:tc>
          <w:tcPr>
            <w:tcW w:w="2340" w:type="dxa"/>
          </w:tcPr>
          <w:p w:rsidR="00672193" w:rsidRPr="00CF41D2" w:rsidRDefault="00672193" w:rsidP="00642B54">
            <w:pPr>
              <w:autoSpaceDE w:val="0"/>
              <w:autoSpaceDN w:val="0"/>
              <w:adjustRightInd w:val="0"/>
              <w:spacing w:line="360" w:lineRule="auto"/>
              <w:jc w:val="center"/>
              <w:rPr>
                <w:noProof/>
                <w:szCs w:val="24"/>
              </w:rPr>
            </w:pPr>
            <w:r w:rsidRPr="00CF41D2">
              <w:rPr>
                <w:szCs w:val="24"/>
              </w:rPr>
              <w:t>NPLs to Total Loans Ratio</w:t>
            </w:r>
          </w:p>
        </w:tc>
        <w:tc>
          <w:tcPr>
            <w:tcW w:w="900"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0.86</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0.61</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2.2</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1.4</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1.8</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2.5</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2.8</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3.4</w:t>
            </w:r>
          </w:p>
        </w:tc>
        <w:tc>
          <w:tcPr>
            <w:tcW w:w="768" w:type="dxa"/>
          </w:tcPr>
          <w:p w:rsidR="00672193" w:rsidRPr="00CF41D2" w:rsidRDefault="00672193" w:rsidP="00642B54">
            <w:pPr>
              <w:autoSpaceDE w:val="0"/>
              <w:autoSpaceDN w:val="0"/>
              <w:adjustRightInd w:val="0"/>
              <w:spacing w:line="360" w:lineRule="auto"/>
              <w:jc w:val="center"/>
              <w:rPr>
                <w:szCs w:val="24"/>
              </w:rPr>
            </w:pPr>
            <w:r w:rsidRPr="00CF41D2">
              <w:rPr>
                <w:szCs w:val="24"/>
              </w:rPr>
              <w:t>1.8</w:t>
            </w:r>
          </w:p>
        </w:tc>
        <w:tc>
          <w:tcPr>
            <w:tcW w:w="738" w:type="dxa"/>
          </w:tcPr>
          <w:p w:rsidR="00672193" w:rsidRPr="00CF41D2" w:rsidRDefault="00672193" w:rsidP="00642B54">
            <w:pPr>
              <w:autoSpaceDE w:val="0"/>
              <w:autoSpaceDN w:val="0"/>
              <w:adjustRightInd w:val="0"/>
              <w:spacing w:line="360" w:lineRule="auto"/>
              <w:jc w:val="center"/>
              <w:rPr>
                <w:szCs w:val="24"/>
              </w:rPr>
            </w:pPr>
            <w:r w:rsidRPr="00CF41D2">
              <w:rPr>
                <w:szCs w:val="24"/>
              </w:rPr>
              <w:t>4.1</w:t>
            </w:r>
          </w:p>
        </w:tc>
      </w:tr>
      <w:tr w:rsidR="00672193" w:rsidRPr="00CF41D2" w:rsidTr="00642B54">
        <w:tc>
          <w:tcPr>
            <w:tcW w:w="2340" w:type="dxa"/>
          </w:tcPr>
          <w:p w:rsidR="00672193" w:rsidRPr="00CF41D2" w:rsidRDefault="00672193" w:rsidP="00642B54">
            <w:pPr>
              <w:autoSpaceDE w:val="0"/>
              <w:autoSpaceDN w:val="0"/>
              <w:adjustRightInd w:val="0"/>
              <w:spacing w:line="360" w:lineRule="auto"/>
              <w:jc w:val="center"/>
              <w:rPr>
                <w:noProof/>
                <w:szCs w:val="24"/>
              </w:rPr>
            </w:pPr>
            <w:r w:rsidRPr="00CF41D2">
              <w:rPr>
                <w:szCs w:val="24"/>
              </w:rPr>
              <w:t>NPLs to Total Equity Ratio</w:t>
            </w:r>
          </w:p>
        </w:tc>
        <w:tc>
          <w:tcPr>
            <w:tcW w:w="900"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0.11</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0.13</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0.36</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0.26</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0.32</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0.18</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0.12</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0.13</w:t>
            </w:r>
          </w:p>
        </w:tc>
        <w:tc>
          <w:tcPr>
            <w:tcW w:w="768" w:type="dxa"/>
          </w:tcPr>
          <w:p w:rsidR="00672193" w:rsidRPr="00CF41D2" w:rsidRDefault="00672193" w:rsidP="00642B54">
            <w:pPr>
              <w:autoSpaceDE w:val="0"/>
              <w:autoSpaceDN w:val="0"/>
              <w:adjustRightInd w:val="0"/>
              <w:spacing w:line="360" w:lineRule="auto"/>
              <w:jc w:val="center"/>
              <w:rPr>
                <w:szCs w:val="24"/>
              </w:rPr>
            </w:pPr>
            <w:r w:rsidRPr="00CF41D2">
              <w:rPr>
                <w:szCs w:val="24"/>
              </w:rPr>
              <w:t>0.07</w:t>
            </w:r>
          </w:p>
        </w:tc>
        <w:tc>
          <w:tcPr>
            <w:tcW w:w="738" w:type="dxa"/>
          </w:tcPr>
          <w:p w:rsidR="00672193" w:rsidRPr="00CF41D2" w:rsidRDefault="00672193" w:rsidP="00642B54">
            <w:pPr>
              <w:autoSpaceDE w:val="0"/>
              <w:autoSpaceDN w:val="0"/>
              <w:adjustRightInd w:val="0"/>
              <w:spacing w:line="360" w:lineRule="auto"/>
              <w:jc w:val="center"/>
              <w:rPr>
                <w:szCs w:val="24"/>
              </w:rPr>
            </w:pPr>
            <w:r w:rsidRPr="00CF41D2">
              <w:rPr>
                <w:szCs w:val="24"/>
              </w:rPr>
              <w:t>0.19</w:t>
            </w:r>
          </w:p>
        </w:tc>
      </w:tr>
      <w:tr w:rsidR="00672193" w:rsidRPr="00CF41D2" w:rsidTr="00642B54">
        <w:tc>
          <w:tcPr>
            <w:tcW w:w="2340" w:type="dxa"/>
          </w:tcPr>
          <w:p w:rsidR="00672193" w:rsidRPr="00CF41D2" w:rsidRDefault="00672193" w:rsidP="00642B54">
            <w:pPr>
              <w:autoSpaceDE w:val="0"/>
              <w:autoSpaceDN w:val="0"/>
              <w:adjustRightInd w:val="0"/>
              <w:spacing w:line="360" w:lineRule="auto"/>
              <w:jc w:val="center"/>
              <w:rPr>
                <w:noProof/>
                <w:szCs w:val="24"/>
              </w:rPr>
            </w:pPr>
            <w:r w:rsidRPr="00CF41D2">
              <w:rPr>
                <w:szCs w:val="24"/>
              </w:rPr>
              <w:t>Loan Loss Provision to Total Loan Ratio</w:t>
            </w:r>
          </w:p>
        </w:tc>
        <w:tc>
          <w:tcPr>
            <w:tcW w:w="900"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2.6</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2.4</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2.7</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2.7</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2.6</w:t>
            </w:r>
          </w:p>
        </w:tc>
        <w:tc>
          <w:tcPr>
            <w:tcW w:w="0" w:type="auto"/>
          </w:tcPr>
          <w:p w:rsidR="00672193" w:rsidRPr="00CF41D2" w:rsidRDefault="00672193" w:rsidP="00642B54">
            <w:pPr>
              <w:spacing w:line="360" w:lineRule="auto"/>
              <w:jc w:val="center"/>
              <w:rPr>
                <w:szCs w:val="24"/>
              </w:rPr>
            </w:pPr>
            <w:r w:rsidRPr="00CF41D2">
              <w:rPr>
                <w:szCs w:val="24"/>
              </w:rPr>
              <w:t>2.56</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2.38</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3.2</w:t>
            </w:r>
          </w:p>
        </w:tc>
        <w:tc>
          <w:tcPr>
            <w:tcW w:w="768" w:type="dxa"/>
          </w:tcPr>
          <w:p w:rsidR="00672193" w:rsidRPr="00CF41D2" w:rsidRDefault="00672193" w:rsidP="00642B54">
            <w:pPr>
              <w:autoSpaceDE w:val="0"/>
              <w:autoSpaceDN w:val="0"/>
              <w:adjustRightInd w:val="0"/>
              <w:spacing w:line="360" w:lineRule="auto"/>
              <w:jc w:val="center"/>
              <w:rPr>
                <w:szCs w:val="24"/>
              </w:rPr>
            </w:pPr>
            <w:r w:rsidRPr="00CF41D2">
              <w:rPr>
                <w:szCs w:val="24"/>
              </w:rPr>
              <w:t>3.8</w:t>
            </w:r>
          </w:p>
        </w:tc>
        <w:tc>
          <w:tcPr>
            <w:tcW w:w="738" w:type="dxa"/>
          </w:tcPr>
          <w:p w:rsidR="00672193" w:rsidRPr="00CF41D2" w:rsidRDefault="00672193" w:rsidP="00642B54">
            <w:pPr>
              <w:autoSpaceDE w:val="0"/>
              <w:autoSpaceDN w:val="0"/>
              <w:adjustRightInd w:val="0"/>
              <w:spacing w:line="360" w:lineRule="auto"/>
              <w:jc w:val="center"/>
              <w:rPr>
                <w:szCs w:val="24"/>
              </w:rPr>
            </w:pPr>
            <w:r w:rsidRPr="00CF41D2">
              <w:rPr>
                <w:szCs w:val="24"/>
              </w:rPr>
              <w:t>4.5</w:t>
            </w:r>
          </w:p>
        </w:tc>
      </w:tr>
      <w:tr w:rsidR="00672193" w:rsidRPr="00CF41D2" w:rsidTr="00642B54">
        <w:tc>
          <w:tcPr>
            <w:tcW w:w="2340" w:type="dxa"/>
          </w:tcPr>
          <w:p w:rsidR="00672193" w:rsidRPr="00CF41D2" w:rsidRDefault="00672193" w:rsidP="00642B54">
            <w:pPr>
              <w:autoSpaceDE w:val="0"/>
              <w:autoSpaceDN w:val="0"/>
              <w:adjustRightInd w:val="0"/>
              <w:spacing w:line="360" w:lineRule="auto"/>
              <w:jc w:val="center"/>
              <w:rPr>
                <w:noProof/>
                <w:szCs w:val="24"/>
              </w:rPr>
            </w:pPr>
            <w:r w:rsidRPr="00CF41D2">
              <w:rPr>
                <w:szCs w:val="24"/>
              </w:rPr>
              <w:t>Asset Growth Rate</w:t>
            </w:r>
          </w:p>
        </w:tc>
        <w:tc>
          <w:tcPr>
            <w:tcW w:w="900"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54</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38.4</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23</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24.9</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25</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26.1</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27.7</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17</w:t>
            </w:r>
          </w:p>
        </w:tc>
        <w:tc>
          <w:tcPr>
            <w:tcW w:w="768" w:type="dxa"/>
          </w:tcPr>
          <w:p w:rsidR="00672193" w:rsidRPr="00CF41D2" w:rsidRDefault="00672193" w:rsidP="00642B54">
            <w:pPr>
              <w:autoSpaceDE w:val="0"/>
              <w:autoSpaceDN w:val="0"/>
              <w:adjustRightInd w:val="0"/>
              <w:spacing w:line="360" w:lineRule="auto"/>
              <w:jc w:val="center"/>
              <w:rPr>
                <w:szCs w:val="24"/>
              </w:rPr>
            </w:pPr>
            <w:r w:rsidRPr="00CF41D2">
              <w:rPr>
                <w:szCs w:val="24"/>
              </w:rPr>
              <w:t>24</w:t>
            </w:r>
          </w:p>
        </w:tc>
        <w:tc>
          <w:tcPr>
            <w:tcW w:w="738" w:type="dxa"/>
          </w:tcPr>
          <w:p w:rsidR="00672193" w:rsidRPr="00CF41D2" w:rsidRDefault="00672193" w:rsidP="00642B54">
            <w:pPr>
              <w:autoSpaceDE w:val="0"/>
              <w:autoSpaceDN w:val="0"/>
              <w:adjustRightInd w:val="0"/>
              <w:spacing w:line="360" w:lineRule="auto"/>
              <w:jc w:val="center"/>
              <w:rPr>
                <w:szCs w:val="24"/>
              </w:rPr>
            </w:pPr>
            <w:r w:rsidRPr="00CF41D2">
              <w:rPr>
                <w:szCs w:val="24"/>
              </w:rPr>
              <w:t>14.2</w:t>
            </w:r>
          </w:p>
        </w:tc>
      </w:tr>
      <w:tr w:rsidR="00672193" w:rsidRPr="00CF41D2" w:rsidTr="00642B54">
        <w:tc>
          <w:tcPr>
            <w:tcW w:w="2340" w:type="dxa"/>
          </w:tcPr>
          <w:p w:rsidR="00672193" w:rsidRPr="00CF41D2" w:rsidRDefault="00672193" w:rsidP="00642B54">
            <w:pPr>
              <w:autoSpaceDE w:val="0"/>
              <w:autoSpaceDN w:val="0"/>
              <w:adjustRightInd w:val="0"/>
              <w:spacing w:line="360" w:lineRule="auto"/>
              <w:jc w:val="center"/>
              <w:rPr>
                <w:noProof/>
                <w:szCs w:val="24"/>
              </w:rPr>
            </w:pPr>
            <w:r w:rsidRPr="00CF41D2">
              <w:rPr>
                <w:szCs w:val="24"/>
              </w:rPr>
              <w:t>Loan Growth Rate</w:t>
            </w:r>
          </w:p>
        </w:tc>
        <w:tc>
          <w:tcPr>
            <w:tcW w:w="900"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46.7</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62.91</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21.15</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34.9</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32.4</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34.9</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17.7</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27</w:t>
            </w:r>
          </w:p>
        </w:tc>
        <w:tc>
          <w:tcPr>
            <w:tcW w:w="768" w:type="dxa"/>
          </w:tcPr>
          <w:p w:rsidR="00672193" w:rsidRPr="00CF41D2" w:rsidRDefault="00672193" w:rsidP="00642B54">
            <w:pPr>
              <w:autoSpaceDE w:val="0"/>
              <w:autoSpaceDN w:val="0"/>
              <w:adjustRightInd w:val="0"/>
              <w:spacing w:line="360" w:lineRule="auto"/>
              <w:jc w:val="center"/>
              <w:rPr>
                <w:szCs w:val="24"/>
              </w:rPr>
            </w:pPr>
            <w:r w:rsidRPr="00CF41D2">
              <w:rPr>
                <w:szCs w:val="24"/>
              </w:rPr>
              <w:t>17</w:t>
            </w:r>
          </w:p>
        </w:tc>
        <w:tc>
          <w:tcPr>
            <w:tcW w:w="738" w:type="dxa"/>
          </w:tcPr>
          <w:p w:rsidR="00672193" w:rsidRPr="00CF41D2" w:rsidRDefault="00672193" w:rsidP="00642B54">
            <w:pPr>
              <w:autoSpaceDE w:val="0"/>
              <w:autoSpaceDN w:val="0"/>
              <w:adjustRightInd w:val="0"/>
              <w:spacing w:line="360" w:lineRule="auto"/>
              <w:jc w:val="center"/>
              <w:rPr>
                <w:szCs w:val="24"/>
              </w:rPr>
            </w:pPr>
            <w:r w:rsidRPr="00CF41D2">
              <w:rPr>
                <w:szCs w:val="24"/>
              </w:rPr>
              <w:t>14</w:t>
            </w:r>
          </w:p>
        </w:tc>
      </w:tr>
      <w:tr w:rsidR="00672193" w:rsidRPr="00CF41D2" w:rsidTr="00642B54">
        <w:tc>
          <w:tcPr>
            <w:tcW w:w="2340" w:type="dxa"/>
          </w:tcPr>
          <w:p w:rsidR="00672193" w:rsidRPr="00CF41D2" w:rsidRDefault="00672193" w:rsidP="00642B54">
            <w:pPr>
              <w:autoSpaceDE w:val="0"/>
              <w:autoSpaceDN w:val="0"/>
              <w:adjustRightInd w:val="0"/>
              <w:spacing w:line="360" w:lineRule="auto"/>
              <w:jc w:val="center"/>
              <w:rPr>
                <w:noProof/>
                <w:szCs w:val="24"/>
              </w:rPr>
            </w:pPr>
            <w:r w:rsidRPr="00CF41D2">
              <w:rPr>
                <w:szCs w:val="24"/>
              </w:rPr>
              <w:t>Earnings Growth Rate</w:t>
            </w:r>
          </w:p>
        </w:tc>
        <w:tc>
          <w:tcPr>
            <w:tcW w:w="900"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51</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87</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8</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16</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16</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6</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3</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-20</w:t>
            </w:r>
          </w:p>
        </w:tc>
        <w:tc>
          <w:tcPr>
            <w:tcW w:w="768" w:type="dxa"/>
          </w:tcPr>
          <w:p w:rsidR="00672193" w:rsidRPr="00CF41D2" w:rsidRDefault="00672193" w:rsidP="00642B54">
            <w:pPr>
              <w:autoSpaceDE w:val="0"/>
              <w:autoSpaceDN w:val="0"/>
              <w:adjustRightInd w:val="0"/>
              <w:spacing w:line="360" w:lineRule="auto"/>
              <w:jc w:val="center"/>
              <w:rPr>
                <w:szCs w:val="24"/>
              </w:rPr>
            </w:pPr>
            <w:r w:rsidRPr="00CF41D2">
              <w:rPr>
                <w:szCs w:val="24"/>
              </w:rPr>
              <w:t>56</w:t>
            </w:r>
          </w:p>
        </w:tc>
        <w:tc>
          <w:tcPr>
            <w:tcW w:w="738" w:type="dxa"/>
          </w:tcPr>
          <w:p w:rsidR="00672193" w:rsidRPr="00CF41D2" w:rsidRDefault="00672193" w:rsidP="00642B54">
            <w:pPr>
              <w:autoSpaceDE w:val="0"/>
              <w:autoSpaceDN w:val="0"/>
              <w:adjustRightInd w:val="0"/>
              <w:spacing w:line="360" w:lineRule="auto"/>
              <w:jc w:val="center"/>
              <w:rPr>
                <w:szCs w:val="24"/>
              </w:rPr>
            </w:pPr>
            <w:r w:rsidRPr="00CF41D2">
              <w:rPr>
                <w:szCs w:val="24"/>
              </w:rPr>
              <w:t>-10</w:t>
            </w:r>
          </w:p>
        </w:tc>
      </w:tr>
      <w:tr w:rsidR="00672193" w:rsidRPr="00CF41D2" w:rsidTr="00642B54">
        <w:tc>
          <w:tcPr>
            <w:tcW w:w="2340" w:type="dxa"/>
          </w:tcPr>
          <w:p w:rsidR="00672193" w:rsidRPr="00CF41D2" w:rsidRDefault="00672193" w:rsidP="00642B54">
            <w:pPr>
              <w:autoSpaceDE w:val="0"/>
              <w:autoSpaceDN w:val="0"/>
              <w:adjustRightInd w:val="0"/>
              <w:spacing w:line="360" w:lineRule="auto"/>
              <w:jc w:val="center"/>
              <w:rPr>
                <w:noProof/>
                <w:szCs w:val="24"/>
              </w:rPr>
            </w:pPr>
            <w:r w:rsidRPr="00CF41D2">
              <w:rPr>
                <w:szCs w:val="24"/>
              </w:rPr>
              <w:t>Return on Asset</w:t>
            </w:r>
          </w:p>
        </w:tc>
        <w:tc>
          <w:tcPr>
            <w:tcW w:w="900"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4.4</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5.8</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4.8</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4.4</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5.1</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4</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2.2</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1.03</w:t>
            </w:r>
          </w:p>
        </w:tc>
        <w:tc>
          <w:tcPr>
            <w:tcW w:w="768" w:type="dxa"/>
          </w:tcPr>
          <w:p w:rsidR="00672193" w:rsidRPr="00CF41D2" w:rsidRDefault="00672193" w:rsidP="00642B54">
            <w:pPr>
              <w:autoSpaceDE w:val="0"/>
              <w:autoSpaceDN w:val="0"/>
              <w:adjustRightInd w:val="0"/>
              <w:spacing w:line="360" w:lineRule="auto"/>
              <w:jc w:val="center"/>
              <w:rPr>
                <w:szCs w:val="24"/>
              </w:rPr>
            </w:pPr>
            <w:r w:rsidRPr="00CF41D2">
              <w:rPr>
                <w:szCs w:val="24"/>
              </w:rPr>
              <w:t>2.8</w:t>
            </w:r>
          </w:p>
        </w:tc>
        <w:tc>
          <w:tcPr>
            <w:tcW w:w="738" w:type="dxa"/>
          </w:tcPr>
          <w:p w:rsidR="00672193" w:rsidRPr="00CF41D2" w:rsidRDefault="00672193" w:rsidP="00642B54">
            <w:pPr>
              <w:autoSpaceDE w:val="0"/>
              <w:autoSpaceDN w:val="0"/>
              <w:adjustRightInd w:val="0"/>
              <w:spacing w:line="360" w:lineRule="auto"/>
              <w:jc w:val="center"/>
              <w:rPr>
                <w:szCs w:val="24"/>
              </w:rPr>
            </w:pPr>
            <w:r w:rsidRPr="00CF41D2">
              <w:rPr>
                <w:szCs w:val="24"/>
              </w:rPr>
              <w:t>1.3</w:t>
            </w:r>
          </w:p>
        </w:tc>
      </w:tr>
      <w:tr w:rsidR="00672193" w:rsidRPr="00CF41D2" w:rsidTr="00642B54">
        <w:tc>
          <w:tcPr>
            <w:tcW w:w="2340" w:type="dxa"/>
          </w:tcPr>
          <w:p w:rsidR="00672193" w:rsidRPr="00CF41D2" w:rsidRDefault="00672193" w:rsidP="00642B54">
            <w:pPr>
              <w:autoSpaceDE w:val="0"/>
              <w:autoSpaceDN w:val="0"/>
              <w:adjustRightInd w:val="0"/>
              <w:spacing w:line="360" w:lineRule="auto"/>
              <w:jc w:val="center"/>
              <w:rPr>
                <w:noProof/>
                <w:szCs w:val="24"/>
              </w:rPr>
            </w:pPr>
            <w:r w:rsidRPr="00CF41D2">
              <w:rPr>
                <w:szCs w:val="24"/>
              </w:rPr>
              <w:t>Return on Equity</w:t>
            </w:r>
          </w:p>
        </w:tc>
        <w:tc>
          <w:tcPr>
            <w:tcW w:w="900"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71</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114</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101.2</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98</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132.6</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95.7</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32.2</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12</w:t>
            </w:r>
          </w:p>
        </w:tc>
        <w:tc>
          <w:tcPr>
            <w:tcW w:w="768" w:type="dxa"/>
          </w:tcPr>
          <w:p w:rsidR="00672193" w:rsidRPr="00CF41D2" w:rsidRDefault="00672193" w:rsidP="00642B54">
            <w:pPr>
              <w:autoSpaceDE w:val="0"/>
              <w:autoSpaceDN w:val="0"/>
              <w:adjustRightInd w:val="0"/>
              <w:spacing w:line="360" w:lineRule="auto"/>
              <w:jc w:val="center"/>
              <w:rPr>
                <w:szCs w:val="24"/>
              </w:rPr>
            </w:pPr>
            <w:r w:rsidRPr="00CF41D2">
              <w:rPr>
                <w:szCs w:val="24"/>
              </w:rPr>
              <w:t>20</w:t>
            </w:r>
          </w:p>
        </w:tc>
        <w:tc>
          <w:tcPr>
            <w:tcW w:w="738" w:type="dxa"/>
          </w:tcPr>
          <w:p w:rsidR="00672193" w:rsidRPr="00CF41D2" w:rsidRDefault="00672193" w:rsidP="00642B54">
            <w:pPr>
              <w:autoSpaceDE w:val="0"/>
              <w:autoSpaceDN w:val="0"/>
              <w:adjustRightInd w:val="0"/>
              <w:spacing w:line="360" w:lineRule="auto"/>
              <w:jc w:val="center"/>
              <w:rPr>
                <w:szCs w:val="24"/>
              </w:rPr>
            </w:pPr>
            <w:r w:rsidRPr="00CF41D2">
              <w:rPr>
                <w:szCs w:val="24"/>
              </w:rPr>
              <w:t>38.4</w:t>
            </w:r>
          </w:p>
        </w:tc>
      </w:tr>
      <w:tr w:rsidR="00672193" w:rsidRPr="00CF41D2" w:rsidTr="00642B54">
        <w:tc>
          <w:tcPr>
            <w:tcW w:w="2340" w:type="dxa"/>
          </w:tcPr>
          <w:p w:rsidR="00672193" w:rsidRPr="00CF41D2" w:rsidRDefault="00672193" w:rsidP="00642B54">
            <w:pPr>
              <w:autoSpaceDE w:val="0"/>
              <w:autoSpaceDN w:val="0"/>
              <w:adjustRightInd w:val="0"/>
              <w:spacing w:line="360" w:lineRule="auto"/>
              <w:jc w:val="center"/>
              <w:rPr>
                <w:noProof/>
                <w:szCs w:val="24"/>
              </w:rPr>
            </w:pPr>
            <w:r w:rsidRPr="00CF41D2">
              <w:rPr>
                <w:szCs w:val="24"/>
              </w:rPr>
              <w:t>Loan to Deposit Ratio</w:t>
            </w:r>
          </w:p>
        </w:tc>
        <w:tc>
          <w:tcPr>
            <w:tcW w:w="900"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.39</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.51</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.45</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.47</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.47</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.47</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.41</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.38</w:t>
            </w:r>
          </w:p>
        </w:tc>
        <w:tc>
          <w:tcPr>
            <w:tcW w:w="768" w:type="dxa"/>
          </w:tcPr>
          <w:p w:rsidR="00672193" w:rsidRPr="00CF41D2" w:rsidRDefault="00672193" w:rsidP="00642B54">
            <w:pPr>
              <w:autoSpaceDE w:val="0"/>
              <w:autoSpaceDN w:val="0"/>
              <w:adjustRightInd w:val="0"/>
              <w:spacing w:line="360" w:lineRule="auto"/>
              <w:jc w:val="center"/>
              <w:rPr>
                <w:szCs w:val="24"/>
              </w:rPr>
            </w:pPr>
            <w:r w:rsidRPr="00CF41D2">
              <w:rPr>
                <w:szCs w:val="24"/>
              </w:rPr>
              <w:t>.36</w:t>
            </w:r>
          </w:p>
        </w:tc>
        <w:tc>
          <w:tcPr>
            <w:tcW w:w="738" w:type="dxa"/>
          </w:tcPr>
          <w:p w:rsidR="00672193" w:rsidRPr="00CF41D2" w:rsidRDefault="00672193" w:rsidP="00642B54">
            <w:pPr>
              <w:autoSpaceDE w:val="0"/>
              <w:autoSpaceDN w:val="0"/>
              <w:adjustRightInd w:val="0"/>
              <w:spacing w:line="360" w:lineRule="auto"/>
              <w:jc w:val="center"/>
              <w:rPr>
                <w:szCs w:val="24"/>
              </w:rPr>
            </w:pPr>
            <w:r w:rsidRPr="00CF41D2">
              <w:rPr>
                <w:szCs w:val="24"/>
              </w:rPr>
              <w:t>.38</w:t>
            </w:r>
          </w:p>
        </w:tc>
      </w:tr>
      <w:tr w:rsidR="00672193" w:rsidRPr="00CF41D2" w:rsidTr="00642B54">
        <w:tc>
          <w:tcPr>
            <w:tcW w:w="2340" w:type="dxa"/>
          </w:tcPr>
          <w:p w:rsidR="00672193" w:rsidRPr="00CF41D2" w:rsidRDefault="00672193" w:rsidP="00642B54">
            <w:pPr>
              <w:autoSpaceDE w:val="0"/>
              <w:autoSpaceDN w:val="0"/>
              <w:adjustRightInd w:val="0"/>
              <w:spacing w:line="360" w:lineRule="auto"/>
              <w:jc w:val="center"/>
              <w:rPr>
                <w:noProof/>
                <w:szCs w:val="24"/>
              </w:rPr>
            </w:pPr>
            <w:r w:rsidRPr="00CF41D2">
              <w:rPr>
                <w:szCs w:val="24"/>
              </w:rPr>
              <w:t>Deposits to Total Assets Ratio</w:t>
            </w:r>
          </w:p>
        </w:tc>
        <w:tc>
          <w:tcPr>
            <w:tcW w:w="900" w:type="dxa"/>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.78</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.76</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.79</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.79</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.80</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.75</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.75</w:t>
            </w:r>
          </w:p>
        </w:tc>
        <w:tc>
          <w:tcPr>
            <w:tcW w:w="0" w:type="auto"/>
          </w:tcPr>
          <w:p w:rsidR="00672193" w:rsidRPr="00CF41D2" w:rsidRDefault="00672193" w:rsidP="00642B54">
            <w:pPr>
              <w:autoSpaceDE w:val="0"/>
              <w:autoSpaceDN w:val="0"/>
              <w:adjustRightInd w:val="0"/>
              <w:spacing w:line="360" w:lineRule="auto"/>
              <w:jc w:val="center"/>
              <w:rPr>
                <w:noProof/>
                <w:szCs w:val="24"/>
              </w:rPr>
            </w:pPr>
            <w:r w:rsidRPr="00CF41D2">
              <w:rPr>
                <w:noProof/>
                <w:szCs w:val="24"/>
              </w:rPr>
              <w:t>.79</w:t>
            </w:r>
          </w:p>
        </w:tc>
        <w:tc>
          <w:tcPr>
            <w:tcW w:w="768" w:type="dxa"/>
          </w:tcPr>
          <w:p w:rsidR="00672193" w:rsidRPr="00CF41D2" w:rsidRDefault="00672193" w:rsidP="00642B54">
            <w:pPr>
              <w:autoSpaceDE w:val="0"/>
              <w:autoSpaceDN w:val="0"/>
              <w:adjustRightInd w:val="0"/>
              <w:spacing w:line="360" w:lineRule="auto"/>
              <w:jc w:val="center"/>
              <w:rPr>
                <w:szCs w:val="24"/>
              </w:rPr>
            </w:pPr>
            <w:r w:rsidRPr="00CF41D2">
              <w:rPr>
                <w:szCs w:val="24"/>
              </w:rPr>
              <w:t>.76</w:t>
            </w:r>
          </w:p>
        </w:tc>
        <w:tc>
          <w:tcPr>
            <w:tcW w:w="738" w:type="dxa"/>
          </w:tcPr>
          <w:p w:rsidR="00672193" w:rsidRPr="00CF41D2" w:rsidRDefault="00672193" w:rsidP="00642B54">
            <w:pPr>
              <w:autoSpaceDE w:val="0"/>
              <w:autoSpaceDN w:val="0"/>
              <w:adjustRightInd w:val="0"/>
              <w:spacing w:line="360" w:lineRule="auto"/>
              <w:jc w:val="center"/>
              <w:rPr>
                <w:szCs w:val="24"/>
              </w:rPr>
            </w:pPr>
            <w:r w:rsidRPr="00CF41D2">
              <w:rPr>
                <w:szCs w:val="24"/>
              </w:rPr>
              <w:t>.73</w:t>
            </w:r>
          </w:p>
        </w:tc>
      </w:tr>
    </w:tbl>
    <w:p w:rsidR="00672193" w:rsidRPr="00CF41D2" w:rsidRDefault="00672193" w:rsidP="00672193">
      <w:pPr>
        <w:autoSpaceDE w:val="0"/>
        <w:autoSpaceDN w:val="0"/>
        <w:adjustRightInd w:val="0"/>
        <w:spacing w:after="0" w:line="360" w:lineRule="auto"/>
        <w:rPr>
          <w:noProof/>
        </w:rPr>
      </w:pPr>
      <w:r w:rsidRPr="00CF41D2">
        <w:rPr>
          <w:noProof/>
        </w:rPr>
        <w:t xml:space="preserve">                                                                    </w:t>
      </w:r>
    </w:p>
    <w:p w:rsidR="00672193" w:rsidRPr="003B1427" w:rsidRDefault="00672193" w:rsidP="00672193">
      <w:pPr>
        <w:spacing w:line="360" w:lineRule="auto"/>
        <w:rPr>
          <w:rFonts w:eastAsia="TimesNewRoman"/>
          <w:szCs w:val="24"/>
        </w:rPr>
      </w:pPr>
      <w:r w:rsidRPr="00CF41D2">
        <w:rPr>
          <w:rFonts w:eastAsia="TimesNewRoman"/>
          <w:szCs w:val="24"/>
        </w:rPr>
        <w:t>Source: Own Computation from CBE’s Annual Reports (2011-2015) available on official website: www.cbe.com.et and Bank’s Annual performance Reports (2016-2020)</w:t>
      </w:r>
      <w:r w:rsidRPr="00C4611B">
        <w:rPr>
          <w:rFonts w:eastAsia="TimesNewRoman"/>
          <w:szCs w:val="24"/>
        </w:rPr>
        <w:t xml:space="preserve"> </w:t>
      </w:r>
    </w:p>
    <w:p w:rsidR="00672193" w:rsidRDefault="00672193" w:rsidP="00672193">
      <w:pPr>
        <w:spacing w:line="360" w:lineRule="auto"/>
      </w:pPr>
    </w:p>
    <w:p w:rsidR="00642B54" w:rsidRDefault="00642B54"/>
    <w:sectPr w:rsidR="00642B54" w:rsidSect="00642B5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78AD" w:rsidRDefault="004578AD" w:rsidP="00702756">
      <w:pPr>
        <w:spacing w:after="0" w:line="240" w:lineRule="auto"/>
      </w:pPr>
      <w:r>
        <w:separator/>
      </w:r>
    </w:p>
  </w:endnote>
  <w:endnote w:type="continuationSeparator" w:id="1">
    <w:p w:rsidR="004578AD" w:rsidRDefault="004578AD" w:rsidP="007027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Cordia New">
    <w:panose1 w:val="020B03040202020202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0228492"/>
      <w:docPartObj>
        <w:docPartGallery w:val="Page Numbers (Bottom of Page)"/>
        <w:docPartUnique/>
      </w:docPartObj>
    </w:sdtPr>
    <w:sdtContent>
      <w:p w:rsidR="00F40E4C" w:rsidRDefault="00ED70D5">
        <w:pPr>
          <w:pStyle w:val="Footer"/>
          <w:jc w:val="right"/>
        </w:pPr>
        <w:fldSimple w:instr=" PAGE   \* MERGEFORMAT ">
          <w:r w:rsidR="00294428">
            <w:rPr>
              <w:noProof/>
            </w:rPr>
            <w:t>vi</w:t>
          </w:r>
        </w:fldSimple>
      </w:p>
    </w:sdtContent>
  </w:sdt>
  <w:p w:rsidR="00F40E4C" w:rsidRDefault="00F40E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78AD" w:rsidRDefault="004578AD" w:rsidP="00702756">
      <w:pPr>
        <w:spacing w:after="0" w:line="240" w:lineRule="auto"/>
      </w:pPr>
      <w:r>
        <w:separator/>
      </w:r>
    </w:p>
  </w:footnote>
  <w:footnote w:type="continuationSeparator" w:id="1">
    <w:p w:rsidR="004578AD" w:rsidRDefault="004578AD" w:rsidP="007027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7C19"/>
    <w:multiLevelType w:val="hybridMultilevel"/>
    <w:tmpl w:val="2622444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
    <w:nsid w:val="040C7672"/>
    <w:multiLevelType w:val="hybridMultilevel"/>
    <w:tmpl w:val="AB1CEB10"/>
    <w:lvl w:ilvl="0" w:tplc="08090001">
      <w:start w:val="1"/>
      <w:numFmt w:val="bullet"/>
      <w:lvlText w:val=""/>
      <w:lvlJc w:val="left"/>
      <w:pPr>
        <w:ind w:left="1540" w:hanging="360"/>
      </w:pPr>
      <w:rPr>
        <w:rFonts w:ascii="Symbol" w:hAnsi="Symbol" w:hint="default"/>
      </w:rPr>
    </w:lvl>
    <w:lvl w:ilvl="1" w:tplc="08090003" w:tentative="1">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2">
    <w:nsid w:val="048D33DD"/>
    <w:multiLevelType w:val="hybridMultilevel"/>
    <w:tmpl w:val="C054D8A6"/>
    <w:lvl w:ilvl="0" w:tplc="692AD900">
      <w:start w:val="4"/>
      <w:numFmt w:val="decimal"/>
      <w:lvlText w:val="%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9450D9"/>
    <w:multiLevelType w:val="multilevel"/>
    <w:tmpl w:val="C85C22B8"/>
    <w:lvl w:ilvl="0">
      <w:start w:val="1"/>
      <w:numFmt w:val="decimal"/>
      <w:lvlText w:val="%1."/>
      <w:lvlJc w:val="left"/>
      <w:pPr>
        <w:ind w:left="390" w:hanging="39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5361388"/>
    <w:multiLevelType w:val="multilevel"/>
    <w:tmpl w:val="AC48EED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7F444F1"/>
    <w:multiLevelType w:val="hybridMultilevel"/>
    <w:tmpl w:val="62F0FDF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98A3023"/>
    <w:multiLevelType w:val="hybridMultilevel"/>
    <w:tmpl w:val="FF6C6090"/>
    <w:lvl w:ilvl="0" w:tplc="691E00F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7E2CC2"/>
    <w:multiLevelType w:val="hybridMultilevel"/>
    <w:tmpl w:val="FAFAF9C8"/>
    <w:lvl w:ilvl="0" w:tplc="159A153A">
      <w:start w:val="1"/>
      <w:numFmt w:val="lowerLetter"/>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nsid w:val="0B7708ED"/>
    <w:multiLevelType w:val="multilevel"/>
    <w:tmpl w:val="3156FC9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0EEE70BB"/>
    <w:multiLevelType w:val="multilevel"/>
    <w:tmpl w:val="265AC690"/>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0">
    <w:nsid w:val="126735FB"/>
    <w:multiLevelType w:val="hybridMultilevel"/>
    <w:tmpl w:val="2ED0432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12D474A6"/>
    <w:multiLevelType w:val="hybridMultilevel"/>
    <w:tmpl w:val="AE907794"/>
    <w:lvl w:ilvl="0" w:tplc="CBAC1B5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6AE4BB2"/>
    <w:multiLevelType w:val="hybridMultilevel"/>
    <w:tmpl w:val="44A49D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188A2E94"/>
    <w:multiLevelType w:val="hybridMultilevel"/>
    <w:tmpl w:val="4EEC22CE"/>
    <w:lvl w:ilvl="0" w:tplc="066E297E">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974F49"/>
    <w:multiLevelType w:val="hybridMultilevel"/>
    <w:tmpl w:val="F84E79B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26D16209"/>
    <w:multiLevelType w:val="hybridMultilevel"/>
    <w:tmpl w:val="B8D696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2F077F"/>
    <w:multiLevelType w:val="hybridMultilevel"/>
    <w:tmpl w:val="B9102A7A"/>
    <w:lvl w:ilvl="0" w:tplc="0CD24A5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17802C4"/>
    <w:multiLevelType w:val="hybridMultilevel"/>
    <w:tmpl w:val="92821E2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nsid w:val="35205CBF"/>
    <w:multiLevelType w:val="hybridMultilevel"/>
    <w:tmpl w:val="6E1CBC48"/>
    <w:lvl w:ilvl="0" w:tplc="0CFC6FC6">
      <w:start w:val="1"/>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73248E"/>
    <w:multiLevelType w:val="hybridMultilevel"/>
    <w:tmpl w:val="0660F51C"/>
    <w:lvl w:ilvl="0" w:tplc="08090009">
      <w:start w:val="1"/>
      <w:numFmt w:val="bullet"/>
      <w:lvlText w:val=""/>
      <w:lvlJc w:val="left"/>
      <w:pPr>
        <w:ind w:left="360" w:hanging="360"/>
      </w:pPr>
      <w:rPr>
        <w:rFonts w:ascii="Wingdings" w:hAnsi="Wingding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7BE26CD"/>
    <w:multiLevelType w:val="hybridMultilevel"/>
    <w:tmpl w:val="12583BEC"/>
    <w:lvl w:ilvl="0" w:tplc="3DA43D96">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883268F"/>
    <w:multiLevelType w:val="hybridMultilevel"/>
    <w:tmpl w:val="C8DE8BB0"/>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3AED448F"/>
    <w:multiLevelType w:val="hybridMultilevel"/>
    <w:tmpl w:val="FCD2B1D8"/>
    <w:lvl w:ilvl="0" w:tplc="5F886BEA">
      <w:start w:val="1"/>
      <w:numFmt w:val="decimal"/>
      <w:lvlText w:val="%1"/>
      <w:lvlJc w:val="left"/>
      <w:pPr>
        <w:ind w:left="856" w:hanging="540"/>
      </w:pPr>
      <w:rPr>
        <w:rFonts w:hint="default"/>
        <w:b/>
        <w:sz w:val="24"/>
        <w:szCs w:val="24"/>
      </w:rPr>
    </w:lvl>
    <w:lvl w:ilvl="1" w:tplc="08090019" w:tentative="1">
      <w:start w:val="1"/>
      <w:numFmt w:val="lowerLetter"/>
      <w:lvlText w:val="%2."/>
      <w:lvlJc w:val="left"/>
      <w:pPr>
        <w:ind w:left="1396" w:hanging="360"/>
      </w:pPr>
    </w:lvl>
    <w:lvl w:ilvl="2" w:tplc="0809001B" w:tentative="1">
      <w:start w:val="1"/>
      <w:numFmt w:val="lowerRoman"/>
      <w:lvlText w:val="%3."/>
      <w:lvlJc w:val="right"/>
      <w:pPr>
        <w:ind w:left="2116" w:hanging="180"/>
      </w:pPr>
    </w:lvl>
    <w:lvl w:ilvl="3" w:tplc="0809000F" w:tentative="1">
      <w:start w:val="1"/>
      <w:numFmt w:val="decimal"/>
      <w:lvlText w:val="%4."/>
      <w:lvlJc w:val="left"/>
      <w:pPr>
        <w:ind w:left="2836" w:hanging="360"/>
      </w:pPr>
    </w:lvl>
    <w:lvl w:ilvl="4" w:tplc="08090019" w:tentative="1">
      <w:start w:val="1"/>
      <w:numFmt w:val="lowerLetter"/>
      <w:lvlText w:val="%5."/>
      <w:lvlJc w:val="left"/>
      <w:pPr>
        <w:ind w:left="3556" w:hanging="360"/>
      </w:pPr>
    </w:lvl>
    <w:lvl w:ilvl="5" w:tplc="0809001B" w:tentative="1">
      <w:start w:val="1"/>
      <w:numFmt w:val="lowerRoman"/>
      <w:lvlText w:val="%6."/>
      <w:lvlJc w:val="right"/>
      <w:pPr>
        <w:ind w:left="4276" w:hanging="180"/>
      </w:pPr>
    </w:lvl>
    <w:lvl w:ilvl="6" w:tplc="0809000F" w:tentative="1">
      <w:start w:val="1"/>
      <w:numFmt w:val="decimal"/>
      <w:lvlText w:val="%7."/>
      <w:lvlJc w:val="left"/>
      <w:pPr>
        <w:ind w:left="4996" w:hanging="360"/>
      </w:pPr>
    </w:lvl>
    <w:lvl w:ilvl="7" w:tplc="08090019" w:tentative="1">
      <w:start w:val="1"/>
      <w:numFmt w:val="lowerLetter"/>
      <w:lvlText w:val="%8."/>
      <w:lvlJc w:val="left"/>
      <w:pPr>
        <w:ind w:left="5716" w:hanging="360"/>
      </w:pPr>
    </w:lvl>
    <w:lvl w:ilvl="8" w:tplc="0809001B" w:tentative="1">
      <w:start w:val="1"/>
      <w:numFmt w:val="lowerRoman"/>
      <w:lvlText w:val="%9."/>
      <w:lvlJc w:val="right"/>
      <w:pPr>
        <w:ind w:left="6436" w:hanging="180"/>
      </w:pPr>
    </w:lvl>
  </w:abstractNum>
  <w:abstractNum w:abstractNumId="23">
    <w:nsid w:val="463A60F2"/>
    <w:multiLevelType w:val="hybridMultilevel"/>
    <w:tmpl w:val="FB78E6A8"/>
    <w:lvl w:ilvl="0" w:tplc="3F3685EE">
      <w:start w:val="1"/>
      <w:numFmt w:val="decimal"/>
      <w:lvlText w:val="%1.1"/>
      <w:lvlJc w:val="left"/>
      <w:pPr>
        <w:ind w:left="54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nsid w:val="466E3E91"/>
    <w:multiLevelType w:val="hybridMultilevel"/>
    <w:tmpl w:val="123A7B3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5">
    <w:nsid w:val="490E6C0B"/>
    <w:multiLevelType w:val="hybridMultilevel"/>
    <w:tmpl w:val="1544420C"/>
    <w:lvl w:ilvl="0" w:tplc="DA021C40">
      <w:start w:val="4"/>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CCC064D"/>
    <w:multiLevelType w:val="hybridMultilevel"/>
    <w:tmpl w:val="6F3482C8"/>
    <w:lvl w:ilvl="0" w:tplc="B0507C3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4917CD"/>
    <w:multiLevelType w:val="multilevel"/>
    <w:tmpl w:val="697E8C0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sz w:val="26"/>
        <w:szCs w:val="2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3256C6D"/>
    <w:multiLevelType w:val="hybridMultilevel"/>
    <w:tmpl w:val="6BE480BC"/>
    <w:lvl w:ilvl="0" w:tplc="CD526F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0F79A6"/>
    <w:multiLevelType w:val="hybridMultilevel"/>
    <w:tmpl w:val="2C58AE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427187A"/>
    <w:multiLevelType w:val="hybridMultilevel"/>
    <w:tmpl w:val="5868FBF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556A035B"/>
    <w:multiLevelType w:val="hybridMultilevel"/>
    <w:tmpl w:val="B3B241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55C35827"/>
    <w:multiLevelType w:val="hybridMultilevel"/>
    <w:tmpl w:val="2B4EB6D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56176AAC"/>
    <w:multiLevelType w:val="hybridMultilevel"/>
    <w:tmpl w:val="DF60FE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nsid w:val="566E0D42"/>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57B86EDD"/>
    <w:multiLevelType w:val="hybridMultilevel"/>
    <w:tmpl w:val="D5C6ACE2"/>
    <w:lvl w:ilvl="0" w:tplc="D57EC936">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nsid w:val="59D0418A"/>
    <w:multiLevelType w:val="hybridMultilevel"/>
    <w:tmpl w:val="32A0B072"/>
    <w:lvl w:ilvl="0" w:tplc="08090001">
      <w:start w:val="1"/>
      <w:numFmt w:val="bullet"/>
      <w:lvlText w:val=""/>
      <w:lvlJc w:val="left"/>
      <w:pPr>
        <w:ind w:left="1540" w:hanging="360"/>
      </w:pPr>
      <w:rPr>
        <w:rFonts w:ascii="Symbol" w:hAnsi="Symbol" w:hint="default"/>
      </w:rPr>
    </w:lvl>
    <w:lvl w:ilvl="1" w:tplc="08090003" w:tentative="1">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37">
    <w:nsid w:val="5AA40C52"/>
    <w:multiLevelType w:val="multilevel"/>
    <w:tmpl w:val="D026FB78"/>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5DD61876"/>
    <w:multiLevelType w:val="multilevel"/>
    <w:tmpl w:val="EF66A97E"/>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sz w:val="26"/>
        <w:szCs w:val="26"/>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5F3A08A0"/>
    <w:multiLevelType w:val="hybridMultilevel"/>
    <w:tmpl w:val="903CBCC6"/>
    <w:lvl w:ilvl="0" w:tplc="C2909E6E">
      <w:numFmt w:val="bullet"/>
      <w:lvlText w:val="-"/>
      <w:lvlJc w:val="left"/>
      <w:pPr>
        <w:ind w:left="1260" w:hanging="360"/>
      </w:pPr>
      <w:rPr>
        <w:rFonts w:ascii="Times New Roman" w:eastAsia="Calibri"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0">
    <w:nsid w:val="5F406622"/>
    <w:multiLevelType w:val="hybridMultilevel"/>
    <w:tmpl w:val="071AF17E"/>
    <w:lvl w:ilvl="0" w:tplc="FD2625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19262D3"/>
    <w:multiLevelType w:val="hybridMultilevel"/>
    <w:tmpl w:val="3E2CAEFC"/>
    <w:lvl w:ilvl="0" w:tplc="81A61E9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nsid w:val="62133B9C"/>
    <w:multiLevelType w:val="hybridMultilevel"/>
    <w:tmpl w:val="927C2848"/>
    <w:lvl w:ilvl="0" w:tplc="6D82A7D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659E3758"/>
    <w:multiLevelType w:val="hybridMultilevel"/>
    <w:tmpl w:val="71EABEAE"/>
    <w:lvl w:ilvl="0" w:tplc="D0829CA2">
      <w:numFmt w:val="bullet"/>
      <w:lvlText w:val="-"/>
      <w:lvlJc w:val="left"/>
      <w:pPr>
        <w:ind w:left="1065" w:hanging="360"/>
      </w:pPr>
      <w:rPr>
        <w:rFonts w:ascii="Times New Roman" w:eastAsia="Calibri"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44">
    <w:nsid w:val="68803904"/>
    <w:multiLevelType w:val="multilevel"/>
    <w:tmpl w:val="F89E8484"/>
    <w:lvl w:ilvl="0">
      <w:start w:val="1"/>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nsid w:val="6DC563EB"/>
    <w:multiLevelType w:val="hybridMultilevel"/>
    <w:tmpl w:val="EBB88F90"/>
    <w:lvl w:ilvl="0" w:tplc="C94CF07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6">
    <w:nsid w:val="772233C6"/>
    <w:multiLevelType w:val="multilevel"/>
    <w:tmpl w:val="D38E9A9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nsid w:val="7CBB73D4"/>
    <w:multiLevelType w:val="hybridMultilevel"/>
    <w:tmpl w:val="B8288F3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5"/>
  </w:num>
  <w:num w:numId="2">
    <w:abstractNumId w:val="27"/>
  </w:num>
  <w:num w:numId="3">
    <w:abstractNumId w:val="38"/>
  </w:num>
  <w:num w:numId="4">
    <w:abstractNumId w:val="45"/>
  </w:num>
  <w:num w:numId="5">
    <w:abstractNumId w:val="35"/>
  </w:num>
  <w:num w:numId="6">
    <w:abstractNumId w:val="37"/>
  </w:num>
  <w:num w:numId="7">
    <w:abstractNumId w:val="12"/>
  </w:num>
  <w:num w:numId="8">
    <w:abstractNumId w:val="31"/>
  </w:num>
  <w:num w:numId="9">
    <w:abstractNumId w:val="34"/>
  </w:num>
  <w:num w:numId="10">
    <w:abstractNumId w:val="16"/>
  </w:num>
  <w:num w:numId="11">
    <w:abstractNumId w:val="4"/>
  </w:num>
  <w:num w:numId="12">
    <w:abstractNumId w:val="33"/>
  </w:num>
  <w:num w:numId="13">
    <w:abstractNumId w:val="7"/>
  </w:num>
  <w:num w:numId="14">
    <w:abstractNumId w:val="8"/>
  </w:num>
  <w:num w:numId="15">
    <w:abstractNumId w:val="19"/>
  </w:num>
  <w:num w:numId="16">
    <w:abstractNumId w:val="22"/>
  </w:num>
  <w:num w:numId="17">
    <w:abstractNumId w:val="10"/>
  </w:num>
  <w:num w:numId="18">
    <w:abstractNumId w:val="21"/>
  </w:num>
  <w:num w:numId="19">
    <w:abstractNumId w:val="42"/>
  </w:num>
  <w:num w:numId="20">
    <w:abstractNumId w:val="20"/>
  </w:num>
  <w:num w:numId="21">
    <w:abstractNumId w:val="11"/>
  </w:num>
  <w:num w:numId="22">
    <w:abstractNumId w:val="40"/>
  </w:num>
  <w:num w:numId="23">
    <w:abstractNumId w:val="28"/>
  </w:num>
  <w:num w:numId="24">
    <w:abstractNumId w:val="5"/>
  </w:num>
  <w:num w:numId="25">
    <w:abstractNumId w:val="9"/>
  </w:num>
  <w:num w:numId="26">
    <w:abstractNumId w:val="41"/>
  </w:num>
  <w:num w:numId="27">
    <w:abstractNumId w:val="6"/>
  </w:num>
  <w:num w:numId="28">
    <w:abstractNumId w:val="26"/>
  </w:num>
  <w:num w:numId="29">
    <w:abstractNumId w:val="14"/>
  </w:num>
  <w:num w:numId="30">
    <w:abstractNumId w:val="32"/>
  </w:num>
  <w:num w:numId="31">
    <w:abstractNumId w:val="47"/>
  </w:num>
  <w:num w:numId="32">
    <w:abstractNumId w:val="24"/>
  </w:num>
  <w:num w:numId="33">
    <w:abstractNumId w:val="17"/>
  </w:num>
  <w:num w:numId="34">
    <w:abstractNumId w:val="1"/>
  </w:num>
  <w:num w:numId="35">
    <w:abstractNumId w:val="36"/>
  </w:num>
  <w:num w:numId="36">
    <w:abstractNumId w:val="0"/>
  </w:num>
  <w:num w:numId="37">
    <w:abstractNumId w:val="46"/>
  </w:num>
  <w:num w:numId="38">
    <w:abstractNumId w:val="25"/>
  </w:num>
  <w:num w:numId="39">
    <w:abstractNumId w:val="2"/>
  </w:num>
  <w:num w:numId="40">
    <w:abstractNumId w:val="30"/>
  </w:num>
  <w:num w:numId="41">
    <w:abstractNumId w:val="43"/>
  </w:num>
  <w:num w:numId="42">
    <w:abstractNumId w:val="39"/>
  </w:num>
  <w:num w:numId="43">
    <w:abstractNumId w:val="3"/>
  </w:num>
  <w:num w:numId="44">
    <w:abstractNumId w:val="44"/>
  </w:num>
  <w:num w:numId="45">
    <w:abstractNumId w:val="29"/>
  </w:num>
  <w:num w:numId="46">
    <w:abstractNumId w:val="18"/>
  </w:num>
  <w:num w:numId="47">
    <w:abstractNumId w:val="23"/>
  </w:num>
  <w:num w:numId="4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72193"/>
    <w:rsid w:val="00016DB7"/>
    <w:rsid w:val="0008124E"/>
    <w:rsid w:val="000B1DE3"/>
    <w:rsid w:val="000C163A"/>
    <w:rsid w:val="000F11B0"/>
    <w:rsid w:val="000F31FD"/>
    <w:rsid w:val="00144132"/>
    <w:rsid w:val="001F738F"/>
    <w:rsid w:val="00226B2A"/>
    <w:rsid w:val="002375B9"/>
    <w:rsid w:val="00240FEB"/>
    <w:rsid w:val="002529E4"/>
    <w:rsid w:val="00255357"/>
    <w:rsid w:val="00294428"/>
    <w:rsid w:val="00300DF8"/>
    <w:rsid w:val="00320D49"/>
    <w:rsid w:val="003C59B8"/>
    <w:rsid w:val="003F67CC"/>
    <w:rsid w:val="004578AD"/>
    <w:rsid w:val="0047795E"/>
    <w:rsid w:val="005228B4"/>
    <w:rsid w:val="00545077"/>
    <w:rsid w:val="00587486"/>
    <w:rsid w:val="00590847"/>
    <w:rsid w:val="00597636"/>
    <w:rsid w:val="005B3621"/>
    <w:rsid w:val="00611E2C"/>
    <w:rsid w:val="00642B54"/>
    <w:rsid w:val="00672193"/>
    <w:rsid w:val="00677229"/>
    <w:rsid w:val="006E4CAA"/>
    <w:rsid w:val="006F639D"/>
    <w:rsid w:val="00702756"/>
    <w:rsid w:val="00724904"/>
    <w:rsid w:val="00786789"/>
    <w:rsid w:val="007A5907"/>
    <w:rsid w:val="007B6B0D"/>
    <w:rsid w:val="007D308B"/>
    <w:rsid w:val="007F3D9B"/>
    <w:rsid w:val="008160CF"/>
    <w:rsid w:val="00832D49"/>
    <w:rsid w:val="00881B79"/>
    <w:rsid w:val="00943211"/>
    <w:rsid w:val="0094334F"/>
    <w:rsid w:val="00951E91"/>
    <w:rsid w:val="00987E54"/>
    <w:rsid w:val="009C6B5C"/>
    <w:rsid w:val="00A648E6"/>
    <w:rsid w:val="00A85CCC"/>
    <w:rsid w:val="00A96A41"/>
    <w:rsid w:val="00AB7731"/>
    <w:rsid w:val="00AC2682"/>
    <w:rsid w:val="00AE4086"/>
    <w:rsid w:val="00BA3F97"/>
    <w:rsid w:val="00BC00EB"/>
    <w:rsid w:val="00BE48EC"/>
    <w:rsid w:val="00C0741E"/>
    <w:rsid w:val="00C57541"/>
    <w:rsid w:val="00C614D3"/>
    <w:rsid w:val="00C75B29"/>
    <w:rsid w:val="00CA7139"/>
    <w:rsid w:val="00D240EB"/>
    <w:rsid w:val="00D65AAB"/>
    <w:rsid w:val="00D87308"/>
    <w:rsid w:val="00DF7BB2"/>
    <w:rsid w:val="00E2368E"/>
    <w:rsid w:val="00E4014D"/>
    <w:rsid w:val="00E43E25"/>
    <w:rsid w:val="00ED70D5"/>
    <w:rsid w:val="00F1268E"/>
    <w:rsid w:val="00F40E4C"/>
    <w:rsid w:val="00F75F7F"/>
    <w:rsid w:val="00F84452"/>
    <w:rsid w:val="00FD06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193"/>
    <w:rPr>
      <w:rFonts w:ascii="Times New Roman" w:eastAsia="Calibri" w:hAnsi="Times New Roman" w:cs="Times New Roman"/>
      <w:sz w:val="24"/>
    </w:rPr>
  </w:style>
  <w:style w:type="paragraph" w:styleId="Heading1">
    <w:name w:val="heading 1"/>
    <w:basedOn w:val="Normal"/>
    <w:next w:val="Normal"/>
    <w:link w:val="Heading1Char"/>
    <w:uiPriority w:val="9"/>
    <w:qFormat/>
    <w:rsid w:val="00672193"/>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72193"/>
    <w:pPr>
      <w:keepNext/>
      <w:keepLines/>
      <w:spacing w:before="200" w:after="0"/>
      <w:outlineLvl w:val="1"/>
    </w:pPr>
    <w:rPr>
      <w:rFonts w:eastAsia="Times New Roman"/>
      <w:b/>
      <w:bCs/>
      <w:color w:val="4F81BD"/>
      <w:sz w:val="26"/>
      <w:szCs w:val="26"/>
    </w:rPr>
  </w:style>
  <w:style w:type="paragraph" w:styleId="Heading3">
    <w:name w:val="heading 3"/>
    <w:basedOn w:val="Normal"/>
    <w:next w:val="Normal"/>
    <w:link w:val="Heading3Char"/>
    <w:uiPriority w:val="9"/>
    <w:unhideWhenUsed/>
    <w:qFormat/>
    <w:rsid w:val="00672193"/>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Normal"/>
    <w:link w:val="Heading4Char"/>
    <w:uiPriority w:val="9"/>
    <w:unhideWhenUsed/>
    <w:qFormat/>
    <w:rsid w:val="00672193"/>
    <w:pPr>
      <w:keepNext/>
      <w:keepLines/>
      <w:spacing w:before="200" w:after="0"/>
      <w:outlineLvl w:val="3"/>
    </w:pPr>
    <w:rPr>
      <w:rFonts w:eastAsiaTheme="majorEastAsia" w:cstheme="majorBidi"/>
      <w:b/>
      <w:bCs/>
      <w:iCs/>
      <w:color w:val="4F81BD" w:themeColor="accent1"/>
      <w:sz w:val="22"/>
    </w:rPr>
  </w:style>
  <w:style w:type="paragraph" w:styleId="Heading5">
    <w:name w:val="heading 5"/>
    <w:basedOn w:val="Normal"/>
    <w:next w:val="Normal"/>
    <w:link w:val="Heading5Char"/>
    <w:uiPriority w:val="9"/>
    <w:unhideWhenUsed/>
    <w:qFormat/>
    <w:rsid w:val="00672193"/>
    <w:pPr>
      <w:keepNext/>
      <w:keepLines/>
      <w:spacing w:before="200" w:after="0"/>
      <w:outlineLvl w:val="4"/>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193"/>
    <w:rPr>
      <w:rFonts w:ascii="Times New Roman" w:eastAsiaTheme="majorEastAsia" w:hAnsi="Times New Roman"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72193"/>
    <w:rPr>
      <w:rFonts w:ascii="Times New Roman" w:eastAsia="Times New Roman" w:hAnsi="Times New Roman" w:cs="Times New Roman"/>
      <w:b/>
      <w:bCs/>
      <w:color w:val="4F81BD"/>
      <w:sz w:val="26"/>
      <w:szCs w:val="26"/>
    </w:rPr>
  </w:style>
  <w:style w:type="character" w:customStyle="1" w:styleId="Heading3Char">
    <w:name w:val="Heading 3 Char"/>
    <w:basedOn w:val="DefaultParagraphFont"/>
    <w:link w:val="Heading3"/>
    <w:uiPriority w:val="9"/>
    <w:rsid w:val="00672193"/>
    <w:rPr>
      <w:rFonts w:ascii="Times New Roman" w:eastAsiaTheme="majorEastAsia" w:hAnsi="Times New Roman" w:cstheme="majorBidi"/>
      <w:b/>
      <w:bCs/>
      <w:color w:val="4F81BD" w:themeColor="accent1"/>
      <w:sz w:val="24"/>
    </w:rPr>
  </w:style>
  <w:style w:type="character" w:customStyle="1" w:styleId="Heading4Char">
    <w:name w:val="Heading 4 Char"/>
    <w:basedOn w:val="DefaultParagraphFont"/>
    <w:link w:val="Heading4"/>
    <w:uiPriority w:val="9"/>
    <w:rsid w:val="00672193"/>
    <w:rPr>
      <w:rFonts w:ascii="Times New Roman" w:eastAsiaTheme="majorEastAsia" w:hAnsi="Times New Roman" w:cstheme="majorBidi"/>
      <w:b/>
      <w:bCs/>
      <w:iCs/>
      <w:color w:val="4F81BD" w:themeColor="accent1"/>
    </w:rPr>
  </w:style>
  <w:style w:type="character" w:customStyle="1" w:styleId="Heading5Char">
    <w:name w:val="Heading 5 Char"/>
    <w:basedOn w:val="DefaultParagraphFont"/>
    <w:link w:val="Heading5"/>
    <w:uiPriority w:val="9"/>
    <w:rsid w:val="00672193"/>
    <w:rPr>
      <w:rFonts w:ascii="Times New Roman" w:eastAsiaTheme="majorEastAsia" w:hAnsi="Times New Roman" w:cstheme="majorBidi"/>
      <w:color w:val="243F60" w:themeColor="accent1" w:themeShade="7F"/>
      <w:sz w:val="24"/>
    </w:rPr>
  </w:style>
  <w:style w:type="paragraph" w:styleId="ListParagraph">
    <w:name w:val="List Paragraph"/>
    <w:basedOn w:val="Normal"/>
    <w:uiPriority w:val="34"/>
    <w:qFormat/>
    <w:rsid w:val="00672193"/>
    <w:pPr>
      <w:ind w:left="720"/>
      <w:contextualSpacing/>
    </w:pPr>
  </w:style>
  <w:style w:type="paragraph" w:customStyle="1" w:styleId="Default">
    <w:name w:val="Default"/>
    <w:rsid w:val="00672193"/>
    <w:pPr>
      <w:autoSpaceDE w:val="0"/>
      <w:autoSpaceDN w:val="0"/>
      <w:adjustRightInd w:val="0"/>
      <w:spacing w:after="0" w:line="240" w:lineRule="auto"/>
    </w:pPr>
    <w:rPr>
      <w:rFonts w:ascii="Arial" w:eastAsia="Calibri" w:hAnsi="Arial" w:cs="Arial"/>
      <w:color w:val="000000"/>
      <w:sz w:val="24"/>
      <w:szCs w:val="24"/>
      <w:lang w:val="en-AU"/>
    </w:rPr>
  </w:style>
  <w:style w:type="paragraph" w:styleId="TableofFigures">
    <w:name w:val="table of figures"/>
    <w:basedOn w:val="Normal"/>
    <w:next w:val="Normal"/>
    <w:uiPriority w:val="99"/>
    <w:unhideWhenUsed/>
    <w:rsid w:val="00672193"/>
    <w:pPr>
      <w:spacing w:after="0"/>
    </w:pPr>
  </w:style>
  <w:style w:type="paragraph" w:styleId="TOCHeading">
    <w:name w:val="TOC Heading"/>
    <w:basedOn w:val="Heading1"/>
    <w:next w:val="Normal"/>
    <w:uiPriority w:val="39"/>
    <w:unhideWhenUsed/>
    <w:qFormat/>
    <w:rsid w:val="00672193"/>
    <w:pPr>
      <w:outlineLvl w:val="9"/>
    </w:pPr>
  </w:style>
  <w:style w:type="paragraph" w:styleId="BalloonText">
    <w:name w:val="Balloon Text"/>
    <w:basedOn w:val="Normal"/>
    <w:link w:val="BalloonTextChar"/>
    <w:uiPriority w:val="99"/>
    <w:semiHidden/>
    <w:unhideWhenUsed/>
    <w:rsid w:val="006721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193"/>
    <w:rPr>
      <w:rFonts w:ascii="Tahoma" w:eastAsia="Calibri" w:hAnsi="Tahoma" w:cs="Tahoma"/>
      <w:sz w:val="16"/>
      <w:szCs w:val="16"/>
    </w:rPr>
  </w:style>
  <w:style w:type="paragraph" w:styleId="Header">
    <w:name w:val="header"/>
    <w:basedOn w:val="Normal"/>
    <w:link w:val="HeaderChar"/>
    <w:uiPriority w:val="99"/>
    <w:unhideWhenUsed/>
    <w:rsid w:val="00672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193"/>
    <w:rPr>
      <w:rFonts w:ascii="Times New Roman" w:eastAsia="Calibri" w:hAnsi="Times New Roman" w:cs="Times New Roman"/>
      <w:sz w:val="24"/>
    </w:rPr>
  </w:style>
  <w:style w:type="paragraph" w:styleId="Footer">
    <w:name w:val="footer"/>
    <w:basedOn w:val="Normal"/>
    <w:link w:val="FooterChar"/>
    <w:uiPriority w:val="99"/>
    <w:unhideWhenUsed/>
    <w:rsid w:val="00672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193"/>
    <w:rPr>
      <w:rFonts w:ascii="Times New Roman" w:eastAsia="Calibri" w:hAnsi="Times New Roman" w:cs="Times New Roman"/>
      <w:sz w:val="24"/>
    </w:rPr>
  </w:style>
  <w:style w:type="paragraph" w:styleId="Title">
    <w:name w:val="Title"/>
    <w:basedOn w:val="Normal"/>
    <w:link w:val="TitleChar"/>
    <w:qFormat/>
    <w:rsid w:val="00672193"/>
    <w:pPr>
      <w:spacing w:after="0" w:line="240" w:lineRule="auto"/>
      <w:jc w:val="center"/>
    </w:pPr>
    <w:rPr>
      <w:rFonts w:ascii="Copperplate Gothic Bold" w:eastAsia="Times New Roman" w:hAnsi="Copperplate Gothic Bold"/>
      <w:b/>
      <w:szCs w:val="20"/>
    </w:rPr>
  </w:style>
  <w:style w:type="character" w:customStyle="1" w:styleId="TitleChar">
    <w:name w:val="Title Char"/>
    <w:basedOn w:val="DefaultParagraphFont"/>
    <w:link w:val="Title"/>
    <w:rsid w:val="00672193"/>
    <w:rPr>
      <w:rFonts w:ascii="Copperplate Gothic Bold" w:eastAsia="Times New Roman" w:hAnsi="Copperplate Gothic Bold" w:cs="Times New Roman"/>
      <w:b/>
      <w:sz w:val="24"/>
      <w:szCs w:val="20"/>
    </w:rPr>
  </w:style>
  <w:style w:type="character" w:styleId="Hyperlink">
    <w:name w:val="Hyperlink"/>
    <w:basedOn w:val="DefaultParagraphFont"/>
    <w:uiPriority w:val="99"/>
    <w:unhideWhenUsed/>
    <w:rsid w:val="00672193"/>
    <w:rPr>
      <w:color w:val="0000FF" w:themeColor="hyperlink"/>
      <w:u w:val="single"/>
    </w:rPr>
  </w:style>
  <w:style w:type="table" w:styleId="LightGrid-Accent2">
    <w:name w:val="Light Grid Accent 2"/>
    <w:basedOn w:val="TableNormal"/>
    <w:uiPriority w:val="62"/>
    <w:rsid w:val="00672193"/>
    <w:pPr>
      <w:spacing w:after="0" w:line="240" w:lineRule="auto"/>
    </w:pPr>
    <w:rPr>
      <w:rFonts w:ascii="Calibri" w:eastAsia="Calibri" w:hAnsi="Calibri" w:cs="Cordia New"/>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TableGrid">
    <w:name w:val="Table Grid"/>
    <w:basedOn w:val="TableNormal"/>
    <w:uiPriority w:val="59"/>
    <w:rsid w:val="00672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6721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2193"/>
    <w:rPr>
      <w:rFonts w:ascii="Times New Roman" w:eastAsia="Calibri" w:hAnsi="Times New Roman" w:cs="Times New Roman"/>
      <w:sz w:val="20"/>
      <w:szCs w:val="20"/>
    </w:rPr>
  </w:style>
  <w:style w:type="character" w:styleId="FootnoteReference">
    <w:name w:val="footnote reference"/>
    <w:uiPriority w:val="99"/>
    <w:semiHidden/>
    <w:unhideWhenUsed/>
    <w:rsid w:val="00672193"/>
    <w:rPr>
      <w:vertAlign w:val="superscript"/>
    </w:rPr>
  </w:style>
  <w:style w:type="character" w:styleId="CommentReference">
    <w:name w:val="annotation reference"/>
    <w:uiPriority w:val="99"/>
    <w:semiHidden/>
    <w:unhideWhenUsed/>
    <w:rsid w:val="00672193"/>
    <w:rPr>
      <w:sz w:val="16"/>
      <w:szCs w:val="16"/>
    </w:rPr>
  </w:style>
  <w:style w:type="paragraph" w:styleId="CommentText">
    <w:name w:val="annotation text"/>
    <w:basedOn w:val="Normal"/>
    <w:link w:val="CommentTextChar"/>
    <w:uiPriority w:val="99"/>
    <w:semiHidden/>
    <w:unhideWhenUsed/>
    <w:rsid w:val="00672193"/>
    <w:pPr>
      <w:spacing w:line="240" w:lineRule="auto"/>
    </w:pPr>
    <w:rPr>
      <w:sz w:val="20"/>
      <w:szCs w:val="20"/>
    </w:rPr>
  </w:style>
  <w:style w:type="character" w:customStyle="1" w:styleId="CommentTextChar">
    <w:name w:val="Comment Text Char"/>
    <w:basedOn w:val="DefaultParagraphFont"/>
    <w:link w:val="CommentText"/>
    <w:uiPriority w:val="99"/>
    <w:semiHidden/>
    <w:rsid w:val="00672193"/>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72193"/>
    <w:rPr>
      <w:b/>
      <w:bCs/>
    </w:rPr>
  </w:style>
  <w:style w:type="character" w:customStyle="1" w:styleId="CommentSubjectChar">
    <w:name w:val="Comment Subject Char"/>
    <w:basedOn w:val="CommentTextChar"/>
    <w:link w:val="CommentSubject"/>
    <w:uiPriority w:val="99"/>
    <w:semiHidden/>
    <w:rsid w:val="00672193"/>
    <w:rPr>
      <w:b/>
      <w:bCs/>
    </w:rPr>
  </w:style>
  <w:style w:type="paragraph" w:styleId="TOC1">
    <w:name w:val="toc 1"/>
    <w:basedOn w:val="Normal"/>
    <w:next w:val="Normal"/>
    <w:autoRedefine/>
    <w:uiPriority w:val="39"/>
    <w:unhideWhenUsed/>
    <w:qFormat/>
    <w:rsid w:val="00672193"/>
    <w:pPr>
      <w:tabs>
        <w:tab w:val="right" w:leader="dot" w:pos="9350"/>
      </w:tabs>
      <w:spacing w:after="100"/>
    </w:pPr>
    <w:rPr>
      <w:b/>
      <w:noProof/>
    </w:rPr>
  </w:style>
  <w:style w:type="paragraph" w:styleId="TOC2">
    <w:name w:val="toc 2"/>
    <w:basedOn w:val="Normal"/>
    <w:next w:val="Normal"/>
    <w:autoRedefine/>
    <w:uiPriority w:val="39"/>
    <w:unhideWhenUsed/>
    <w:qFormat/>
    <w:rsid w:val="00672193"/>
    <w:pPr>
      <w:spacing w:after="100"/>
      <w:ind w:left="220"/>
    </w:pPr>
  </w:style>
  <w:style w:type="paragraph" w:styleId="NoSpacing">
    <w:name w:val="No Spacing"/>
    <w:link w:val="NoSpacingChar"/>
    <w:uiPriority w:val="1"/>
    <w:qFormat/>
    <w:rsid w:val="00672193"/>
    <w:pPr>
      <w:spacing w:after="0" w:line="240" w:lineRule="auto"/>
    </w:pPr>
    <w:rPr>
      <w:rFonts w:ascii="Calibri" w:eastAsia="Times New Roman" w:hAnsi="Calibri" w:cs="Times New Roman"/>
      <w:lang w:eastAsia="ja-JP"/>
    </w:rPr>
  </w:style>
  <w:style w:type="character" w:customStyle="1" w:styleId="NoSpacingChar">
    <w:name w:val="No Spacing Char"/>
    <w:link w:val="NoSpacing"/>
    <w:uiPriority w:val="1"/>
    <w:rsid w:val="00672193"/>
    <w:rPr>
      <w:rFonts w:ascii="Calibri" w:eastAsia="Times New Roman" w:hAnsi="Calibri" w:cs="Times New Roman"/>
      <w:lang w:eastAsia="ja-JP"/>
    </w:rPr>
  </w:style>
  <w:style w:type="paragraph" w:styleId="Bibliography">
    <w:name w:val="Bibliography"/>
    <w:basedOn w:val="Normal"/>
    <w:next w:val="Normal"/>
    <w:uiPriority w:val="37"/>
    <w:unhideWhenUsed/>
    <w:rsid w:val="00672193"/>
    <w:rPr>
      <w:rFonts w:eastAsia="Times New Roman"/>
    </w:rPr>
  </w:style>
  <w:style w:type="paragraph" w:styleId="NormalWeb">
    <w:name w:val="Normal (Web)"/>
    <w:basedOn w:val="Normal"/>
    <w:uiPriority w:val="99"/>
    <w:rsid w:val="00672193"/>
    <w:pPr>
      <w:spacing w:before="100" w:beforeAutospacing="1" w:after="100" w:afterAutospacing="1" w:line="240" w:lineRule="auto"/>
    </w:pPr>
    <w:rPr>
      <w:rFonts w:eastAsia="Times New Roman"/>
      <w:szCs w:val="24"/>
    </w:rPr>
  </w:style>
  <w:style w:type="paragraph" w:customStyle="1" w:styleId="Normal1">
    <w:name w:val="Normal+1"/>
    <w:basedOn w:val="Normal"/>
    <w:next w:val="Normal"/>
    <w:uiPriority w:val="99"/>
    <w:rsid w:val="00672193"/>
    <w:pPr>
      <w:autoSpaceDE w:val="0"/>
      <w:autoSpaceDN w:val="0"/>
      <w:adjustRightInd w:val="0"/>
      <w:spacing w:after="0" w:line="240" w:lineRule="auto"/>
    </w:pPr>
    <w:rPr>
      <w:szCs w:val="24"/>
    </w:rPr>
  </w:style>
  <w:style w:type="paragraph" w:styleId="TOC3">
    <w:name w:val="toc 3"/>
    <w:basedOn w:val="Normal"/>
    <w:next w:val="Normal"/>
    <w:autoRedefine/>
    <w:uiPriority w:val="39"/>
    <w:unhideWhenUsed/>
    <w:qFormat/>
    <w:rsid w:val="00672193"/>
    <w:pPr>
      <w:spacing w:after="100"/>
      <w:ind w:left="440"/>
    </w:pPr>
    <w:rPr>
      <w:rFonts w:asciiTheme="minorHAnsi" w:eastAsiaTheme="minorEastAsia" w:hAnsiTheme="minorHAnsi" w:cstheme="minorBidi"/>
    </w:rPr>
  </w:style>
  <w:style w:type="paragraph" w:customStyle="1" w:styleId="TimesNewRoman">
    <w:name w:val="TimesNewRoman"/>
    <w:basedOn w:val="Normal"/>
    <w:rsid w:val="00672193"/>
    <w:pPr>
      <w:spacing w:after="0" w:line="240" w:lineRule="auto"/>
    </w:pPr>
    <w:rPr>
      <w:rFonts w:ascii="Book Antiqua" w:eastAsia="Times New Roman" w:hAnsi="Book Antiqua" w:cs="Book Antiqua"/>
      <w:b/>
      <w:bCs/>
      <w:sz w:val="44"/>
      <w:szCs w:val="44"/>
    </w:rPr>
  </w:style>
  <w:style w:type="paragraph" w:styleId="BodyText">
    <w:name w:val="Body Text"/>
    <w:basedOn w:val="Normal"/>
    <w:link w:val="BodyTextChar"/>
    <w:rsid w:val="00672193"/>
    <w:pPr>
      <w:spacing w:after="0" w:line="240" w:lineRule="auto"/>
    </w:pPr>
    <w:rPr>
      <w:rFonts w:eastAsia="Times New Roman"/>
      <w:b/>
      <w:bCs/>
      <w:szCs w:val="24"/>
    </w:rPr>
  </w:style>
  <w:style w:type="character" w:customStyle="1" w:styleId="BodyTextChar">
    <w:name w:val="Body Text Char"/>
    <w:basedOn w:val="DefaultParagraphFont"/>
    <w:link w:val="BodyText"/>
    <w:rsid w:val="00672193"/>
    <w:rPr>
      <w:rFonts w:ascii="Times New Roman" w:eastAsia="Times New Roman" w:hAnsi="Times New Roman" w:cs="Times New Roman"/>
      <w:b/>
      <w:bCs/>
      <w:sz w:val="24"/>
      <w:szCs w:val="24"/>
    </w:rPr>
  </w:style>
  <w:style w:type="paragraph" w:styleId="Subtitle">
    <w:name w:val="Subtitle"/>
    <w:basedOn w:val="Normal"/>
    <w:next w:val="Normal"/>
    <w:link w:val="SubtitleChar"/>
    <w:uiPriority w:val="11"/>
    <w:qFormat/>
    <w:rsid w:val="00672193"/>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672193"/>
    <w:rPr>
      <w:rFonts w:asciiTheme="majorHAnsi" w:eastAsiaTheme="majorEastAsia" w:hAnsiTheme="majorHAnsi" w:cstheme="majorBidi"/>
      <w:i/>
      <w:iCs/>
      <w:color w:val="4F81BD" w:themeColor="accent1"/>
      <w:spacing w:val="15"/>
      <w:sz w:val="24"/>
      <w:szCs w:val="24"/>
    </w:rPr>
  </w:style>
  <w:style w:type="paragraph" w:styleId="Quote">
    <w:name w:val="Quote"/>
    <w:basedOn w:val="Normal"/>
    <w:next w:val="Normal"/>
    <w:link w:val="QuoteChar"/>
    <w:uiPriority w:val="29"/>
    <w:qFormat/>
    <w:rsid w:val="00672193"/>
    <w:rPr>
      <w:i/>
      <w:iCs/>
      <w:color w:val="000000" w:themeColor="text1"/>
    </w:rPr>
  </w:style>
  <w:style w:type="character" w:customStyle="1" w:styleId="QuoteChar">
    <w:name w:val="Quote Char"/>
    <w:basedOn w:val="DefaultParagraphFont"/>
    <w:link w:val="Quote"/>
    <w:uiPriority w:val="29"/>
    <w:rsid w:val="00672193"/>
    <w:rPr>
      <w:rFonts w:ascii="Times New Roman" w:eastAsia="Calibri" w:hAnsi="Times New Roman" w:cs="Times New Roman"/>
      <w:i/>
      <w:iCs/>
      <w:color w:val="000000" w:themeColor="text1"/>
      <w:sz w:val="24"/>
    </w:rPr>
  </w:style>
  <w:style w:type="numbering" w:customStyle="1" w:styleId="Style1">
    <w:name w:val="Style1"/>
    <w:uiPriority w:val="99"/>
    <w:rsid w:val="00672193"/>
    <w:pPr>
      <w:numPr>
        <w:numId w:val="9"/>
      </w:numPr>
    </w:pPr>
  </w:style>
  <w:style w:type="character" w:styleId="Strong">
    <w:name w:val="Strong"/>
    <w:basedOn w:val="DefaultParagraphFont"/>
    <w:uiPriority w:val="22"/>
    <w:qFormat/>
    <w:rsid w:val="00672193"/>
    <w:rPr>
      <w:b/>
      <w:bCs/>
    </w:rPr>
  </w:style>
  <w:style w:type="character" w:styleId="Emphasis">
    <w:name w:val="Emphasis"/>
    <w:basedOn w:val="DefaultParagraphFont"/>
    <w:uiPriority w:val="20"/>
    <w:qFormat/>
    <w:rsid w:val="00672193"/>
    <w:rPr>
      <w:i/>
      <w:iCs/>
    </w:rPr>
  </w:style>
  <w:style w:type="table" w:customStyle="1" w:styleId="LightShading-Accent11">
    <w:name w:val="Light Shading - Accent 11"/>
    <w:basedOn w:val="TableNormal"/>
    <w:uiPriority w:val="60"/>
    <w:rsid w:val="00672193"/>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67219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672193"/>
    <w:pPr>
      <w:spacing w:line="240" w:lineRule="auto"/>
    </w:pPr>
    <w:rPr>
      <w:b/>
      <w:bCs/>
      <w:color w:val="4F81BD"/>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Sheet1!$B$1</c:f>
              <c:strCache>
                <c:ptCount val="1"/>
                <c:pt idx="0">
                  <c:v>Capital Adequacy</c:v>
                </c:pt>
              </c:strCache>
            </c:strRef>
          </c:tx>
          <c:cat>
            <c:numRef>
              <c:f>Sheet1!$A$2:$A$12</c:f>
              <c:numCache>
                <c:formatCode>General</c:formatCode>
                <c:ptCount val="11"/>
                <c:pt idx="0">
                  <c:v>2010</c:v>
                </c:pt>
                <c:pt idx="2">
                  <c:v>2012</c:v>
                </c:pt>
                <c:pt idx="4">
                  <c:v>2014</c:v>
                </c:pt>
                <c:pt idx="6">
                  <c:v>2016</c:v>
                </c:pt>
                <c:pt idx="8">
                  <c:v>2018</c:v>
                </c:pt>
                <c:pt idx="10">
                  <c:v>2020</c:v>
                </c:pt>
              </c:numCache>
            </c:numRef>
          </c:cat>
          <c:val>
            <c:numRef>
              <c:f>Sheet1!$B$2:$B$12</c:f>
              <c:numCache>
                <c:formatCode>General</c:formatCode>
                <c:ptCount val="11"/>
                <c:pt idx="1">
                  <c:v>11.5</c:v>
                </c:pt>
                <c:pt idx="2">
                  <c:v>9.2000000000000011</c:v>
                </c:pt>
                <c:pt idx="3">
                  <c:v>13.3</c:v>
                </c:pt>
                <c:pt idx="4">
                  <c:v>12.9</c:v>
                </c:pt>
                <c:pt idx="5">
                  <c:v>13.2</c:v>
                </c:pt>
                <c:pt idx="6">
                  <c:v>12.9</c:v>
                </c:pt>
                <c:pt idx="7">
                  <c:v>29.7</c:v>
                </c:pt>
                <c:pt idx="8">
                  <c:v>30</c:v>
                </c:pt>
                <c:pt idx="9">
                  <c:v>27.4</c:v>
                </c:pt>
                <c:pt idx="10">
                  <c:v>22.4</c:v>
                </c:pt>
              </c:numCache>
            </c:numRef>
          </c:val>
        </c:ser>
        <c:marker val="1"/>
        <c:axId val="70634880"/>
        <c:axId val="70669440"/>
      </c:lineChart>
      <c:catAx>
        <c:axId val="70634880"/>
        <c:scaling>
          <c:orientation val="minMax"/>
        </c:scaling>
        <c:axPos val="b"/>
        <c:numFmt formatCode="General" sourceLinked="1"/>
        <c:tickLblPos val="nextTo"/>
        <c:txPr>
          <a:bodyPr/>
          <a:lstStyle/>
          <a:p>
            <a:pPr>
              <a:defRPr b="1"/>
            </a:pPr>
            <a:endParaRPr lang="en-US"/>
          </a:p>
        </c:txPr>
        <c:crossAx val="70669440"/>
        <c:crosses val="autoZero"/>
        <c:auto val="1"/>
        <c:lblAlgn val="ctr"/>
        <c:lblOffset val="100"/>
      </c:catAx>
      <c:valAx>
        <c:axId val="70669440"/>
        <c:scaling>
          <c:orientation val="minMax"/>
        </c:scaling>
        <c:axPos val="l"/>
        <c:majorGridlines/>
        <c:numFmt formatCode="General" sourceLinked="1"/>
        <c:tickLblPos val="nextTo"/>
        <c:txPr>
          <a:bodyPr/>
          <a:lstStyle/>
          <a:p>
            <a:pPr>
              <a:defRPr b="1"/>
            </a:pPr>
            <a:endParaRPr lang="en-US"/>
          </a:p>
        </c:txPr>
        <c:crossAx val="70634880"/>
        <c:crosses val="autoZero"/>
        <c:crossBetween val="between"/>
      </c:valAx>
    </c:plotArea>
    <c:legend>
      <c:legendPos val="r"/>
      <c:legendEntry>
        <c:idx val="0"/>
        <c:txPr>
          <a:bodyPr/>
          <a:lstStyle/>
          <a:p>
            <a:pPr>
              <a:defRPr b="1"/>
            </a:pPr>
            <a:endParaRPr lang="en-US"/>
          </a:p>
        </c:txPr>
      </c:legendEntry>
    </c:legend>
    <c:plotVisOnly val="1"/>
  </c:chart>
  <c:txPr>
    <a:bodyPr/>
    <a:lstStyle/>
    <a:p>
      <a:pPr>
        <a:defRPr sz="1100" baseline="0">
          <a:latin typeface="Times New Roman" pitchFamily="18"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Sheet1!$B$1</c:f>
              <c:strCache>
                <c:ptCount val="1"/>
                <c:pt idx="0">
                  <c:v>NPLs to Total Loans Ratio</c:v>
                </c:pt>
              </c:strCache>
            </c:strRef>
          </c:tx>
          <c:cat>
            <c:numRef>
              <c:f>Sheet1!$A$2:$A$12</c:f>
              <c:numCache>
                <c:formatCode>General</c:formatCode>
                <c:ptCount val="11"/>
                <c:pt idx="0">
                  <c:v>2010</c:v>
                </c:pt>
                <c:pt idx="2">
                  <c:v>2012</c:v>
                </c:pt>
                <c:pt idx="4">
                  <c:v>2014</c:v>
                </c:pt>
                <c:pt idx="6">
                  <c:v>2016</c:v>
                </c:pt>
                <c:pt idx="8">
                  <c:v>2018</c:v>
                </c:pt>
                <c:pt idx="10">
                  <c:v>2020</c:v>
                </c:pt>
              </c:numCache>
            </c:numRef>
          </c:cat>
          <c:val>
            <c:numRef>
              <c:f>Sheet1!$B$2:$B$12</c:f>
              <c:numCache>
                <c:formatCode>General</c:formatCode>
                <c:ptCount val="11"/>
                <c:pt idx="1">
                  <c:v>0.86000000000000065</c:v>
                </c:pt>
                <c:pt idx="2">
                  <c:v>0.61000000000000065</c:v>
                </c:pt>
                <c:pt idx="3">
                  <c:v>2.2000000000000002</c:v>
                </c:pt>
                <c:pt idx="4">
                  <c:v>1.4</c:v>
                </c:pt>
                <c:pt idx="5">
                  <c:v>1.8</c:v>
                </c:pt>
                <c:pt idx="6">
                  <c:v>2.5</c:v>
                </c:pt>
                <c:pt idx="7">
                  <c:v>2.8</c:v>
                </c:pt>
                <c:pt idx="8">
                  <c:v>3.4</c:v>
                </c:pt>
                <c:pt idx="9">
                  <c:v>1.8</c:v>
                </c:pt>
                <c:pt idx="10">
                  <c:v>4.0999999999999996</c:v>
                </c:pt>
              </c:numCache>
            </c:numRef>
          </c:val>
        </c:ser>
        <c:ser>
          <c:idx val="1"/>
          <c:order val="1"/>
          <c:tx>
            <c:strRef>
              <c:f>Sheet1!$C$1</c:f>
              <c:strCache>
                <c:ptCount val="1"/>
                <c:pt idx="0">
                  <c:v>NPLs To Equity Ratio</c:v>
                </c:pt>
              </c:strCache>
            </c:strRef>
          </c:tx>
          <c:cat>
            <c:numRef>
              <c:f>Sheet1!$A$2:$A$12</c:f>
              <c:numCache>
                <c:formatCode>General</c:formatCode>
                <c:ptCount val="11"/>
                <c:pt idx="0">
                  <c:v>2010</c:v>
                </c:pt>
                <c:pt idx="2">
                  <c:v>2012</c:v>
                </c:pt>
                <c:pt idx="4">
                  <c:v>2014</c:v>
                </c:pt>
                <c:pt idx="6">
                  <c:v>2016</c:v>
                </c:pt>
                <c:pt idx="8">
                  <c:v>2018</c:v>
                </c:pt>
                <c:pt idx="10">
                  <c:v>2020</c:v>
                </c:pt>
              </c:numCache>
            </c:numRef>
          </c:cat>
          <c:val>
            <c:numRef>
              <c:f>Sheet1!$C$2:$C$12</c:f>
              <c:numCache>
                <c:formatCode>General</c:formatCode>
                <c:ptCount val="11"/>
                <c:pt idx="1">
                  <c:v>0.11</c:v>
                </c:pt>
                <c:pt idx="2">
                  <c:v>0.13</c:v>
                </c:pt>
                <c:pt idx="3">
                  <c:v>0.36000000000000032</c:v>
                </c:pt>
                <c:pt idx="4">
                  <c:v>0.26</c:v>
                </c:pt>
                <c:pt idx="5">
                  <c:v>0.32000000000000223</c:v>
                </c:pt>
                <c:pt idx="6">
                  <c:v>0.18000000000000024</c:v>
                </c:pt>
                <c:pt idx="7">
                  <c:v>0.12000000000000002</c:v>
                </c:pt>
                <c:pt idx="8">
                  <c:v>0.13</c:v>
                </c:pt>
                <c:pt idx="9">
                  <c:v>7.0000000000000021E-2</c:v>
                </c:pt>
                <c:pt idx="10">
                  <c:v>0.19</c:v>
                </c:pt>
              </c:numCache>
            </c:numRef>
          </c:val>
        </c:ser>
        <c:ser>
          <c:idx val="2"/>
          <c:order val="2"/>
          <c:tx>
            <c:strRef>
              <c:f>Sheet1!$D$1</c:f>
              <c:strCache>
                <c:ptCount val="1"/>
                <c:pt idx="0">
                  <c:v>Loan Loss Provision to Total Loan Ratio</c:v>
                </c:pt>
              </c:strCache>
            </c:strRef>
          </c:tx>
          <c:cat>
            <c:numRef>
              <c:f>Sheet1!$A$2:$A$12</c:f>
              <c:numCache>
                <c:formatCode>General</c:formatCode>
                <c:ptCount val="11"/>
                <c:pt idx="0">
                  <c:v>2010</c:v>
                </c:pt>
                <c:pt idx="2">
                  <c:v>2012</c:v>
                </c:pt>
                <c:pt idx="4">
                  <c:v>2014</c:v>
                </c:pt>
                <c:pt idx="6">
                  <c:v>2016</c:v>
                </c:pt>
                <c:pt idx="8">
                  <c:v>2018</c:v>
                </c:pt>
                <c:pt idx="10">
                  <c:v>2020</c:v>
                </c:pt>
              </c:numCache>
            </c:numRef>
          </c:cat>
          <c:val>
            <c:numRef>
              <c:f>Sheet1!$D$2:$D$12</c:f>
              <c:numCache>
                <c:formatCode>General</c:formatCode>
                <c:ptCount val="11"/>
                <c:pt idx="1">
                  <c:v>2.6</c:v>
                </c:pt>
                <c:pt idx="2">
                  <c:v>2.4</c:v>
                </c:pt>
                <c:pt idx="3">
                  <c:v>2.7</c:v>
                </c:pt>
                <c:pt idx="4">
                  <c:v>2.7</c:v>
                </c:pt>
                <c:pt idx="5">
                  <c:v>2.6</c:v>
                </c:pt>
                <c:pt idx="6">
                  <c:v>2.56</c:v>
                </c:pt>
                <c:pt idx="7">
                  <c:v>2.38</c:v>
                </c:pt>
                <c:pt idx="8">
                  <c:v>3.2</c:v>
                </c:pt>
                <c:pt idx="9">
                  <c:v>3.8</c:v>
                </c:pt>
                <c:pt idx="10">
                  <c:v>4.5</c:v>
                </c:pt>
              </c:numCache>
            </c:numRef>
          </c:val>
        </c:ser>
        <c:marker val="1"/>
        <c:axId val="70694784"/>
        <c:axId val="70696320"/>
      </c:lineChart>
      <c:catAx>
        <c:axId val="70694784"/>
        <c:scaling>
          <c:orientation val="minMax"/>
        </c:scaling>
        <c:axPos val="b"/>
        <c:numFmt formatCode="General" sourceLinked="1"/>
        <c:tickLblPos val="nextTo"/>
        <c:txPr>
          <a:bodyPr/>
          <a:lstStyle/>
          <a:p>
            <a:pPr>
              <a:defRPr sz="1100" b="1" baseline="0">
                <a:latin typeface="Times New Roman" pitchFamily="18" charset="0"/>
              </a:defRPr>
            </a:pPr>
            <a:endParaRPr lang="en-US"/>
          </a:p>
        </c:txPr>
        <c:crossAx val="70696320"/>
        <c:crosses val="autoZero"/>
        <c:auto val="1"/>
        <c:lblAlgn val="ctr"/>
        <c:lblOffset val="100"/>
      </c:catAx>
      <c:valAx>
        <c:axId val="70696320"/>
        <c:scaling>
          <c:orientation val="minMax"/>
        </c:scaling>
        <c:axPos val="l"/>
        <c:majorGridlines/>
        <c:numFmt formatCode="General" sourceLinked="1"/>
        <c:tickLblPos val="nextTo"/>
        <c:txPr>
          <a:bodyPr/>
          <a:lstStyle/>
          <a:p>
            <a:pPr>
              <a:defRPr sz="1100" b="1" baseline="0">
                <a:latin typeface="Times New Roman" pitchFamily="18" charset="0"/>
              </a:defRPr>
            </a:pPr>
            <a:endParaRPr lang="en-US"/>
          </a:p>
        </c:txPr>
        <c:crossAx val="70694784"/>
        <c:crosses val="autoZero"/>
        <c:crossBetween val="between"/>
      </c:valAx>
    </c:plotArea>
    <c:legend>
      <c:legendPos val="r"/>
      <c:txPr>
        <a:bodyPr/>
        <a:lstStyle/>
        <a:p>
          <a:pPr>
            <a:defRPr sz="1000" b="1">
              <a:latin typeface="Times New Roman" pitchFamily="18" charset="0"/>
              <a:cs typeface="Times New Roman" pitchFamily="18" charset="0"/>
            </a:defRPr>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Sheet1!$B$1</c:f>
              <c:strCache>
                <c:ptCount val="1"/>
                <c:pt idx="0">
                  <c:v>Asset Growth Rate</c:v>
                </c:pt>
              </c:strCache>
            </c:strRef>
          </c:tx>
          <c:cat>
            <c:numRef>
              <c:f>Sheet1!$A$2:$A$14</c:f>
              <c:numCache>
                <c:formatCode>General</c:formatCode>
                <c:ptCount val="13"/>
                <c:pt idx="0">
                  <c:v>2010</c:v>
                </c:pt>
                <c:pt idx="2">
                  <c:v>2012</c:v>
                </c:pt>
                <c:pt idx="4">
                  <c:v>2014</c:v>
                </c:pt>
                <c:pt idx="6">
                  <c:v>2016</c:v>
                </c:pt>
                <c:pt idx="8">
                  <c:v>2018</c:v>
                </c:pt>
                <c:pt idx="10">
                  <c:v>2020</c:v>
                </c:pt>
              </c:numCache>
            </c:numRef>
          </c:cat>
          <c:val>
            <c:numRef>
              <c:f>Sheet1!$B$2:$B$14</c:f>
              <c:numCache>
                <c:formatCode>General</c:formatCode>
                <c:ptCount val="13"/>
                <c:pt idx="1">
                  <c:v>54</c:v>
                </c:pt>
                <c:pt idx="2">
                  <c:v>38.4</c:v>
                </c:pt>
                <c:pt idx="3">
                  <c:v>23</c:v>
                </c:pt>
                <c:pt idx="4">
                  <c:v>24.9</c:v>
                </c:pt>
                <c:pt idx="5">
                  <c:v>25</c:v>
                </c:pt>
                <c:pt idx="6">
                  <c:v>26.1</c:v>
                </c:pt>
                <c:pt idx="7">
                  <c:v>27.7</c:v>
                </c:pt>
                <c:pt idx="8">
                  <c:v>17</c:v>
                </c:pt>
                <c:pt idx="9">
                  <c:v>24</c:v>
                </c:pt>
                <c:pt idx="10">
                  <c:v>14.2</c:v>
                </c:pt>
              </c:numCache>
            </c:numRef>
          </c:val>
        </c:ser>
        <c:ser>
          <c:idx val="1"/>
          <c:order val="1"/>
          <c:tx>
            <c:strRef>
              <c:f>Sheet1!$C$1</c:f>
              <c:strCache>
                <c:ptCount val="1"/>
                <c:pt idx="0">
                  <c:v>Loan Growth Rate</c:v>
                </c:pt>
              </c:strCache>
            </c:strRef>
          </c:tx>
          <c:cat>
            <c:numRef>
              <c:f>Sheet1!$A$2:$A$14</c:f>
              <c:numCache>
                <c:formatCode>General</c:formatCode>
                <c:ptCount val="13"/>
                <c:pt idx="0">
                  <c:v>2010</c:v>
                </c:pt>
                <c:pt idx="2">
                  <c:v>2012</c:v>
                </c:pt>
                <c:pt idx="4">
                  <c:v>2014</c:v>
                </c:pt>
                <c:pt idx="6">
                  <c:v>2016</c:v>
                </c:pt>
                <c:pt idx="8">
                  <c:v>2018</c:v>
                </c:pt>
                <c:pt idx="10">
                  <c:v>2020</c:v>
                </c:pt>
              </c:numCache>
            </c:numRef>
          </c:cat>
          <c:val>
            <c:numRef>
              <c:f>Sheet1!$C$2:$C$14</c:f>
              <c:numCache>
                <c:formatCode>General</c:formatCode>
                <c:ptCount val="13"/>
                <c:pt idx="1">
                  <c:v>46.7</c:v>
                </c:pt>
                <c:pt idx="2">
                  <c:v>62.91</c:v>
                </c:pt>
                <c:pt idx="3">
                  <c:v>21.150000000000031</c:v>
                </c:pt>
                <c:pt idx="4">
                  <c:v>34.9</c:v>
                </c:pt>
                <c:pt idx="5">
                  <c:v>32.4</c:v>
                </c:pt>
                <c:pt idx="6">
                  <c:v>34.9</c:v>
                </c:pt>
                <c:pt idx="7">
                  <c:v>17.7</c:v>
                </c:pt>
                <c:pt idx="8">
                  <c:v>27</c:v>
                </c:pt>
                <c:pt idx="9">
                  <c:v>17</c:v>
                </c:pt>
                <c:pt idx="10">
                  <c:v>14</c:v>
                </c:pt>
              </c:numCache>
            </c:numRef>
          </c:val>
        </c:ser>
        <c:ser>
          <c:idx val="2"/>
          <c:order val="2"/>
          <c:tx>
            <c:strRef>
              <c:f>Sheet1!$D$1</c:f>
              <c:strCache>
                <c:ptCount val="1"/>
                <c:pt idx="0">
                  <c:v>Earnings Growth Rate</c:v>
                </c:pt>
              </c:strCache>
            </c:strRef>
          </c:tx>
          <c:cat>
            <c:numRef>
              <c:f>Sheet1!$A$2:$A$14</c:f>
              <c:numCache>
                <c:formatCode>General</c:formatCode>
                <c:ptCount val="13"/>
                <c:pt idx="0">
                  <c:v>2010</c:v>
                </c:pt>
                <c:pt idx="2">
                  <c:v>2012</c:v>
                </c:pt>
                <c:pt idx="4">
                  <c:v>2014</c:v>
                </c:pt>
                <c:pt idx="6">
                  <c:v>2016</c:v>
                </c:pt>
                <c:pt idx="8">
                  <c:v>2018</c:v>
                </c:pt>
                <c:pt idx="10">
                  <c:v>2020</c:v>
                </c:pt>
              </c:numCache>
            </c:numRef>
          </c:cat>
          <c:val>
            <c:numRef>
              <c:f>Sheet1!$D$2:$D$14</c:f>
              <c:numCache>
                <c:formatCode>General</c:formatCode>
                <c:ptCount val="13"/>
                <c:pt idx="1">
                  <c:v>51</c:v>
                </c:pt>
                <c:pt idx="2">
                  <c:v>87</c:v>
                </c:pt>
                <c:pt idx="3">
                  <c:v>8</c:v>
                </c:pt>
                <c:pt idx="4">
                  <c:v>16</c:v>
                </c:pt>
                <c:pt idx="5">
                  <c:v>16</c:v>
                </c:pt>
                <c:pt idx="6">
                  <c:v>6</c:v>
                </c:pt>
                <c:pt idx="7">
                  <c:v>3</c:v>
                </c:pt>
                <c:pt idx="8">
                  <c:v>-20</c:v>
                </c:pt>
                <c:pt idx="9">
                  <c:v>56</c:v>
                </c:pt>
                <c:pt idx="10">
                  <c:v>-10</c:v>
                </c:pt>
              </c:numCache>
            </c:numRef>
          </c:val>
        </c:ser>
        <c:marker val="1"/>
        <c:axId val="70791552"/>
        <c:axId val="70793088"/>
      </c:lineChart>
      <c:catAx>
        <c:axId val="70791552"/>
        <c:scaling>
          <c:orientation val="minMax"/>
        </c:scaling>
        <c:axPos val="b"/>
        <c:numFmt formatCode="General" sourceLinked="1"/>
        <c:tickLblPos val="nextTo"/>
        <c:txPr>
          <a:bodyPr/>
          <a:lstStyle/>
          <a:p>
            <a:pPr>
              <a:defRPr b="1"/>
            </a:pPr>
            <a:endParaRPr lang="en-US"/>
          </a:p>
        </c:txPr>
        <c:crossAx val="70793088"/>
        <c:crosses val="autoZero"/>
        <c:auto val="1"/>
        <c:lblAlgn val="ctr"/>
        <c:lblOffset val="100"/>
      </c:catAx>
      <c:valAx>
        <c:axId val="70793088"/>
        <c:scaling>
          <c:orientation val="minMax"/>
        </c:scaling>
        <c:axPos val="l"/>
        <c:majorGridlines/>
        <c:numFmt formatCode="General" sourceLinked="1"/>
        <c:tickLblPos val="nextTo"/>
        <c:crossAx val="70791552"/>
        <c:crosses val="autoZero"/>
        <c:crossBetween val="between"/>
      </c:valAx>
    </c:plotArea>
    <c:legend>
      <c:legendPos val="r"/>
    </c:legend>
    <c:plotVisOnly val="1"/>
  </c:chart>
  <c:txPr>
    <a:bodyPr/>
    <a:lstStyle/>
    <a:p>
      <a:pPr>
        <a:defRPr sz="1100" b="1">
          <a:latin typeface="Times New Roman" pitchFamily="18" charset="0"/>
          <a:cs typeface="Times New Roman" pitchFamily="18" charset="0"/>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Sheet1!$B$1</c:f>
              <c:strCache>
                <c:ptCount val="1"/>
                <c:pt idx="0">
                  <c:v>Return on Asset</c:v>
                </c:pt>
              </c:strCache>
            </c:strRef>
          </c:tx>
          <c:cat>
            <c:numRef>
              <c:f>Sheet1!$A$2:$A$12</c:f>
              <c:numCache>
                <c:formatCode>General</c:formatCode>
                <c:ptCount val="11"/>
                <c:pt idx="0">
                  <c:v>2010</c:v>
                </c:pt>
                <c:pt idx="2">
                  <c:v>2012</c:v>
                </c:pt>
                <c:pt idx="4">
                  <c:v>2014</c:v>
                </c:pt>
                <c:pt idx="6">
                  <c:v>2016</c:v>
                </c:pt>
                <c:pt idx="8">
                  <c:v>2018</c:v>
                </c:pt>
                <c:pt idx="10">
                  <c:v>2020</c:v>
                </c:pt>
              </c:numCache>
            </c:numRef>
          </c:cat>
          <c:val>
            <c:numRef>
              <c:f>Sheet1!$B$2:$B$12</c:f>
              <c:numCache>
                <c:formatCode>General</c:formatCode>
                <c:ptCount val="11"/>
                <c:pt idx="1">
                  <c:v>4.4000000000000004</c:v>
                </c:pt>
                <c:pt idx="2">
                  <c:v>5.8</c:v>
                </c:pt>
                <c:pt idx="3">
                  <c:v>4.8</c:v>
                </c:pt>
                <c:pt idx="4">
                  <c:v>4.4000000000000004</c:v>
                </c:pt>
                <c:pt idx="5">
                  <c:v>5.0999999999999996</c:v>
                </c:pt>
                <c:pt idx="6">
                  <c:v>4</c:v>
                </c:pt>
                <c:pt idx="7">
                  <c:v>2.2000000000000002</c:v>
                </c:pt>
                <c:pt idx="8">
                  <c:v>1.03</c:v>
                </c:pt>
                <c:pt idx="9">
                  <c:v>2.8</c:v>
                </c:pt>
                <c:pt idx="10">
                  <c:v>1.3</c:v>
                </c:pt>
              </c:numCache>
            </c:numRef>
          </c:val>
        </c:ser>
        <c:ser>
          <c:idx val="1"/>
          <c:order val="1"/>
          <c:tx>
            <c:strRef>
              <c:f>Sheet1!$C$1</c:f>
              <c:strCache>
                <c:ptCount val="1"/>
                <c:pt idx="0">
                  <c:v>Return on Equity</c:v>
                </c:pt>
              </c:strCache>
            </c:strRef>
          </c:tx>
          <c:cat>
            <c:numRef>
              <c:f>Sheet1!$A$2:$A$12</c:f>
              <c:numCache>
                <c:formatCode>General</c:formatCode>
                <c:ptCount val="11"/>
                <c:pt idx="0">
                  <c:v>2010</c:v>
                </c:pt>
                <c:pt idx="2">
                  <c:v>2012</c:v>
                </c:pt>
                <c:pt idx="4">
                  <c:v>2014</c:v>
                </c:pt>
                <c:pt idx="6">
                  <c:v>2016</c:v>
                </c:pt>
                <c:pt idx="8">
                  <c:v>2018</c:v>
                </c:pt>
                <c:pt idx="10">
                  <c:v>2020</c:v>
                </c:pt>
              </c:numCache>
            </c:numRef>
          </c:cat>
          <c:val>
            <c:numRef>
              <c:f>Sheet1!$C$2:$C$12</c:f>
              <c:numCache>
                <c:formatCode>General</c:formatCode>
                <c:ptCount val="11"/>
                <c:pt idx="1">
                  <c:v>71</c:v>
                </c:pt>
                <c:pt idx="2">
                  <c:v>114</c:v>
                </c:pt>
                <c:pt idx="3">
                  <c:v>101.2</c:v>
                </c:pt>
                <c:pt idx="4">
                  <c:v>98</c:v>
                </c:pt>
                <c:pt idx="5">
                  <c:v>132.6</c:v>
                </c:pt>
                <c:pt idx="6">
                  <c:v>95.7</c:v>
                </c:pt>
                <c:pt idx="7">
                  <c:v>32.200000000000003</c:v>
                </c:pt>
                <c:pt idx="8">
                  <c:v>12</c:v>
                </c:pt>
                <c:pt idx="9">
                  <c:v>20</c:v>
                </c:pt>
                <c:pt idx="10">
                  <c:v>38.4</c:v>
                </c:pt>
              </c:numCache>
            </c:numRef>
          </c:val>
        </c:ser>
        <c:marker val="1"/>
        <c:axId val="70682496"/>
        <c:axId val="70684032"/>
      </c:lineChart>
      <c:catAx>
        <c:axId val="70682496"/>
        <c:scaling>
          <c:orientation val="minMax"/>
        </c:scaling>
        <c:axPos val="b"/>
        <c:numFmt formatCode="General" sourceLinked="1"/>
        <c:tickLblPos val="nextTo"/>
        <c:txPr>
          <a:bodyPr/>
          <a:lstStyle/>
          <a:p>
            <a:pPr>
              <a:defRPr b="1">
                <a:latin typeface="Times New Roman" pitchFamily="18" charset="0"/>
                <a:cs typeface="Times New Roman" pitchFamily="18" charset="0"/>
              </a:defRPr>
            </a:pPr>
            <a:endParaRPr lang="en-US"/>
          </a:p>
        </c:txPr>
        <c:crossAx val="70684032"/>
        <c:crosses val="autoZero"/>
        <c:auto val="1"/>
        <c:lblAlgn val="ctr"/>
        <c:lblOffset val="100"/>
      </c:catAx>
      <c:valAx>
        <c:axId val="70684032"/>
        <c:scaling>
          <c:orientation val="minMax"/>
        </c:scaling>
        <c:axPos val="l"/>
        <c:majorGridlines/>
        <c:numFmt formatCode="General" sourceLinked="1"/>
        <c:tickLblPos val="nextTo"/>
        <c:crossAx val="70682496"/>
        <c:crosses val="autoZero"/>
        <c:crossBetween val="between"/>
      </c:valAx>
    </c:plotArea>
    <c:legend>
      <c:legendPos val="r"/>
      <c:txPr>
        <a:bodyPr/>
        <a:lstStyle/>
        <a:p>
          <a:pPr>
            <a:defRPr>
              <a:latin typeface="Times New Roman" pitchFamily="18" charset="0"/>
              <a:cs typeface="Times New Roman" pitchFamily="18" charset="0"/>
            </a:defRPr>
          </a:pPr>
          <a:endParaRPr lang="en-US"/>
        </a:p>
      </c:txPr>
    </c:legend>
    <c:plotVisOnly val="1"/>
  </c:chart>
  <c:txPr>
    <a:bodyPr/>
    <a:lstStyle/>
    <a:p>
      <a:pPr>
        <a:defRPr sz="1100" b="1"/>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Sheet1!$B$1</c:f>
              <c:strCache>
                <c:ptCount val="1"/>
                <c:pt idx="0">
                  <c:v>Loan to Deposit Ratio</c:v>
                </c:pt>
              </c:strCache>
            </c:strRef>
          </c:tx>
          <c:cat>
            <c:numRef>
              <c:f>Sheet1!$A$2:$A$12</c:f>
              <c:numCache>
                <c:formatCode>General</c:formatCode>
                <c:ptCount val="11"/>
                <c:pt idx="0">
                  <c:v>2010</c:v>
                </c:pt>
                <c:pt idx="2">
                  <c:v>2012</c:v>
                </c:pt>
                <c:pt idx="4">
                  <c:v>2014</c:v>
                </c:pt>
                <c:pt idx="6">
                  <c:v>2016</c:v>
                </c:pt>
                <c:pt idx="8">
                  <c:v>2018</c:v>
                </c:pt>
                <c:pt idx="10">
                  <c:v>2020</c:v>
                </c:pt>
              </c:numCache>
            </c:numRef>
          </c:cat>
          <c:val>
            <c:numRef>
              <c:f>Sheet1!$B$2:$B$12</c:f>
              <c:numCache>
                <c:formatCode>General</c:formatCode>
                <c:ptCount val="11"/>
                <c:pt idx="1">
                  <c:v>0.39000000000000223</c:v>
                </c:pt>
                <c:pt idx="2">
                  <c:v>0.51</c:v>
                </c:pt>
                <c:pt idx="3">
                  <c:v>0.45</c:v>
                </c:pt>
                <c:pt idx="4">
                  <c:v>0.47000000000000008</c:v>
                </c:pt>
                <c:pt idx="5">
                  <c:v>0.47000000000000008</c:v>
                </c:pt>
                <c:pt idx="6">
                  <c:v>0.47000000000000008</c:v>
                </c:pt>
                <c:pt idx="7">
                  <c:v>0.41000000000000031</c:v>
                </c:pt>
                <c:pt idx="8">
                  <c:v>0.38000000000000222</c:v>
                </c:pt>
                <c:pt idx="9">
                  <c:v>0.36000000000000032</c:v>
                </c:pt>
                <c:pt idx="10">
                  <c:v>0.38000000000000222</c:v>
                </c:pt>
              </c:numCache>
            </c:numRef>
          </c:val>
        </c:ser>
        <c:ser>
          <c:idx val="1"/>
          <c:order val="1"/>
          <c:tx>
            <c:strRef>
              <c:f>Sheet1!$C$1</c:f>
              <c:strCache>
                <c:ptCount val="1"/>
                <c:pt idx="0">
                  <c:v>Deposits to Assets Ratio</c:v>
                </c:pt>
              </c:strCache>
            </c:strRef>
          </c:tx>
          <c:cat>
            <c:numRef>
              <c:f>Sheet1!$A$2:$A$12</c:f>
              <c:numCache>
                <c:formatCode>General</c:formatCode>
                <c:ptCount val="11"/>
                <c:pt idx="0">
                  <c:v>2010</c:v>
                </c:pt>
                <c:pt idx="2">
                  <c:v>2012</c:v>
                </c:pt>
                <c:pt idx="4">
                  <c:v>2014</c:v>
                </c:pt>
                <c:pt idx="6">
                  <c:v>2016</c:v>
                </c:pt>
                <c:pt idx="8">
                  <c:v>2018</c:v>
                </c:pt>
                <c:pt idx="10">
                  <c:v>2020</c:v>
                </c:pt>
              </c:numCache>
            </c:numRef>
          </c:cat>
          <c:val>
            <c:numRef>
              <c:f>Sheet1!$C$2:$C$12</c:f>
              <c:numCache>
                <c:formatCode>General</c:formatCode>
                <c:ptCount val="11"/>
                <c:pt idx="1">
                  <c:v>0.78</c:v>
                </c:pt>
                <c:pt idx="2">
                  <c:v>0.76000000000000445</c:v>
                </c:pt>
                <c:pt idx="3">
                  <c:v>0.79</c:v>
                </c:pt>
                <c:pt idx="4">
                  <c:v>0.79</c:v>
                </c:pt>
                <c:pt idx="5">
                  <c:v>0.8</c:v>
                </c:pt>
                <c:pt idx="6">
                  <c:v>0.75000000000000411</c:v>
                </c:pt>
                <c:pt idx="7">
                  <c:v>0.75000000000000411</c:v>
                </c:pt>
                <c:pt idx="8">
                  <c:v>0.79</c:v>
                </c:pt>
                <c:pt idx="9">
                  <c:v>0.76000000000000445</c:v>
                </c:pt>
                <c:pt idx="10">
                  <c:v>0.73000000000000065</c:v>
                </c:pt>
              </c:numCache>
            </c:numRef>
          </c:val>
        </c:ser>
        <c:marker val="1"/>
        <c:axId val="70888832"/>
        <c:axId val="70890624"/>
      </c:lineChart>
      <c:catAx>
        <c:axId val="70888832"/>
        <c:scaling>
          <c:orientation val="minMax"/>
        </c:scaling>
        <c:axPos val="b"/>
        <c:numFmt formatCode="General" sourceLinked="1"/>
        <c:tickLblPos val="nextTo"/>
        <c:crossAx val="70890624"/>
        <c:crosses val="autoZero"/>
        <c:auto val="1"/>
        <c:lblAlgn val="ctr"/>
        <c:lblOffset val="100"/>
      </c:catAx>
      <c:valAx>
        <c:axId val="70890624"/>
        <c:scaling>
          <c:orientation val="minMax"/>
        </c:scaling>
        <c:axPos val="l"/>
        <c:majorGridlines/>
        <c:numFmt formatCode="General" sourceLinked="1"/>
        <c:tickLblPos val="nextTo"/>
        <c:crossAx val="70888832"/>
        <c:crosses val="autoZero"/>
        <c:crossBetween val="between"/>
      </c:valAx>
    </c:plotArea>
    <c:legend>
      <c:legendPos val="r"/>
    </c:legend>
    <c:plotVisOnly val="1"/>
  </c:chart>
  <c:txPr>
    <a:bodyPr/>
    <a:lstStyle/>
    <a:p>
      <a:pPr>
        <a:defRPr sz="1100" b="1" baseline="0">
          <a:latin typeface="Times New Roman"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abe92</b:Tag>
    <b:SourceType>JournalArticle</b:SourceType>
    <b:Guid>{9827AAAC-5AD4-486A-896B-B622134E9E96}</b:Guid>
    <b:LCID>0</b:LCID>
    <b:Author>
      <b:Author>
        <b:NameList>
          <b:Person>
            <b:Last>abebe</b:Last>
            <b:First>ayele</b:First>
            <b:Middle>bekele</b:Middle>
          </b:Person>
          <b:Person>
            <b:Last>kebede</b:Last>
            <b:First>daba</b:First>
            <b:Middle>kibatu</b:Middle>
          </b:Person>
        </b:NameList>
      </b:Author>
    </b:Author>
    <b:Title>ananananana</b:Title>
    <b:Year>1992</b:Year>
    <b:Pages>50-60</b:Pages>
    <b:JournalName>abc</b:JournalName>
    <b:RefOrder>1</b:RefOrder>
  </b:Source>
  <b:Source>
    <b:Tag>Sta18</b:Tag>
    <b:SourceType>InternetSite</b:SourceType>
    <b:Guid>{EAF09AC3-001C-4B1E-B589-952A4B3A297A}</b:Guid>
    <b:LCID>0</b:LCID>
    <b:Title>Statistics Solutions</b:Title>
    <b:Year>2018 </b:Year>
    <b:InternetSiteTitle>Assumptions of Logistic Regression</b:InternetSiteTitle>
    <b:URL>http://www.statisticssolutions.com/assumptions-of-logistic-regression/</b:URL>
    <b:YearAccessed>2018</b:YearAccessed>
    <b:MonthAccessed>March</b:MonthAccessed>
    <b:DayAccessed>23</b:DayAccessed>
    <b:RefOrder>1</b:RefOrder>
  </b:Source>
  <b:Source>
    <b:Tag>Placeholder1</b:Tag>
    <b:SourceType>JournalArticle</b:SourceType>
    <b:Guid>{45113EC0-A984-471A-80E5-9C3241C8266F}</b:Guid>
    <b:LCID>0</b:LCID>
    <b:RefOrder>1</b:RefOrder>
  </b:Source>
  <b:Source>
    <b:Tag>Des16</b:Tag>
    <b:SourceType>JournalArticle</b:SourceType>
    <b:Guid>{69730309-4617-4F5F-A411-304254292B1F}</b:Guid>
    <b:LCID>0</b:LCID>
    <b:Author>
      <b:Author>
        <b:NameList>
          <b:Person>
            <b:Last>Tesfation</b:Last>
            <b:First>Sahlu</b:First>
          </b:Person>
        </b:NameList>
      </b:Author>
    </b:Author>
    <b:Title>Finacial Performance of “The Best African Banks”: A Comparative Analaysis Through CAMEL Rating</b:Title>
    <b:JournalName>Journal of Accounting and Management</b:JournalName>
    <b:Year>2016</b:Year>
    <b:Pages>1-20</b:Pages>
    <b:Volume>6</b:Volume>
    <b:Issue>1</b:Issue>
    <b:RefOrder>2</b:RefOrder>
  </b:Source>
  <b:Source>
    <b:Tag>Muh15</b:Tag>
    <b:SourceType>JournalArticle</b:SourceType>
    <b:Guid>{DF7EE4F6-2062-4A41-B20E-7691929A696B}</b:Guid>
    <b:LCID>0</b:LCID>
    <b:Author>
      <b:Author>
        <b:NameList>
          <b:Person>
            <b:Last>Muhabie</b:Last>
            <b:First>Mekonnen</b:First>
          </b:Person>
        </b:NameList>
      </b:Author>
    </b:Author>
    <b:Title>Evaluation of the Financial Performance of Banking Sectors in Ethiopia: The Case of Zemen Bank</b:Title>
    <b:JournalName>Global Journal of Management and Business Research</b:JournalName>
    <b:Year>2015</b:Year>
    <b:Pages>51-63</b:Pages>
    <b:Volume>15</b:Volume>
    <b:Issue>9</b:Issue>
    <b:RefOrder>3</b:RefOrder>
  </b:Source>
  <b:Source>
    <b:Tag>Tef17</b:Tag>
    <b:SourceType>JournalArticle</b:SourceType>
    <b:Guid>{9D524F00-CFC7-4D1B-BD34-16B7AA997F8E}</b:Guid>
    <b:LCID>0</b:LCID>
    <b:Author>
      <b:Author>
        <b:NameList>
          <b:Person>
            <b:Last>Adamu</b:Last>
            <b:First>Tefera</b:First>
          </b:Person>
          <b:Person>
            <b:Last>Kenenisa</b:Last>
            <b:First>Lemie</b:First>
          </b:Person>
        </b:NameList>
      </b:Author>
    </b:Author>
    <b:Title>FINANCIAL PERFORMANCE OF COMMERCIAL BANKS IN ETHIOPIA: AN APPLICATION OF CAMEL MODEL</b:Title>
    <b:JournalName>International Journal of Multidisciplinary Research</b:JournalName>
    <b:Year>2017</b:Year>
    <b:Pages>208-221</b:Pages>
    <b:RefOrder>4</b:RefOrder>
  </b:Source>
  <b:Source>
    <b:Tag>Bel07</b:Tag>
    <b:SourceType>Report</b:SourceType>
    <b:Guid>{347D1840-7ABE-47B8-BE0D-793F48837E1C}</b:Guid>
    <b:LCID>0</b:LCID>
    <b:Author>
      <b:Author>
        <b:NameList>
          <b:Person>
            <b:Last>Lelissa</b:Last>
            <b:First>Belete</b:First>
          </b:Person>
        </b:NameList>
      </b:Author>
      <b:Writer>
        <b:NameList>
          <b:Person>
            <b:Last>Belete</b:Last>
            <b:First>Lelissa</b:First>
          </b:Person>
        </b:NameList>
      </b:Writer>
    </b:Author>
    <b:Title>The Impact of Financial Liberalization on the Ownership, Market Structure &amp; Performance for the Ethiopian Banking Industry</b:Title>
    <b:Year>2007</b:Year>
    <b:City>Addis Ababa</b:City>
    <b:Department>Accounting and Finance</b:Department>
    <b:Institution>Addis Ababa University</b:Institution>
    <b:ShortTitle>MBA Thesis</b:ShortTitle>
    <b:RefOrder>5</b:RefOrder>
  </b:Source>
  <b:Source>
    <b:Tag>Asp16</b:Tag>
    <b:SourceType>JournalArticle</b:SourceType>
    <b:Guid>{B1E78E27-980A-4249-A41B-7AEF12CC212B}</b:Guid>
    <b:LCID>0</b:LCID>
    <b:Author>
      <b:Author>
        <b:NameList>
          <b:Person>
            <b:Last>Aspal</b:Last>
            <b:First>Parvesh</b:First>
            <b:Middle>Kumar</b:Middle>
          </b:Person>
          <b:Person>
            <b:Last>Dhawan</b:Last>
            <b:First>Sanjeev</b:First>
          </b:Person>
        </b:NameList>
      </b:Author>
    </b:Author>
    <b:Title>Camels Rating Model For Evaluating Financial Performance of Banking Sector: A Theoretical Perspective</b:Title>
    <b:Year>2016</b:Year>
    <b:JournalName>International Journal of System Modeling and Simulation</b:JournalName>
    <b:Pages>10-15</b:Pages>
    <b:Volume>1</b:Volume>
    <b:Issue>3</b:Issue>
    <b:RefOrder>6</b:RefOrder>
  </b:Source>
</b:Sources>
</file>

<file path=customXml/itemProps1.xml><?xml version="1.0" encoding="utf-8"?>
<ds:datastoreItem xmlns:ds="http://schemas.openxmlformats.org/officeDocument/2006/customXml" ds:itemID="{529FBC66-0495-4A6E-946C-2DDB93486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1431</TotalTime>
  <Pages>62</Pages>
  <Words>15442</Words>
  <Characters>88022</Characters>
  <Application>Microsoft Office Word</Application>
  <DocSecurity>0</DocSecurity>
  <Lines>733</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Sammy</dc:creator>
  <cp:lastModifiedBy>Sammy</cp:lastModifiedBy>
  <cp:revision>48</cp:revision>
  <dcterms:created xsi:type="dcterms:W3CDTF">2021-05-28T21:17:00Z</dcterms:created>
  <dcterms:modified xsi:type="dcterms:W3CDTF">2021-05-31T10:34:00Z</dcterms:modified>
</cp:coreProperties>
</file>