
<file path=[Content_Types].xml><?xml version="1.0" encoding="utf-8"?>
<Types xmlns="http://schemas.openxmlformats.org/package/2006/content-types">
  <Default Extension="xml" ContentType="application/xml"/>
  <Default Extension="png" ContentType="image/png"/>
  <Default Extension="wdp" ContentType="image/vnd.ms-photo"/>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CA6FBF">
      <w:pPr>
        <w:spacing w:line="360" w:lineRule="auto"/>
        <w:jc w:val="center"/>
        <w:rPr>
          <w:rFonts w:eastAsia="Calibri"/>
        </w:rPr>
      </w:pPr>
      <w:bookmarkStart w:id="0" w:name="_Toc187328282"/>
      <w:bookmarkStart w:id="1" w:name="_Toc197374318"/>
      <w:r>
        <w:rPr>
          <w:rFonts w:eastAsia="Calibri"/>
          <w:lang w:val="en-GB" w:eastAsia="en-GB"/>
        </w:rPr>
        <w:drawing>
          <wp:inline distT="0" distB="0" distL="0" distR="0">
            <wp:extent cx="2030730" cy="1807210"/>
            <wp:effectExtent l="0" t="0" r="762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2034021" cy="1810386"/>
                    </a:xfrm>
                    <a:prstGeom prst="rect">
                      <a:avLst/>
                    </a:prstGeom>
                    <a:noFill/>
                  </pic:spPr>
                </pic:pic>
              </a:graphicData>
            </a:graphic>
          </wp:inline>
        </w:drawing>
      </w:r>
      <w:bookmarkEnd w:id="0"/>
      <w:bookmarkEnd w:id="1"/>
    </w:p>
    <w:p w14:paraId="142268C0">
      <w:pPr>
        <w:rPr>
          <w:rFonts w:ascii="Times New Roman" w:hAnsi="Times New Roman" w:eastAsia="Times New Roman" w:cs="Times New Roman"/>
          <w:b/>
          <w:kern w:val="24"/>
          <w:sz w:val="32"/>
          <w:szCs w:val="32"/>
        </w:rPr>
      </w:pPr>
      <w:r>
        <w:rPr>
          <w:rFonts w:ascii="Times New Roman" w:hAnsi="Times New Roman" w:eastAsia="Times New Roman" w:cs="Times New Roman"/>
          <w:b/>
          <w:kern w:val="24"/>
          <w:sz w:val="32"/>
          <w:szCs w:val="32"/>
        </w:rPr>
        <w:t xml:space="preserve">                                   </w:t>
      </w:r>
    </w:p>
    <w:p w14:paraId="73FBF9E9">
      <w:pPr>
        <w:jc w:val="center"/>
        <w:rPr>
          <w:rFonts w:ascii="Times New Roman" w:hAnsi="Times New Roman" w:eastAsia="Times New Roman" w:cs="Times New Roman"/>
          <w:b/>
          <w:kern w:val="24"/>
          <w:sz w:val="32"/>
          <w:szCs w:val="32"/>
        </w:rPr>
      </w:pPr>
      <w:r>
        <w:rPr>
          <w:rFonts w:ascii="Times New Roman" w:hAnsi="Times New Roman" w:eastAsia="Times New Roman" w:cs="Times New Roman"/>
          <w:b/>
          <w:kern w:val="24"/>
          <w:sz w:val="32"/>
          <w:szCs w:val="32"/>
        </w:rPr>
        <w:t>INSTITUTE OF HEALTH SCIENCES</w:t>
      </w:r>
    </w:p>
    <w:p w14:paraId="790CA5F1">
      <w:pPr>
        <w:jc w:val="center"/>
        <w:rPr>
          <w:rFonts w:ascii="Times New Roman" w:hAnsi="Times New Roman" w:eastAsia="Times New Roman" w:cs="Times New Roman"/>
          <w:b/>
          <w:kern w:val="24"/>
          <w:sz w:val="32"/>
          <w:szCs w:val="32"/>
        </w:rPr>
      </w:pPr>
      <w:r>
        <w:rPr>
          <w:rFonts w:ascii="Times New Roman" w:hAnsi="Times New Roman" w:eastAsia="Times New Roman" w:cs="Times New Roman"/>
          <w:b/>
          <w:kern w:val="24"/>
          <w:sz w:val="32"/>
          <w:szCs w:val="32"/>
        </w:rPr>
        <w:t>SHOOL OF   PUBLIC HEALTH</w:t>
      </w:r>
    </w:p>
    <w:p w14:paraId="5EABF2F4">
      <w:pPr>
        <w:jc w:val="center"/>
        <w:rPr>
          <w:rFonts w:ascii="Times New Roman" w:hAnsi="Times New Roman" w:eastAsia="Calibri" w:cs="Times New Roman"/>
          <w:sz w:val="24"/>
          <w:szCs w:val="24"/>
        </w:rPr>
      </w:pPr>
    </w:p>
    <w:p w14:paraId="07CC8D1A">
      <w:pPr>
        <w:spacing w:line="360" w:lineRule="auto"/>
        <w:jc w:val="both"/>
        <w:rPr>
          <w:rFonts w:ascii="Times New Roman" w:hAnsi="Times New Roman" w:eastAsia="Times New Roman" w:cs="Times New Roman"/>
          <w:b/>
          <w:bCs/>
          <w:sz w:val="28"/>
          <w:szCs w:val="28"/>
        </w:rPr>
      </w:pPr>
      <w:bookmarkStart w:id="590" w:name="_GoBack"/>
      <w:bookmarkEnd w:id="590"/>
      <w:bookmarkStart w:id="2" w:name="_Toc197374319"/>
      <w:bookmarkStart w:id="3" w:name="_Toc181910631"/>
      <w:bookmarkStart w:id="4" w:name="_Toc185492488"/>
      <w:bookmarkStart w:id="5" w:name="_Toc185190116"/>
      <w:bookmarkStart w:id="6" w:name="_Toc185491453"/>
      <w:bookmarkStart w:id="7" w:name="_Toc187328283"/>
      <w:r>
        <w:rPr>
          <w:rFonts w:ascii="Times New Roman" w:hAnsi="Times New Roman" w:eastAsia="Times New Roman" w:cs="Times New Roman"/>
          <w:b/>
          <w:bCs/>
          <w:sz w:val="28"/>
          <w:szCs w:val="28"/>
        </w:rPr>
        <w:t xml:space="preserve">WILLINGNESS TO ACCEPT MALARIA VACCINE </w:t>
      </w:r>
      <w:r>
        <w:rPr>
          <w:rFonts w:hint="default" w:ascii="Times New Roman" w:hAnsi="Times New Roman" w:eastAsia="Times New Roman" w:cs="Times New Roman"/>
          <w:b/>
          <w:bCs/>
          <w:sz w:val="28"/>
          <w:szCs w:val="28"/>
          <w:lang w:val="en-US"/>
        </w:rPr>
        <w:t xml:space="preserve"> AND ASSOCIATED FACTORS </w:t>
      </w:r>
      <w:r>
        <w:rPr>
          <w:rFonts w:ascii="Times New Roman" w:hAnsi="Times New Roman" w:eastAsia="Times New Roman" w:cs="Times New Roman"/>
          <w:b/>
          <w:bCs/>
          <w:sz w:val="28"/>
          <w:szCs w:val="28"/>
        </w:rPr>
        <w:t xml:space="preserve">AMONG MOTHERS ATTENDING IMMUNIZATION SERVICES AT PUBLIC HEALTH FACILITIES IN NEKEMTE </w:t>
      </w:r>
      <w:r>
        <w:rPr>
          <w:rFonts w:hint="default" w:ascii="Times New Roman" w:hAnsi="Times New Roman" w:eastAsia="Times New Roman" w:cs="Times New Roman"/>
          <w:b/>
          <w:bCs/>
          <w:sz w:val="28"/>
          <w:szCs w:val="28"/>
          <w:lang w:val="en-US"/>
        </w:rPr>
        <w:t>TOWN</w:t>
      </w:r>
      <w:r>
        <w:rPr>
          <w:rFonts w:ascii="Times New Roman" w:hAnsi="Times New Roman" w:eastAsia="Times New Roman" w:cs="Times New Roman"/>
          <w:b/>
          <w:bCs/>
          <w:sz w:val="28"/>
          <w:szCs w:val="28"/>
        </w:rPr>
        <w:t>, WEST ETHIOPIA</w:t>
      </w:r>
      <w:bookmarkEnd w:id="2"/>
      <w:bookmarkEnd w:id="3"/>
      <w:bookmarkEnd w:id="4"/>
      <w:bookmarkEnd w:id="5"/>
      <w:bookmarkEnd w:id="6"/>
      <w:bookmarkEnd w:id="7"/>
    </w:p>
    <w:p w14:paraId="2B97F2A4">
      <w:pPr>
        <w:spacing w:line="360" w:lineRule="auto"/>
        <w:rPr>
          <w:rFonts w:ascii="Times New Roman" w:hAnsi="Times New Roman" w:eastAsia="Times New Roman" w:cs="Times New Roman"/>
          <w:b/>
          <w:bCs/>
          <w:sz w:val="28"/>
          <w:szCs w:val="28"/>
        </w:rPr>
      </w:pPr>
    </w:p>
    <w:p w14:paraId="210ADBBF">
      <w:pPr>
        <w:spacing w:line="360" w:lineRule="auto"/>
        <w:rPr>
          <w:rFonts w:ascii="Times New Roman" w:hAnsi="Times New Roman" w:eastAsia="Times New Roman" w:cs="Times New Roman"/>
          <w:b/>
          <w:bCs/>
          <w:sz w:val="28"/>
          <w:szCs w:val="28"/>
        </w:rPr>
      </w:pPr>
      <w:bookmarkStart w:id="8" w:name="_Toc187328284"/>
      <w:bookmarkStart w:id="9" w:name="_Toc197374320"/>
      <w:r>
        <w:rPr>
          <w:rFonts w:ascii="Times New Roman" w:hAnsi="Times New Roman" w:eastAsia="Times New Roman" w:cs="Times New Roman"/>
          <w:b/>
          <w:bCs/>
          <w:sz w:val="28"/>
          <w:szCs w:val="28"/>
        </w:rPr>
        <w:t>BY-GEMECHU GELETI</w:t>
      </w:r>
      <w:bookmarkEnd w:id="8"/>
      <w:bookmarkEnd w:id="9"/>
      <w:r>
        <w:rPr>
          <w:rFonts w:ascii="Times New Roman" w:hAnsi="Times New Roman" w:eastAsia="Times New Roman" w:cs="Times New Roman"/>
          <w:b/>
          <w:bCs/>
          <w:sz w:val="28"/>
          <w:szCs w:val="28"/>
        </w:rPr>
        <w:t xml:space="preserve"> (BSC Nursing)</w:t>
      </w:r>
    </w:p>
    <w:p w14:paraId="31CD3762">
      <w:pPr>
        <w:spacing w:line="360" w:lineRule="auto"/>
        <w:rPr>
          <w:rFonts w:ascii="Times New Roman" w:hAnsi="Times New Roman" w:eastAsia="Times New Roman" w:cs="Times New Roman"/>
          <w:b/>
          <w:kern w:val="24"/>
          <w:sz w:val="32"/>
          <w:szCs w:val="32"/>
        </w:rPr>
      </w:pPr>
    </w:p>
    <w:p w14:paraId="44D0C789">
      <w:pPr>
        <w:spacing w:line="360" w:lineRule="auto"/>
        <w:jc w:val="both"/>
        <w:rPr>
          <w:rFonts w:ascii="Times New Roman" w:hAnsi="Times New Roman" w:eastAsia="Times New Roman" w:cs="Times New Roman"/>
          <w:b/>
          <w:kern w:val="24"/>
          <w:sz w:val="32"/>
          <w:szCs w:val="32"/>
        </w:rPr>
      </w:pPr>
      <w:r>
        <w:rPr>
          <w:rFonts w:ascii="Times New Roman" w:hAnsi="Times New Roman" w:eastAsia="Times New Roman" w:cs="Times New Roman"/>
          <w:b/>
          <w:kern w:val="24"/>
          <w:sz w:val="32"/>
          <w:szCs w:val="32"/>
        </w:rPr>
        <w:t>RESEARCH TO BE SUBMITED TO WALLAGA UNIVERSITY INSTITUTE OF HEALTH SCIENCES SCHOOL OF PUBLIC HEALTH</w:t>
      </w:r>
      <w:r>
        <w:rPr>
          <w:rFonts w:ascii="Calibri" w:hAnsi="Calibri" w:eastAsia="Times New Roman" w:cs="Times New Roman"/>
          <w:sz w:val="32"/>
          <w:szCs w:val="32"/>
        </w:rPr>
        <w:t xml:space="preserve"> </w:t>
      </w:r>
      <w:r>
        <w:rPr>
          <w:rFonts w:ascii="Times New Roman" w:hAnsi="Times New Roman" w:eastAsia="Times New Roman" w:cs="Times New Roman"/>
          <w:b/>
          <w:kern w:val="24"/>
          <w:sz w:val="32"/>
          <w:szCs w:val="32"/>
        </w:rPr>
        <w:t>FOR THE PARTIAL FULFILLMENT OF THE DEGREE OF MASTER OF PUBLIC HEALTH REPRODUCTIVE HEALTH</w:t>
      </w:r>
    </w:p>
    <w:p w14:paraId="3EE26937">
      <w:pPr>
        <w:spacing w:line="360" w:lineRule="auto"/>
        <w:jc w:val="right"/>
        <w:rPr>
          <w:rFonts w:ascii="Times New Roman" w:hAnsi="Times New Roman" w:eastAsia="Times New Roman" w:cs="Times New Roman"/>
          <w:b/>
          <w:kern w:val="24"/>
          <w:sz w:val="28"/>
          <w:szCs w:val="28"/>
        </w:rPr>
      </w:pPr>
      <w:r>
        <w:rPr>
          <w:rFonts w:ascii="Times New Roman" w:hAnsi="Times New Roman" w:eastAsia="Times New Roman" w:cs="Times New Roman"/>
          <w:b/>
          <w:kern w:val="24"/>
          <w:sz w:val="28"/>
          <w:szCs w:val="28"/>
        </w:rPr>
        <w:t xml:space="preserve"> </w:t>
      </w:r>
    </w:p>
    <w:p w14:paraId="69BD8B47">
      <w:pPr>
        <w:spacing w:line="360" w:lineRule="auto"/>
        <w:jc w:val="right"/>
        <w:rPr>
          <w:rFonts w:ascii="Times New Roman" w:hAnsi="Times New Roman" w:eastAsia="Times New Roman" w:cs="Times New Roman"/>
          <w:b/>
          <w:kern w:val="24"/>
          <w:sz w:val="28"/>
          <w:szCs w:val="28"/>
        </w:rPr>
      </w:pPr>
      <w:r>
        <w:rPr>
          <w:rFonts w:hint="default" w:ascii="Times New Roman" w:hAnsi="Times New Roman" w:eastAsia="Times New Roman" w:cs="Times New Roman"/>
          <w:b/>
          <w:kern w:val="24"/>
          <w:sz w:val="28"/>
          <w:szCs w:val="28"/>
          <w:lang w:val="en-US"/>
        </w:rPr>
        <w:t xml:space="preserve">JUN </w:t>
      </w:r>
      <w:r>
        <w:rPr>
          <w:rFonts w:ascii="Times New Roman" w:hAnsi="Times New Roman" w:eastAsia="Times New Roman" w:cs="Times New Roman"/>
          <w:b/>
          <w:kern w:val="24"/>
          <w:sz w:val="28"/>
          <w:szCs w:val="28"/>
        </w:rPr>
        <w:t xml:space="preserve"> 2025   G.C </w:t>
      </w:r>
    </w:p>
    <w:p w14:paraId="55A4B924">
      <w:pPr>
        <w:spacing w:line="360" w:lineRule="auto"/>
        <w:jc w:val="right"/>
        <w:rPr>
          <w:rFonts w:ascii="Times New Roman" w:hAnsi="Times New Roman" w:eastAsia="Times New Roman" w:cs="Times New Roman"/>
          <w:b/>
          <w:kern w:val="24"/>
          <w:sz w:val="28"/>
          <w:szCs w:val="28"/>
        </w:rPr>
      </w:pPr>
      <w:r>
        <w:rPr>
          <w:rFonts w:ascii="Times New Roman" w:hAnsi="Times New Roman" w:eastAsia="Times New Roman" w:cs="Times New Roman"/>
          <w:b/>
          <w:kern w:val="24"/>
          <w:sz w:val="28"/>
          <w:szCs w:val="28"/>
        </w:rPr>
        <w:t>NEKEMTE ETHIOPIA</w:t>
      </w:r>
    </w:p>
    <w:p w14:paraId="4C661D60">
      <w:pPr>
        <w:spacing w:line="360" w:lineRule="auto"/>
        <w:rPr>
          <w:rFonts w:ascii="Times New Roman" w:hAnsi="Times New Roman" w:eastAsia="Times New Roman" w:cs="Times New Roman"/>
          <w:b/>
          <w:kern w:val="24"/>
          <w:sz w:val="28"/>
          <w:szCs w:val="28"/>
        </w:rPr>
      </w:pPr>
    </w:p>
    <w:p w14:paraId="5BDEE8B4">
      <w:pPr>
        <w:spacing w:line="360" w:lineRule="auto"/>
        <w:rPr>
          <w:rFonts w:ascii="Times New Roman" w:hAnsi="Times New Roman" w:eastAsia="Times New Roman" w:cs="Times New Roman"/>
          <w:b/>
          <w:kern w:val="24"/>
          <w:sz w:val="28"/>
          <w:szCs w:val="28"/>
        </w:rPr>
      </w:pPr>
    </w:p>
    <w:p w14:paraId="3C417728">
      <w:pPr>
        <w:spacing w:line="360" w:lineRule="auto"/>
        <w:rPr>
          <w:rFonts w:ascii="Times New Roman" w:hAnsi="Times New Roman" w:eastAsia="Times New Roman" w:cs="Times New Roman"/>
          <w:b/>
          <w:kern w:val="24"/>
          <w:sz w:val="28"/>
          <w:szCs w:val="28"/>
        </w:rPr>
      </w:pPr>
    </w:p>
    <w:p w14:paraId="6E2B1778">
      <w:pPr>
        <w:spacing w:line="360" w:lineRule="auto"/>
        <w:rPr>
          <w:rFonts w:ascii="Times New Roman" w:hAnsi="Times New Roman" w:eastAsia="Times New Roman" w:cs="Times New Roman"/>
          <w:b/>
          <w:kern w:val="24"/>
          <w:sz w:val="28"/>
          <w:szCs w:val="28"/>
        </w:rPr>
      </w:pPr>
      <w:r>
        <w:rPr>
          <w:rFonts w:ascii="Times New Roman" w:hAnsi="Times New Roman" w:eastAsia="Times New Roman" w:cs="Times New Roman"/>
          <w:b/>
          <w:kern w:val="24"/>
          <w:sz w:val="28"/>
          <w:szCs w:val="28"/>
        </w:rPr>
        <w:t xml:space="preserve">      </w:t>
      </w:r>
    </w:p>
    <w:p w14:paraId="0D53C1B7">
      <w:pPr>
        <w:rPr>
          <w:rFonts w:ascii="Times New Roman" w:hAnsi="Times New Roman" w:eastAsia="Times New Roman" w:cs="Times New Roman"/>
          <w:b/>
          <w:kern w:val="24"/>
          <w:sz w:val="28"/>
          <w:szCs w:val="28"/>
        </w:rPr>
      </w:pPr>
    </w:p>
    <w:p w14:paraId="6DBB99EB">
      <w:pPr>
        <w:rPr>
          <w:rFonts w:ascii="Times New Roman" w:hAnsi="Times New Roman" w:eastAsia="Times New Roman" w:cs="Times New Roman"/>
          <w:b/>
          <w:kern w:val="24"/>
          <w:sz w:val="28"/>
          <w:szCs w:val="28"/>
        </w:rPr>
      </w:pPr>
    </w:p>
    <w:p w14:paraId="6C441BA1">
      <w:pPr>
        <w:rPr>
          <w:rFonts w:ascii="Times New Roman" w:hAnsi="Times New Roman" w:eastAsia="Times New Roman" w:cs="Times New Roman"/>
          <w:b/>
          <w:kern w:val="24"/>
          <w:sz w:val="28"/>
          <w:szCs w:val="28"/>
        </w:rPr>
        <w:sectPr>
          <w:footerReference r:id="rId3" w:type="default"/>
          <w:pgSz w:w="12240" w:h="15840"/>
          <w:pgMar w:top="1440" w:right="1440" w:bottom="1440" w:left="1260" w:header="720" w:footer="720" w:gutter="0"/>
          <w:cols w:space="720" w:num="1"/>
          <w:docGrid w:linePitch="360" w:charSpace="0"/>
        </w:sectPr>
      </w:pPr>
    </w:p>
    <w:p w14:paraId="36957AEB">
      <w:pPr>
        <w:spacing w:line="360" w:lineRule="auto"/>
        <w:rPr>
          <w:rFonts w:ascii="Times New Roman" w:hAnsi="Times New Roman" w:eastAsia="Times New Roman" w:cs="Times New Roman"/>
          <w:b/>
          <w:kern w:val="24"/>
          <w:sz w:val="32"/>
          <w:szCs w:val="32"/>
        </w:rPr>
      </w:pPr>
      <w:r>
        <w:rPr>
          <w:rFonts w:ascii="Times New Roman" w:hAnsi="Times New Roman" w:eastAsia="Times New Roman" w:cs="Times New Roman"/>
          <w:b/>
          <w:kern w:val="24"/>
          <w:sz w:val="28"/>
          <w:szCs w:val="28"/>
        </w:rPr>
        <w:t xml:space="preserve">                                           </w:t>
      </w:r>
      <w:r>
        <w:rPr>
          <w:rFonts w:ascii="Times New Roman" w:hAnsi="Times New Roman" w:eastAsia="Times New Roman" w:cs="Times New Roman"/>
          <w:b/>
          <w:kern w:val="24"/>
          <w:sz w:val="32"/>
          <w:szCs w:val="32"/>
        </w:rPr>
        <w:t>WALLAGA UNIVERSITY</w:t>
      </w:r>
    </w:p>
    <w:p w14:paraId="395AD850">
      <w:pPr>
        <w:spacing w:line="360" w:lineRule="auto"/>
        <w:jc w:val="center"/>
        <w:rPr>
          <w:rFonts w:ascii="Times New Roman" w:hAnsi="Times New Roman" w:eastAsia="Times New Roman" w:cs="Times New Roman"/>
          <w:b/>
          <w:kern w:val="24"/>
          <w:sz w:val="32"/>
          <w:szCs w:val="32"/>
        </w:rPr>
      </w:pPr>
      <w:r>
        <w:rPr>
          <w:rFonts w:ascii="Times New Roman" w:hAnsi="Times New Roman" w:eastAsia="Times New Roman" w:cs="Times New Roman"/>
          <w:b/>
          <w:kern w:val="24"/>
          <w:sz w:val="32"/>
          <w:szCs w:val="32"/>
        </w:rPr>
        <w:t>INSTITUTE OF HEALTH SCIENCES</w:t>
      </w:r>
    </w:p>
    <w:p w14:paraId="672F7AD2">
      <w:pPr>
        <w:spacing w:line="360" w:lineRule="auto"/>
        <w:jc w:val="center"/>
        <w:rPr>
          <w:rFonts w:ascii="Times New Roman" w:hAnsi="Times New Roman" w:eastAsia="Times New Roman" w:cs="Times New Roman"/>
          <w:b/>
          <w:kern w:val="24"/>
          <w:sz w:val="32"/>
          <w:szCs w:val="32"/>
        </w:rPr>
      </w:pPr>
      <w:r>
        <w:rPr>
          <w:rFonts w:ascii="Times New Roman" w:hAnsi="Times New Roman" w:eastAsia="Times New Roman" w:cs="Times New Roman"/>
          <w:b/>
          <w:kern w:val="24"/>
          <w:sz w:val="32"/>
          <w:szCs w:val="32"/>
        </w:rPr>
        <w:t>SCHOOL OF REPRODUCTIV HEALTH</w:t>
      </w:r>
    </w:p>
    <w:p w14:paraId="7E46F384">
      <w:pPr>
        <w:spacing w:line="360" w:lineRule="auto"/>
        <w:jc w:val="center"/>
        <w:rPr>
          <w:rFonts w:ascii="Times New Roman" w:hAnsi="Times New Roman" w:eastAsia="Times New Roman" w:cs="Times New Roman"/>
          <w:b/>
          <w:kern w:val="24"/>
          <w:sz w:val="32"/>
          <w:szCs w:val="32"/>
        </w:rPr>
      </w:pPr>
      <w:r>
        <w:rPr>
          <w:rFonts w:ascii="Times New Roman" w:hAnsi="Times New Roman" w:eastAsia="Times New Roman" w:cs="Times New Roman"/>
          <w:b/>
          <w:kern w:val="24"/>
          <w:sz w:val="32"/>
          <w:szCs w:val="32"/>
        </w:rPr>
        <w:t xml:space="preserve"> </w:t>
      </w:r>
    </w:p>
    <w:p w14:paraId="1811E632">
      <w:pPr>
        <w:spacing w:before="100" w:beforeAutospacing="1" w:after="100" w:afterAutospacing="1" w:line="360" w:lineRule="auto"/>
        <w:contextualSpacing/>
        <w:jc w:val="both"/>
        <w:outlineLvl w:val="2"/>
        <w:rPr>
          <w:rFonts w:ascii="Times New Roman" w:hAnsi="Times New Roman" w:eastAsia="Times New Roman" w:cs="Times New Roman"/>
          <w:b/>
          <w:bCs/>
          <w:sz w:val="24"/>
          <w:szCs w:val="24"/>
        </w:rPr>
      </w:pPr>
    </w:p>
    <w:p w14:paraId="0BFA9E2A">
      <w:pPr>
        <w:spacing w:before="100" w:beforeAutospacing="1" w:after="100" w:afterAutospacing="1" w:line="360" w:lineRule="auto"/>
        <w:contextualSpacing/>
        <w:jc w:val="both"/>
        <w:outlineLvl w:val="2"/>
        <w:rPr>
          <w:rFonts w:ascii="Times New Roman" w:hAnsi="Times New Roman" w:eastAsia="Times New Roman" w:cs="Times New Roman"/>
          <w:b/>
          <w:bCs/>
          <w:sz w:val="28"/>
          <w:szCs w:val="28"/>
        </w:rPr>
      </w:pPr>
      <w:bookmarkStart w:id="10" w:name="_Toc185492489"/>
      <w:bookmarkStart w:id="11" w:name="_Toc198621960"/>
      <w:bookmarkStart w:id="12" w:name="_Toc185190117"/>
      <w:bookmarkStart w:id="13" w:name="_Toc187328285"/>
      <w:bookmarkStart w:id="14" w:name="_Toc197767156"/>
      <w:bookmarkStart w:id="15" w:name="_Toc198635428"/>
      <w:bookmarkStart w:id="16" w:name="_Toc197885159"/>
      <w:bookmarkStart w:id="17" w:name="_Toc185491454"/>
      <w:bookmarkStart w:id="18" w:name="_Toc181910632"/>
      <w:bookmarkStart w:id="19" w:name="_Toc197374321"/>
      <w:r>
        <w:rPr>
          <w:rFonts w:ascii="Times New Roman" w:hAnsi="Times New Roman" w:eastAsia="Times New Roman" w:cs="Times New Roman"/>
          <w:b/>
          <w:bCs/>
          <w:sz w:val="28"/>
          <w:szCs w:val="28"/>
        </w:rPr>
        <w:t>WILLINGNESS TO ACCEPT MALARIA VACCINE</w:t>
      </w:r>
      <w:r>
        <w:rPr>
          <w:rFonts w:hint="default" w:ascii="Times New Roman" w:hAnsi="Times New Roman" w:eastAsia="Times New Roman" w:cs="Times New Roman"/>
          <w:b/>
          <w:bCs/>
          <w:sz w:val="28"/>
          <w:szCs w:val="28"/>
          <w:lang w:val="en-US"/>
        </w:rPr>
        <w:t xml:space="preserve"> AND ASSOCIATED FACTORS</w:t>
      </w:r>
      <w:r>
        <w:rPr>
          <w:rFonts w:ascii="Times New Roman" w:hAnsi="Times New Roman" w:eastAsia="Times New Roman" w:cs="Times New Roman"/>
          <w:b/>
          <w:bCs/>
          <w:sz w:val="28"/>
          <w:szCs w:val="28"/>
        </w:rPr>
        <w:t xml:space="preserve"> AMONG MOTHERS ATTENDING IMMUNIZATION SERVICES AT PUBLIC HEALTH FACILITIES IN NEKEMTE CITY, WEST ETHIOPIA</w:t>
      </w:r>
      <w:bookmarkEnd w:id="10"/>
      <w:bookmarkEnd w:id="11"/>
      <w:bookmarkEnd w:id="12"/>
      <w:bookmarkEnd w:id="13"/>
      <w:bookmarkEnd w:id="14"/>
      <w:bookmarkEnd w:id="15"/>
      <w:bookmarkEnd w:id="16"/>
      <w:bookmarkEnd w:id="17"/>
      <w:bookmarkEnd w:id="18"/>
      <w:bookmarkEnd w:id="19"/>
    </w:p>
    <w:p w14:paraId="23C5CB35">
      <w:pPr>
        <w:spacing w:before="100" w:beforeAutospacing="1" w:after="100" w:afterAutospacing="1" w:line="360" w:lineRule="auto"/>
        <w:contextualSpacing/>
        <w:jc w:val="both"/>
        <w:outlineLvl w:val="2"/>
        <w:rPr>
          <w:rFonts w:ascii="Times New Roman" w:hAnsi="Times New Roman" w:eastAsia="Times New Roman" w:cs="Times New Roman"/>
          <w:b/>
          <w:bCs/>
          <w:sz w:val="24"/>
          <w:szCs w:val="24"/>
        </w:rPr>
      </w:pPr>
    </w:p>
    <w:p w14:paraId="2E3302A9">
      <w:pPr>
        <w:spacing w:line="360" w:lineRule="auto"/>
        <w:rPr>
          <w:rFonts w:ascii="Times New Roman" w:hAnsi="Times New Roman" w:eastAsia="Times New Roman" w:cs="Times New Roman"/>
          <w:b/>
          <w:sz w:val="28"/>
          <w:szCs w:val="28"/>
        </w:rPr>
      </w:pPr>
    </w:p>
    <w:p w14:paraId="5E58FA10">
      <w:pPr>
        <w:spacing w:line="360" w:lineRule="auto"/>
        <w:rPr>
          <w:rFonts w:ascii="Times New Roman" w:hAnsi="Times New Roman" w:eastAsia="Times New Roman" w:cs="Times New Roman"/>
          <w:b/>
          <w:sz w:val="28"/>
          <w:szCs w:val="28"/>
        </w:rPr>
      </w:pPr>
    </w:p>
    <w:p w14:paraId="2D0CC7FA">
      <w:pPr>
        <w:spacing w:line="360" w:lineRule="auto"/>
        <w:rPr>
          <w:rFonts w:ascii="Times New Roman" w:hAnsi="Times New Roman" w:eastAsia="Times New Roman" w:cs="Times New Roman"/>
          <w:b/>
          <w:sz w:val="28"/>
          <w:szCs w:val="28"/>
        </w:rPr>
      </w:pPr>
    </w:p>
    <w:p w14:paraId="3A6477BD">
      <w:pPr>
        <w:spacing w:line="360" w:lineRule="auto"/>
        <w:rPr>
          <w:rFonts w:eastAsia="Times New Roman"/>
          <w:b/>
        </w:rPr>
      </w:pPr>
      <w:r>
        <w:rPr>
          <w:rFonts w:ascii="Times New Roman" w:hAnsi="Times New Roman" w:eastAsia="Times New Roman" w:cs="Times New Roman"/>
          <w:b/>
          <w:sz w:val="28"/>
          <w:szCs w:val="28"/>
        </w:rPr>
        <w:t>ADVISORS</w:t>
      </w:r>
      <w:r>
        <w:rPr>
          <w:rFonts w:eastAsia="Times New Roman"/>
          <w:b/>
        </w:rPr>
        <w:t xml:space="preserve"> </w:t>
      </w:r>
    </w:p>
    <w:p w14:paraId="37596E49">
      <w:pPr>
        <w:spacing w:line="360" w:lineRule="auto"/>
        <w:rPr>
          <w:rFonts w:ascii="Calibri" w:hAnsi="Calibri" w:eastAsia="Times New Roman"/>
          <w:b/>
        </w:rPr>
      </w:pPr>
      <w:r>
        <w:rPr>
          <w:rFonts w:ascii="Calibri" w:hAnsi="Calibri" w:eastAsia="Times New Roman"/>
          <w:b/>
        </w:rPr>
        <w:t xml:space="preserve"> </w:t>
      </w:r>
    </w:p>
    <w:p w14:paraId="6FF464AC">
      <w:pPr>
        <w:spacing w:line="360" w:lineRule="auto"/>
        <w:rPr>
          <w:rFonts w:ascii="Times New Roman" w:hAnsi="Times New Roman" w:eastAsia="Times New Roman" w:cs="Times New Roman"/>
          <w:b/>
          <w:sz w:val="28"/>
          <w:szCs w:val="28"/>
        </w:rPr>
      </w:pPr>
      <w:r>
        <w:rPr>
          <w:rFonts w:ascii="Times New Roman" w:hAnsi="Times New Roman" w:eastAsia="Times New Roman" w:cs="Times New Roman"/>
          <w:b/>
          <w:sz w:val="28"/>
          <w:szCs w:val="28"/>
        </w:rPr>
        <w:t>Dr. Dessalegn Wirtu (Associate Professor)</w:t>
      </w:r>
    </w:p>
    <w:p w14:paraId="09338055">
      <w:pPr>
        <w:spacing w:line="360" w:lineRule="auto"/>
        <w:rPr>
          <w:rFonts w:ascii="Times New Roman" w:hAnsi="Times New Roman" w:eastAsia="Times New Roman" w:cs="Times New Roman"/>
          <w:b/>
          <w:sz w:val="28"/>
          <w:szCs w:val="28"/>
        </w:rPr>
      </w:pPr>
      <w:r>
        <w:rPr>
          <w:rFonts w:ascii="Times New Roman" w:hAnsi="Times New Roman" w:eastAsia="Times New Roman" w:cs="Times New Roman"/>
          <w:b/>
          <w:sz w:val="28"/>
          <w:szCs w:val="28"/>
        </w:rPr>
        <w:t xml:space="preserve"> Gemechu Tiruneh (MPH)</w:t>
      </w:r>
    </w:p>
    <w:p w14:paraId="0ED4AFFF">
      <w:pPr>
        <w:spacing w:line="360" w:lineRule="auto"/>
        <w:rPr>
          <w:rFonts w:ascii="Times New Roman" w:hAnsi="Times New Roman" w:eastAsia="Times New Roman" w:cs="Times New Roman"/>
          <w:b/>
          <w:sz w:val="28"/>
          <w:szCs w:val="28"/>
        </w:rPr>
      </w:pPr>
    </w:p>
    <w:p w14:paraId="032EBD8A">
      <w:pPr>
        <w:spacing w:line="360" w:lineRule="auto"/>
        <w:rPr>
          <w:rFonts w:ascii="Times New Roman" w:hAnsi="Times New Roman" w:eastAsia="Times New Roman" w:cs="Times New Roman"/>
          <w:sz w:val="24"/>
          <w:szCs w:val="24"/>
        </w:rPr>
      </w:pPr>
    </w:p>
    <w:p w14:paraId="283EC7EA">
      <w:pPr>
        <w:spacing w:line="360" w:lineRule="auto"/>
        <w:ind w:left="6480" w:firstLine="720"/>
        <w:rPr>
          <w:rFonts w:ascii="Times New Roman" w:hAnsi="Times New Roman" w:eastAsia="Times New Roman" w:cs="Times New Roman"/>
          <w:sz w:val="24"/>
          <w:szCs w:val="24"/>
        </w:rPr>
      </w:pPr>
    </w:p>
    <w:p w14:paraId="1E0B85FC">
      <w:pPr>
        <w:spacing w:line="360" w:lineRule="auto"/>
        <w:ind w:left="6480" w:firstLine="720"/>
        <w:rPr>
          <w:rFonts w:ascii="Times New Roman" w:hAnsi="Times New Roman" w:eastAsia="Times New Roman" w:cs="Times New Roman"/>
          <w:sz w:val="24"/>
          <w:szCs w:val="24"/>
        </w:rPr>
      </w:pPr>
    </w:p>
    <w:p w14:paraId="25CF1F0F">
      <w:pPr>
        <w:spacing w:line="360" w:lineRule="auto"/>
        <w:ind w:left="6480"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79483D32">
      <w:pPr>
        <w:spacing w:line="360" w:lineRule="auto"/>
        <w:ind w:left="6480"/>
        <w:jc w:val="center"/>
        <w:rPr>
          <w:rFonts w:ascii="Times New Roman" w:hAnsi="Times New Roman" w:eastAsia="Times New Roman" w:cs="Times New Roman"/>
          <w:b/>
          <w:sz w:val="28"/>
          <w:szCs w:val="28"/>
        </w:rPr>
      </w:pPr>
      <w:r>
        <w:rPr>
          <w:rFonts w:ascii="Times New Roman" w:hAnsi="Times New Roman" w:eastAsia="Times New Roman" w:cs="Times New Roman"/>
          <w:sz w:val="24"/>
          <w:szCs w:val="24"/>
        </w:rPr>
        <w:t xml:space="preserve">     </w:t>
      </w:r>
    </w:p>
    <w:p w14:paraId="5719FFCD">
      <w:pPr>
        <w:spacing w:before="100" w:beforeAutospacing="1" w:line="273" w:lineRule="auto"/>
        <w:ind w:left="6480"/>
        <w:rPr>
          <w:rFonts w:ascii="Calibri" w:hAnsi="Calibri" w:eastAsia="Times New Roman" w:cs="Times New Roman"/>
          <w:sz w:val="28"/>
          <w:szCs w:val="28"/>
        </w:rPr>
      </w:pPr>
      <w:r>
        <w:rPr>
          <w:rFonts w:ascii="Times New Roman" w:hAnsi="Times New Roman" w:eastAsia="Calibri" w:cs="Times New Roman"/>
          <w:sz w:val="28"/>
          <w:szCs w:val="28"/>
        </w:rPr>
        <w:t>March 2025 G.C</w:t>
      </w:r>
      <w:r>
        <w:rPr>
          <w:rFonts w:ascii="Times New Roman" w:hAnsi="Times New Roman" w:eastAsia="Calibri" w:cs="Times New Roman"/>
          <w:sz w:val="28"/>
          <w:szCs w:val="28"/>
        </w:rPr>
        <w:br w:type="textWrapping"/>
      </w:r>
      <w:r>
        <w:rPr>
          <w:rFonts w:ascii="Times New Roman" w:hAnsi="Times New Roman" w:eastAsia="Calibri" w:cs="Times New Roman"/>
          <w:sz w:val="28"/>
          <w:szCs w:val="28"/>
        </w:rPr>
        <w:t>NEKEMTE, ETHIOPIA</w:t>
      </w:r>
    </w:p>
    <w:p w14:paraId="3D4392BA">
      <w:pPr>
        <w:spacing w:line="360" w:lineRule="auto"/>
        <w:ind w:left="5760"/>
      </w:pPr>
      <w:r>
        <w:t xml:space="preserve">                                                                                                  </w:t>
      </w:r>
      <w:bookmarkStart w:id="20" w:name="_Toc185492490"/>
      <w:bookmarkStart w:id="21" w:name="_Toc531750687"/>
      <w:bookmarkStart w:id="22" w:name="_Toc185190118"/>
      <w:bookmarkStart w:id="23" w:name="_Toc181910633"/>
      <w:r>
        <w:t xml:space="preserve">                            </w:t>
      </w:r>
    </w:p>
    <w:p w14:paraId="70A27FC0">
      <w:pPr>
        <w:spacing w:line="360" w:lineRule="auto"/>
        <w:ind w:left="5760"/>
      </w:pPr>
    </w:p>
    <w:p w14:paraId="575DD0EF">
      <w:pPr>
        <w:spacing w:line="360" w:lineRule="auto"/>
        <w:ind w:left="5760"/>
      </w:pPr>
    </w:p>
    <w:p w14:paraId="421084EC">
      <w:pPr>
        <w:spacing w:line="360" w:lineRule="auto"/>
        <w:ind w:left="5760"/>
      </w:pPr>
    </w:p>
    <w:p w14:paraId="678349F4">
      <w:pPr>
        <w:pStyle w:val="2"/>
        <w:spacing w:before="0" w:line="360" w:lineRule="auto"/>
        <w:rPr>
          <w:rFonts w:ascii="Times New Roman" w:hAnsi="Times New Roman" w:cs="Times New Roman"/>
          <w:color w:val="auto"/>
        </w:rPr>
        <w:sectPr>
          <w:footerReference r:id="rId4" w:type="default"/>
          <w:type w:val="continuous"/>
          <w:pgSz w:w="12240" w:h="15840"/>
          <w:pgMar w:top="1440" w:right="1440" w:bottom="1440" w:left="1260" w:header="720" w:footer="720" w:gutter="0"/>
          <w:pgNumType w:fmt="lowerRoman" w:start="1"/>
          <w:cols w:space="720" w:num="1"/>
          <w:docGrid w:linePitch="360" w:charSpace="0"/>
        </w:sectPr>
      </w:pPr>
      <w:bookmarkStart w:id="24" w:name="_Toc198635429"/>
      <w:bookmarkStart w:id="25" w:name="_Toc187328286"/>
      <w:r>
        <w:rPr>
          <w:rFonts w:ascii="Times New Roman" w:hAnsi="Times New Roman" w:cs="Times New Roman"/>
          <w:color w:val="auto"/>
        </w:rPr>
        <w:t>Acknowledgment</w:t>
      </w:r>
      <w:bookmarkEnd w:id="20"/>
      <w:bookmarkEnd w:id="21"/>
      <w:bookmarkEnd w:id="22"/>
      <w:bookmarkEnd w:id="23"/>
      <w:bookmarkEnd w:id="24"/>
      <w:bookmarkEnd w:id="25"/>
    </w:p>
    <w:p w14:paraId="53DF513B">
      <w:pPr>
        <w:spacing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 would like to thank my almighty God for all success in my career. Following this, I would also like to acknowledge Wallaga University Institute of Health Sciences, School of Public Health for the capacity building by providing this opportunity to conduct research.  I would like to thank my participants for your participation and  I would also like to present my deepest gratitude to my advisors </w:t>
      </w:r>
      <w:r>
        <w:rPr>
          <w:rFonts w:ascii="Times New Roman" w:hAnsi="Times New Roman" w:eastAsia="Times New Roman" w:cs="Times New Roman"/>
          <w:b/>
          <w:sz w:val="24"/>
          <w:szCs w:val="24"/>
        </w:rPr>
        <w:t>Dr. Dessalegn Wirtu</w:t>
      </w:r>
      <w:r>
        <w:rPr>
          <w:rFonts w:ascii="Times New Roman" w:hAnsi="Times New Roman" w:eastAsia="Times New Roman" w:cs="Times New Roman"/>
          <w:sz w:val="24"/>
          <w:szCs w:val="24"/>
        </w:rPr>
        <w:t xml:space="preserve"> and </w:t>
      </w:r>
      <w:r>
        <w:rPr>
          <w:rFonts w:ascii="Times New Roman" w:hAnsi="Times New Roman" w:eastAsia="Times New Roman" w:cs="Times New Roman"/>
          <w:b/>
          <w:sz w:val="24"/>
          <w:szCs w:val="24"/>
        </w:rPr>
        <w:t xml:space="preserve">Mr Gemechu Tiruneh </w:t>
      </w:r>
      <w:r>
        <w:rPr>
          <w:rFonts w:ascii="Times New Roman" w:hAnsi="Times New Roman" w:eastAsia="Times New Roman" w:cs="Times New Roman"/>
          <w:sz w:val="24"/>
          <w:szCs w:val="24"/>
        </w:rPr>
        <w:t xml:space="preserve"> for their guidance during this research.</w:t>
      </w:r>
    </w:p>
    <w:p w14:paraId="26E79928">
      <w:pPr>
        <w:spacing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 would also like to extend my gratitude to Nekemte Specialized Hospital, Nekemte Health center, Wollega University Teaching Hospital and cheleleki Health centre for providing an information on the potential source population served under their catchment.</w:t>
      </w:r>
    </w:p>
    <w:p w14:paraId="41C93630">
      <w:pPr>
        <w:keepNext/>
        <w:keepLines/>
        <w:spacing w:before="360" w:line="360" w:lineRule="auto"/>
        <w:outlineLvl w:val="0"/>
        <w:rPr>
          <w:rFonts w:ascii="Times New Roman" w:hAnsi="Times New Roman" w:eastAsia="Times New Roman" w:cs="Times New Roman"/>
          <w:b/>
          <w:bCs/>
          <w:sz w:val="28"/>
          <w:szCs w:val="28"/>
        </w:rPr>
      </w:pPr>
      <w:bookmarkStart w:id="26" w:name="_Toc181910634"/>
    </w:p>
    <w:p w14:paraId="65A6D00D">
      <w:pPr>
        <w:keepNext/>
        <w:keepLines/>
        <w:spacing w:before="360" w:line="360" w:lineRule="auto"/>
        <w:outlineLvl w:val="0"/>
        <w:rPr>
          <w:rFonts w:ascii="Times New Roman" w:hAnsi="Times New Roman" w:eastAsia="Times New Roman" w:cs="Times New Roman"/>
          <w:b/>
          <w:bCs/>
          <w:sz w:val="28"/>
          <w:szCs w:val="28"/>
        </w:rPr>
      </w:pPr>
    </w:p>
    <w:p w14:paraId="0AA965D4">
      <w:pPr>
        <w:keepNext/>
        <w:keepLines/>
        <w:spacing w:before="360" w:line="360" w:lineRule="auto"/>
        <w:outlineLvl w:val="0"/>
        <w:rPr>
          <w:rFonts w:ascii="Times New Roman" w:hAnsi="Times New Roman" w:eastAsia="Times New Roman" w:cs="Times New Roman"/>
          <w:b/>
          <w:bCs/>
          <w:sz w:val="28"/>
          <w:szCs w:val="28"/>
        </w:rPr>
      </w:pPr>
    </w:p>
    <w:p w14:paraId="7CBCA387">
      <w:pPr>
        <w:keepNext/>
        <w:keepLines/>
        <w:spacing w:before="360" w:line="360" w:lineRule="auto"/>
        <w:outlineLvl w:val="0"/>
        <w:rPr>
          <w:rFonts w:ascii="Times New Roman" w:hAnsi="Times New Roman" w:eastAsia="Times New Roman" w:cs="Times New Roman"/>
          <w:b/>
          <w:bCs/>
          <w:sz w:val="28"/>
          <w:szCs w:val="28"/>
        </w:rPr>
      </w:pPr>
    </w:p>
    <w:p w14:paraId="1BF536BF">
      <w:pPr>
        <w:keepNext/>
        <w:keepLines/>
        <w:spacing w:before="360" w:line="360" w:lineRule="auto"/>
        <w:outlineLvl w:val="0"/>
        <w:rPr>
          <w:rFonts w:ascii="Times New Roman" w:hAnsi="Times New Roman" w:eastAsia="Times New Roman" w:cs="Times New Roman"/>
          <w:b/>
          <w:bCs/>
          <w:sz w:val="28"/>
          <w:szCs w:val="28"/>
        </w:rPr>
      </w:pPr>
    </w:p>
    <w:bookmarkEnd w:id="26"/>
    <w:p w14:paraId="5A58E336">
      <w:pPr>
        <w:pStyle w:val="2"/>
        <w:spacing w:before="0"/>
        <w:rPr>
          <w:rFonts w:eastAsia="Times New Roman"/>
          <w:color w:val="auto"/>
        </w:rPr>
      </w:pPr>
      <w:bookmarkStart w:id="27" w:name="_Toc185190119"/>
      <w:bookmarkStart w:id="28" w:name="_Toc185492491"/>
      <w:bookmarkStart w:id="29" w:name="_Toc181910635"/>
    </w:p>
    <w:p w14:paraId="3498F670"/>
    <w:p w14:paraId="2495D7F8"/>
    <w:p w14:paraId="4CBF5895"/>
    <w:p w14:paraId="3E928283"/>
    <w:p w14:paraId="44457F39"/>
    <w:p w14:paraId="4BCAE363"/>
    <w:p w14:paraId="6E5B25AD"/>
    <w:p w14:paraId="7260922C"/>
    <w:p w14:paraId="3FB1B465"/>
    <w:p w14:paraId="221C142D">
      <w:pPr>
        <w:spacing w:after="200" w:line="276" w:lineRule="auto"/>
        <w:rPr>
          <w:rFonts w:eastAsia="Times New Roman"/>
        </w:rPr>
      </w:pPr>
      <w:r>
        <w:rPr>
          <w:rFonts w:eastAsia="Times New Roman"/>
        </w:rPr>
        <w:br w:type="page"/>
      </w:r>
    </w:p>
    <w:p w14:paraId="13B850D7">
      <w:pPr>
        <w:pStyle w:val="2"/>
        <w:rPr>
          <w:rFonts w:ascii="Times New Roman" w:hAnsi="Times New Roman" w:eastAsia="Times New Roman" w:cs="Times New Roman"/>
        </w:rPr>
      </w:pPr>
      <w:bookmarkStart w:id="30" w:name="_Toc198635430"/>
      <w:r>
        <w:rPr>
          <w:rFonts w:ascii="Times New Roman" w:hAnsi="Times New Roman" w:eastAsia="Times New Roman" w:cs="Times New Roman"/>
        </w:rPr>
        <w:t>List of Tables</w:t>
      </w:r>
      <w:bookmarkEnd w:id="30"/>
      <w:r>
        <w:rPr>
          <w:rFonts w:ascii="Times New Roman" w:hAnsi="Times New Roman" w:eastAsia="Times New Roman" w:cs="Times New Roman"/>
        </w:rPr>
        <w:t xml:space="preserve"> </w:t>
      </w:r>
    </w:p>
    <w:p w14:paraId="7641A782"/>
    <w:p w14:paraId="73FD3A63">
      <w:pPr>
        <w:pStyle w:val="26"/>
        <w:tabs>
          <w:tab w:val="right" w:leader="dot" w:pos="9530"/>
        </w:tabs>
        <w:spacing w:line="360" w:lineRule="auto"/>
        <w:jc w:val="both"/>
        <w:rPr>
          <w:rFonts w:ascii="Times New Roman" w:hAnsi="Times New Roman" w:cs="Times New Roman"/>
          <w:sz w:val="24"/>
          <w:szCs w:val="24"/>
        </w:rPr>
      </w:pPr>
      <w:r>
        <w:rPr>
          <w:rFonts w:ascii="Times New Roman" w:hAnsi="Times New Roman" w:eastAsia="Times New Roman" w:cs="Times New Roman"/>
          <w:sz w:val="24"/>
          <w:szCs w:val="24"/>
        </w:rPr>
        <w:fldChar w:fldCharType="begin"/>
      </w:r>
      <w:r>
        <w:rPr>
          <w:rFonts w:ascii="Times New Roman" w:hAnsi="Times New Roman" w:eastAsia="Times New Roman" w:cs="Times New Roman"/>
          <w:sz w:val="24"/>
          <w:szCs w:val="24"/>
        </w:rPr>
        <w:instrText xml:space="preserve"> TOC \h \z \c "Table" </w:instrText>
      </w:r>
      <w:r>
        <w:rPr>
          <w:rFonts w:ascii="Times New Roman" w:hAnsi="Times New Roman" w:eastAsia="Times New Roman" w:cs="Times New Roman"/>
          <w:sz w:val="24"/>
          <w:szCs w:val="24"/>
        </w:rPr>
        <w:fldChar w:fldCharType="separate"/>
      </w:r>
      <w:r>
        <w:fldChar w:fldCharType="begin"/>
      </w:r>
      <w:r>
        <w:instrText xml:space="preserve"> HYPERLINK \l "_Toc197884917" </w:instrText>
      </w:r>
      <w:r>
        <w:fldChar w:fldCharType="separate"/>
      </w:r>
      <w:r>
        <w:rPr>
          <w:rStyle w:val="21"/>
          <w:rFonts w:ascii="Times New Roman" w:hAnsi="Times New Roman" w:cs="Times New Roman"/>
          <w:sz w:val="24"/>
          <w:szCs w:val="24"/>
        </w:rPr>
        <w:t>Table 1: Sample size calculation for factors associated with willingness to accept the malaria vaccine among mothers at  public health facilities in Nekemte town  East wollega, Oromia, Ethiopia, 2025</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_Toc197884917 \h </w:instrText>
      </w:r>
      <w:r>
        <w:rPr>
          <w:rFonts w:ascii="Times New Roman" w:hAnsi="Times New Roman" w:cs="Times New Roman"/>
          <w:sz w:val="24"/>
          <w:szCs w:val="24"/>
        </w:rPr>
        <w:fldChar w:fldCharType="separate"/>
      </w:r>
      <w:r>
        <w:rPr>
          <w:rFonts w:ascii="Times New Roman" w:hAnsi="Times New Roman" w:cs="Times New Roman"/>
          <w:sz w:val="24"/>
          <w:szCs w:val="24"/>
        </w:rPr>
        <w:t>26</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22035CA6">
      <w:pPr>
        <w:pStyle w:val="26"/>
        <w:tabs>
          <w:tab w:val="right" w:leader="dot" w:pos="9530"/>
        </w:tabs>
        <w:spacing w:line="360" w:lineRule="auto"/>
        <w:jc w:val="both"/>
        <w:rPr>
          <w:rStyle w:val="21"/>
          <w:rFonts w:ascii="Times New Roman" w:hAnsi="Times New Roman" w:cs="Times New Roman"/>
          <w:sz w:val="24"/>
          <w:szCs w:val="24"/>
        </w:rPr>
      </w:pPr>
    </w:p>
    <w:p w14:paraId="7874133A">
      <w:pPr>
        <w:pStyle w:val="26"/>
        <w:tabs>
          <w:tab w:val="right" w:leader="dot" w:pos="9530"/>
        </w:tabs>
        <w:spacing w:line="360" w:lineRule="auto"/>
        <w:jc w:val="both"/>
        <w:rPr>
          <w:rFonts w:ascii="Times New Roman" w:hAnsi="Times New Roman" w:cs="Times New Roman"/>
          <w:sz w:val="24"/>
          <w:szCs w:val="24"/>
        </w:rPr>
      </w:pPr>
      <w:r>
        <w:fldChar w:fldCharType="begin"/>
      </w:r>
      <w:r>
        <w:instrText xml:space="preserve"> HYPERLINK \l "_Toc197884918" </w:instrText>
      </w:r>
      <w:r>
        <w:fldChar w:fldCharType="separate"/>
      </w:r>
      <w:r>
        <w:rPr>
          <w:rStyle w:val="21"/>
          <w:rFonts w:ascii="Times New Roman" w:hAnsi="Times New Roman" w:cs="Times New Roman"/>
          <w:sz w:val="24"/>
          <w:szCs w:val="24"/>
        </w:rPr>
        <w:t>Table 2: Socio-demographic and Socio-economic characteristics of mothers who were attending public health facilities for immunization in Nekemte town 2025.</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_Toc197884918 \h </w:instrText>
      </w:r>
      <w:r>
        <w:rPr>
          <w:rFonts w:ascii="Times New Roman" w:hAnsi="Times New Roman" w:cs="Times New Roman"/>
          <w:sz w:val="24"/>
          <w:szCs w:val="24"/>
        </w:rPr>
        <w:fldChar w:fldCharType="separate"/>
      </w:r>
      <w:r>
        <w:rPr>
          <w:rFonts w:ascii="Times New Roman" w:hAnsi="Times New Roman" w:cs="Times New Roman"/>
          <w:sz w:val="24"/>
          <w:szCs w:val="24"/>
        </w:rPr>
        <w:t>34</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1D176F82">
      <w:pPr>
        <w:pStyle w:val="26"/>
        <w:tabs>
          <w:tab w:val="right" w:leader="dot" w:pos="9530"/>
        </w:tabs>
        <w:spacing w:line="360" w:lineRule="auto"/>
        <w:jc w:val="both"/>
        <w:rPr>
          <w:rStyle w:val="21"/>
          <w:rFonts w:ascii="Times New Roman" w:hAnsi="Times New Roman" w:cs="Times New Roman"/>
          <w:sz w:val="24"/>
          <w:szCs w:val="24"/>
        </w:rPr>
      </w:pPr>
    </w:p>
    <w:p w14:paraId="71436854">
      <w:pPr>
        <w:pStyle w:val="26"/>
        <w:tabs>
          <w:tab w:val="right" w:leader="dot" w:pos="9530"/>
        </w:tabs>
        <w:spacing w:line="360" w:lineRule="auto"/>
        <w:jc w:val="both"/>
        <w:rPr>
          <w:rFonts w:ascii="Times New Roman" w:hAnsi="Times New Roman" w:cs="Times New Roman"/>
          <w:sz w:val="24"/>
          <w:szCs w:val="24"/>
        </w:rPr>
      </w:pPr>
      <w:r>
        <w:fldChar w:fldCharType="begin"/>
      </w:r>
      <w:r>
        <w:instrText xml:space="preserve"> HYPERLINK \l "_Toc197884919" </w:instrText>
      </w:r>
      <w:r>
        <w:fldChar w:fldCharType="separate"/>
      </w:r>
      <w:r>
        <w:rPr>
          <w:rStyle w:val="21"/>
          <w:rFonts w:ascii="Times New Roman" w:hAnsi="Times New Roman" w:cs="Times New Roman"/>
          <w:sz w:val="24"/>
          <w:szCs w:val="24"/>
        </w:rPr>
        <w:t>Table 3:  Experience and Attitude of mothers towards immunization program at public health facilities in Nekemte town 2025.</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_Toc197884919 \h </w:instrText>
      </w:r>
      <w:r>
        <w:rPr>
          <w:rFonts w:ascii="Times New Roman" w:hAnsi="Times New Roman" w:cs="Times New Roman"/>
          <w:sz w:val="24"/>
          <w:szCs w:val="24"/>
        </w:rPr>
        <w:fldChar w:fldCharType="separate"/>
      </w:r>
      <w:r>
        <w:rPr>
          <w:rFonts w:ascii="Times New Roman" w:hAnsi="Times New Roman" w:cs="Times New Roman"/>
          <w:sz w:val="24"/>
          <w:szCs w:val="24"/>
        </w:rPr>
        <w:t>36</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4C59DFBD">
      <w:pPr>
        <w:pStyle w:val="26"/>
        <w:tabs>
          <w:tab w:val="right" w:leader="dot" w:pos="9530"/>
        </w:tabs>
        <w:spacing w:line="360" w:lineRule="auto"/>
        <w:jc w:val="both"/>
        <w:rPr>
          <w:rStyle w:val="21"/>
          <w:rFonts w:ascii="Times New Roman" w:hAnsi="Times New Roman" w:cs="Times New Roman"/>
          <w:sz w:val="24"/>
          <w:szCs w:val="24"/>
        </w:rPr>
      </w:pPr>
    </w:p>
    <w:p w14:paraId="79B9DA48">
      <w:pPr>
        <w:pStyle w:val="26"/>
        <w:tabs>
          <w:tab w:val="right" w:leader="dot" w:pos="9530"/>
        </w:tabs>
        <w:spacing w:line="360" w:lineRule="auto"/>
        <w:jc w:val="both"/>
        <w:rPr>
          <w:rFonts w:ascii="Times New Roman" w:hAnsi="Times New Roman" w:cs="Times New Roman"/>
          <w:sz w:val="24"/>
          <w:szCs w:val="24"/>
        </w:rPr>
      </w:pPr>
      <w:r>
        <w:fldChar w:fldCharType="begin"/>
      </w:r>
      <w:r>
        <w:instrText xml:space="preserve"> HYPERLINK \l "_Toc197884920" </w:instrText>
      </w:r>
      <w:r>
        <w:fldChar w:fldCharType="separate"/>
      </w:r>
      <w:r>
        <w:rPr>
          <w:rStyle w:val="21"/>
          <w:rFonts w:ascii="Times New Roman" w:hAnsi="Times New Roman" w:cs="Times New Roman"/>
          <w:sz w:val="24"/>
          <w:szCs w:val="24"/>
        </w:rPr>
        <w:t>Table 4: Knowledge, Attitude, and Practice towards Malaria Prevention among Mothers Attending Immunization at Public Health Facilities in Nekemte City</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_Toc197884920 \h </w:instrText>
      </w:r>
      <w:r>
        <w:rPr>
          <w:rFonts w:ascii="Times New Roman" w:hAnsi="Times New Roman" w:cs="Times New Roman"/>
          <w:sz w:val="24"/>
          <w:szCs w:val="24"/>
        </w:rPr>
        <w:fldChar w:fldCharType="separate"/>
      </w:r>
      <w:r>
        <w:rPr>
          <w:rFonts w:ascii="Times New Roman" w:hAnsi="Times New Roman" w:cs="Times New Roman"/>
          <w:sz w:val="24"/>
          <w:szCs w:val="24"/>
        </w:rPr>
        <w:t>39</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3E9C93D3">
      <w:pPr>
        <w:pStyle w:val="26"/>
        <w:tabs>
          <w:tab w:val="right" w:leader="dot" w:pos="9530"/>
        </w:tabs>
        <w:spacing w:line="360" w:lineRule="auto"/>
        <w:jc w:val="both"/>
        <w:rPr>
          <w:rStyle w:val="21"/>
          <w:rFonts w:ascii="Times New Roman" w:hAnsi="Times New Roman" w:cs="Times New Roman"/>
          <w:sz w:val="24"/>
          <w:szCs w:val="24"/>
        </w:rPr>
      </w:pPr>
    </w:p>
    <w:p w14:paraId="74E12616">
      <w:pPr>
        <w:pStyle w:val="26"/>
        <w:tabs>
          <w:tab w:val="right" w:leader="dot" w:pos="9530"/>
        </w:tabs>
        <w:spacing w:line="360" w:lineRule="auto"/>
        <w:jc w:val="both"/>
        <w:rPr>
          <w:rFonts w:ascii="Times New Roman" w:hAnsi="Times New Roman" w:cs="Times New Roman"/>
          <w:sz w:val="24"/>
          <w:szCs w:val="24"/>
        </w:rPr>
      </w:pPr>
      <w:r>
        <w:fldChar w:fldCharType="begin"/>
      </w:r>
      <w:r>
        <w:instrText xml:space="preserve"> HYPERLINK \l "_Toc197884921" </w:instrText>
      </w:r>
      <w:r>
        <w:fldChar w:fldCharType="separate"/>
      </w:r>
      <w:r>
        <w:rPr>
          <w:rStyle w:val="21"/>
          <w:rFonts w:ascii="Times New Roman" w:hAnsi="Times New Roman" w:cs="Times New Roman"/>
          <w:sz w:val="24"/>
          <w:szCs w:val="24"/>
        </w:rPr>
        <w:t>Table 5: Factors associated with willingness to accept malaria vaccine among mothers attending immunization services at public health facilities in Nekemte city, west Ethiopia, May, 2025</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_Toc197884921 \h </w:instrText>
      </w:r>
      <w:r>
        <w:rPr>
          <w:rFonts w:ascii="Times New Roman" w:hAnsi="Times New Roman" w:cs="Times New Roman"/>
          <w:sz w:val="24"/>
          <w:szCs w:val="24"/>
        </w:rPr>
        <w:fldChar w:fldCharType="separate"/>
      </w:r>
      <w:r>
        <w:rPr>
          <w:rFonts w:ascii="Times New Roman" w:hAnsi="Times New Roman" w:cs="Times New Roman"/>
          <w:sz w:val="24"/>
          <w:szCs w:val="24"/>
        </w:rPr>
        <w:t>42</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0A58E5B1">
      <w:pPr>
        <w:spacing w:after="200" w:line="360" w:lineRule="auto"/>
        <w:jc w:val="both"/>
        <w:rPr>
          <w:rFonts w:eastAsia="Times New Roman" w:asciiTheme="majorHAnsi" w:hAnsiTheme="majorHAnsi" w:cstheme="majorBidi"/>
          <w:b/>
          <w:bCs/>
          <w:color w:val="376092" w:themeColor="accent1" w:themeShade="BF"/>
          <w:sz w:val="28"/>
          <w:szCs w:val="28"/>
        </w:rPr>
      </w:pPr>
      <w:r>
        <w:rPr>
          <w:rFonts w:ascii="Times New Roman" w:hAnsi="Times New Roman" w:eastAsia="Times New Roman" w:cs="Times New Roman"/>
          <w:sz w:val="24"/>
          <w:szCs w:val="24"/>
        </w:rPr>
        <w:fldChar w:fldCharType="end"/>
      </w:r>
      <w:r>
        <w:rPr>
          <w:rFonts w:eastAsia="Times New Roman"/>
        </w:rPr>
        <w:br w:type="page"/>
      </w:r>
    </w:p>
    <w:p w14:paraId="0F0B22B8">
      <w:pPr>
        <w:pStyle w:val="2"/>
        <w:rPr>
          <w:rFonts w:ascii="Times New Roman" w:hAnsi="Times New Roman" w:eastAsia="Times New Roman" w:cs="Times New Roman"/>
        </w:rPr>
      </w:pPr>
      <w:bookmarkStart w:id="31" w:name="_Toc198635431"/>
      <w:r>
        <w:rPr>
          <w:rFonts w:ascii="Times New Roman" w:hAnsi="Times New Roman" w:eastAsia="Times New Roman" w:cs="Times New Roman"/>
        </w:rPr>
        <w:t>List of Figures</w:t>
      </w:r>
      <w:bookmarkEnd w:id="31"/>
      <w:r>
        <w:rPr>
          <w:rFonts w:ascii="Times New Roman" w:hAnsi="Times New Roman" w:eastAsia="Times New Roman" w:cs="Times New Roman"/>
        </w:rPr>
        <w:t xml:space="preserve"> </w:t>
      </w:r>
    </w:p>
    <w:p w14:paraId="13C42FCA"/>
    <w:p w14:paraId="3857EF17">
      <w:pPr>
        <w:pStyle w:val="26"/>
        <w:tabs>
          <w:tab w:val="right" w:leader="dot" w:pos="9530"/>
        </w:tabs>
        <w:spacing w:line="360" w:lineRule="auto"/>
        <w:rPr>
          <w:rFonts w:ascii="Times New Roman" w:hAnsi="Times New Roman" w:cs="Times New Roman"/>
          <w:sz w:val="24"/>
          <w:szCs w:val="24"/>
        </w:rPr>
      </w:pPr>
      <w:r>
        <w:rPr>
          <w:rFonts w:ascii="Times New Roman" w:hAnsi="Times New Roman" w:eastAsia="Times New Roman" w:cs="Times New Roman"/>
          <w:sz w:val="24"/>
          <w:szCs w:val="24"/>
        </w:rPr>
        <w:fldChar w:fldCharType="begin"/>
      </w:r>
      <w:r>
        <w:rPr>
          <w:rFonts w:ascii="Times New Roman" w:hAnsi="Times New Roman" w:eastAsia="Times New Roman" w:cs="Times New Roman"/>
          <w:sz w:val="24"/>
          <w:szCs w:val="24"/>
        </w:rPr>
        <w:instrText xml:space="preserve"> TOC \h \z \c "Figure" </w:instrText>
      </w:r>
      <w:r>
        <w:rPr>
          <w:rFonts w:ascii="Times New Roman" w:hAnsi="Times New Roman" w:eastAsia="Times New Roman" w:cs="Times New Roman"/>
          <w:sz w:val="24"/>
          <w:szCs w:val="24"/>
        </w:rPr>
        <w:fldChar w:fldCharType="separate"/>
      </w:r>
      <w:r>
        <w:fldChar w:fldCharType="begin"/>
      </w:r>
      <w:r>
        <w:instrText xml:space="preserve"> HYPERLINK \l "_Toc197885023" </w:instrText>
      </w:r>
      <w:r>
        <w:fldChar w:fldCharType="separate"/>
      </w:r>
      <w:r>
        <w:rPr>
          <w:rStyle w:val="21"/>
          <w:rFonts w:ascii="Times New Roman" w:hAnsi="Times New Roman" w:cs="Times New Roman"/>
          <w:sz w:val="24"/>
          <w:szCs w:val="24"/>
        </w:rPr>
        <w:t>Figure 1 Conceptual</w:t>
      </w:r>
      <w:r>
        <w:rPr>
          <w:rStyle w:val="21"/>
          <w:rFonts w:ascii="Times New Roman" w:hAnsi="Times New Roman" w:eastAsia="Times New Roman" w:cs="Times New Roman"/>
          <w:sz w:val="24"/>
          <w:szCs w:val="24"/>
        </w:rPr>
        <w:t xml:space="preserve"> frame work for variables related to acceptance of the malaria vaccine and developed from different Literature review (19,32–34)</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_Toc197885023 \h </w:instrText>
      </w:r>
      <w:r>
        <w:rPr>
          <w:rFonts w:ascii="Times New Roman" w:hAnsi="Times New Roman" w:cs="Times New Roman"/>
          <w:sz w:val="24"/>
          <w:szCs w:val="24"/>
        </w:rPr>
        <w:fldChar w:fldCharType="separate"/>
      </w:r>
      <w:r>
        <w:rPr>
          <w:rFonts w:ascii="Times New Roman" w:hAnsi="Times New Roman" w:cs="Times New Roman"/>
          <w:sz w:val="24"/>
          <w:szCs w:val="24"/>
        </w:rPr>
        <w:t>23</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48BB31E6">
      <w:pPr>
        <w:pStyle w:val="26"/>
        <w:tabs>
          <w:tab w:val="right" w:leader="dot" w:pos="9530"/>
        </w:tabs>
        <w:spacing w:line="360" w:lineRule="auto"/>
        <w:rPr>
          <w:rStyle w:val="21"/>
          <w:rFonts w:ascii="Times New Roman" w:hAnsi="Times New Roman" w:cs="Times New Roman"/>
          <w:sz w:val="24"/>
          <w:szCs w:val="24"/>
        </w:rPr>
      </w:pPr>
    </w:p>
    <w:p w14:paraId="4A4C3DB9">
      <w:pPr>
        <w:pStyle w:val="26"/>
        <w:tabs>
          <w:tab w:val="right" w:leader="dot" w:pos="9530"/>
        </w:tabs>
        <w:spacing w:line="360" w:lineRule="auto"/>
        <w:rPr>
          <w:rFonts w:ascii="Times New Roman" w:hAnsi="Times New Roman" w:cs="Times New Roman"/>
          <w:sz w:val="24"/>
          <w:szCs w:val="24"/>
        </w:rPr>
      </w:pPr>
      <w:r>
        <w:fldChar w:fldCharType="begin"/>
      </w:r>
      <w:r>
        <w:instrText xml:space="preserve"> HYPERLINK \l "_Toc197885024" </w:instrText>
      </w:r>
      <w:r>
        <w:fldChar w:fldCharType="separate"/>
      </w:r>
      <w:r>
        <w:rPr>
          <w:rStyle w:val="21"/>
          <w:rFonts w:ascii="Times New Roman" w:hAnsi="Times New Roman" w:cs="Times New Roman"/>
          <w:sz w:val="24"/>
          <w:szCs w:val="24"/>
        </w:rPr>
        <w:t>Figure 2: schematic presentation of sampling technique for the study.</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_Toc197885024 \h </w:instrText>
      </w:r>
      <w:r>
        <w:rPr>
          <w:rFonts w:ascii="Times New Roman" w:hAnsi="Times New Roman" w:cs="Times New Roman"/>
          <w:sz w:val="24"/>
          <w:szCs w:val="24"/>
        </w:rPr>
        <w:fldChar w:fldCharType="separate"/>
      </w:r>
      <w:r>
        <w:rPr>
          <w:rFonts w:ascii="Times New Roman" w:hAnsi="Times New Roman" w:cs="Times New Roman"/>
          <w:sz w:val="24"/>
          <w:szCs w:val="24"/>
        </w:rPr>
        <w:t>27</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35201DF4">
      <w:pPr>
        <w:pStyle w:val="26"/>
        <w:tabs>
          <w:tab w:val="right" w:leader="dot" w:pos="9530"/>
        </w:tabs>
        <w:spacing w:line="360" w:lineRule="auto"/>
        <w:rPr>
          <w:rStyle w:val="21"/>
          <w:rFonts w:ascii="Times New Roman" w:hAnsi="Times New Roman" w:cs="Times New Roman"/>
          <w:sz w:val="24"/>
          <w:szCs w:val="24"/>
        </w:rPr>
      </w:pPr>
    </w:p>
    <w:p w14:paraId="15507D76">
      <w:pPr>
        <w:pStyle w:val="26"/>
        <w:tabs>
          <w:tab w:val="right" w:leader="dot" w:pos="9530"/>
        </w:tabs>
        <w:spacing w:line="360" w:lineRule="auto"/>
        <w:rPr>
          <w:rFonts w:ascii="Times New Roman" w:hAnsi="Times New Roman" w:cs="Times New Roman"/>
          <w:sz w:val="24"/>
          <w:szCs w:val="24"/>
        </w:rPr>
      </w:pPr>
      <w:r>
        <w:fldChar w:fldCharType="begin"/>
      </w:r>
      <w:r>
        <w:instrText xml:space="preserve"> HYPERLINK \l "_Toc197885025" </w:instrText>
      </w:r>
      <w:r>
        <w:fldChar w:fldCharType="separate"/>
      </w:r>
      <w:r>
        <w:rPr>
          <w:rStyle w:val="21"/>
          <w:rFonts w:ascii="Times New Roman" w:hAnsi="Times New Roman" w:cs="Times New Roman"/>
          <w:sz w:val="24"/>
          <w:szCs w:val="24"/>
        </w:rPr>
        <w:t>Figure 3: Knowledge about child immunization of mothers who were attending public health facilities for immunization in Nekemte town 2025.</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_Toc197885025 \h </w:instrText>
      </w:r>
      <w:r>
        <w:rPr>
          <w:rFonts w:ascii="Times New Roman" w:hAnsi="Times New Roman" w:cs="Times New Roman"/>
          <w:sz w:val="24"/>
          <w:szCs w:val="24"/>
        </w:rPr>
        <w:fldChar w:fldCharType="separate"/>
      </w:r>
      <w:r>
        <w:rPr>
          <w:rFonts w:ascii="Times New Roman" w:hAnsi="Times New Roman" w:cs="Times New Roman"/>
          <w:sz w:val="24"/>
          <w:szCs w:val="24"/>
        </w:rPr>
        <w:t>35</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4F9A1728">
      <w:pPr>
        <w:pStyle w:val="26"/>
        <w:tabs>
          <w:tab w:val="right" w:leader="dot" w:pos="9530"/>
        </w:tabs>
        <w:spacing w:line="360" w:lineRule="auto"/>
        <w:rPr>
          <w:rStyle w:val="21"/>
          <w:rFonts w:ascii="Times New Roman" w:hAnsi="Times New Roman" w:cs="Times New Roman"/>
          <w:sz w:val="24"/>
          <w:szCs w:val="24"/>
        </w:rPr>
      </w:pPr>
    </w:p>
    <w:p w14:paraId="45253B5F">
      <w:pPr>
        <w:pStyle w:val="26"/>
        <w:tabs>
          <w:tab w:val="right" w:leader="dot" w:pos="9530"/>
        </w:tabs>
        <w:spacing w:line="360" w:lineRule="auto"/>
        <w:rPr>
          <w:rFonts w:ascii="Times New Roman" w:hAnsi="Times New Roman" w:cs="Times New Roman"/>
          <w:sz w:val="24"/>
          <w:szCs w:val="24"/>
        </w:rPr>
      </w:pPr>
      <w:r>
        <w:fldChar w:fldCharType="begin"/>
      </w:r>
      <w:r>
        <w:instrText xml:space="preserve"> HYPERLINK \l "_Toc197885026" </w:instrText>
      </w:r>
      <w:r>
        <w:fldChar w:fldCharType="separate"/>
      </w:r>
      <w:r>
        <w:rPr>
          <w:rStyle w:val="21"/>
          <w:rFonts w:ascii="Times New Roman" w:hAnsi="Times New Roman" w:cs="Times New Roman"/>
          <w:sz w:val="24"/>
          <w:szCs w:val="24"/>
        </w:rPr>
        <w:t>Figure 4: Willingness of mothers for taking injectable vaccine and a four round of complete dose in case malaria vaccine for their child</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_Toc197885026 \h </w:instrText>
      </w:r>
      <w:r>
        <w:rPr>
          <w:rFonts w:ascii="Times New Roman" w:hAnsi="Times New Roman" w:cs="Times New Roman"/>
          <w:sz w:val="24"/>
          <w:szCs w:val="24"/>
        </w:rPr>
        <w:fldChar w:fldCharType="separate"/>
      </w:r>
      <w:r>
        <w:rPr>
          <w:rFonts w:ascii="Times New Roman" w:hAnsi="Times New Roman" w:cs="Times New Roman"/>
          <w:sz w:val="24"/>
          <w:szCs w:val="24"/>
        </w:rPr>
        <w:t>37</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662C9A89">
      <w:pPr>
        <w:pStyle w:val="26"/>
        <w:tabs>
          <w:tab w:val="right" w:leader="dot" w:pos="9530"/>
        </w:tabs>
        <w:spacing w:line="360" w:lineRule="auto"/>
        <w:rPr>
          <w:rStyle w:val="21"/>
          <w:rFonts w:ascii="Times New Roman" w:hAnsi="Times New Roman" w:cs="Times New Roman"/>
          <w:sz w:val="24"/>
          <w:szCs w:val="24"/>
        </w:rPr>
      </w:pPr>
    </w:p>
    <w:p w14:paraId="13D72D0D">
      <w:pPr>
        <w:pStyle w:val="26"/>
        <w:tabs>
          <w:tab w:val="right" w:leader="dot" w:pos="9530"/>
        </w:tabs>
        <w:spacing w:line="360" w:lineRule="auto"/>
        <w:rPr>
          <w:rFonts w:ascii="Times New Roman" w:hAnsi="Times New Roman" w:cs="Times New Roman"/>
          <w:sz w:val="24"/>
          <w:szCs w:val="24"/>
        </w:rPr>
      </w:pPr>
      <w:r>
        <w:fldChar w:fldCharType="begin"/>
      </w:r>
      <w:r>
        <w:instrText xml:space="preserve"> HYPERLINK \l "_Toc197885027" </w:instrText>
      </w:r>
      <w:r>
        <w:fldChar w:fldCharType="separate"/>
      </w:r>
      <w:r>
        <w:rPr>
          <w:rStyle w:val="21"/>
          <w:rFonts w:ascii="Times New Roman" w:hAnsi="Times New Roman" w:cs="Times New Roman"/>
          <w:sz w:val="24"/>
          <w:szCs w:val="24"/>
        </w:rPr>
        <w:t>Figure 5: Willingness of mothers to accept malaria vaccine to their children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_Toc197885027 \h </w:instrText>
      </w:r>
      <w:r>
        <w:rPr>
          <w:rFonts w:ascii="Times New Roman" w:hAnsi="Times New Roman" w:cs="Times New Roman"/>
          <w:sz w:val="24"/>
          <w:szCs w:val="24"/>
        </w:rPr>
        <w:fldChar w:fldCharType="separate"/>
      </w:r>
      <w:r>
        <w:rPr>
          <w:rFonts w:ascii="Times New Roman" w:hAnsi="Times New Roman" w:cs="Times New Roman"/>
          <w:sz w:val="24"/>
          <w:szCs w:val="24"/>
        </w:rPr>
        <w:t>40</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784698D5">
      <w:pPr>
        <w:pStyle w:val="26"/>
        <w:tabs>
          <w:tab w:val="right" w:leader="dot" w:pos="9530"/>
        </w:tabs>
        <w:spacing w:line="360" w:lineRule="auto"/>
        <w:rPr>
          <w:rStyle w:val="21"/>
          <w:rFonts w:ascii="Times New Roman" w:hAnsi="Times New Roman" w:cs="Times New Roman"/>
          <w:sz w:val="24"/>
          <w:szCs w:val="24"/>
        </w:rPr>
      </w:pPr>
    </w:p>
    <w:p w14:paraId="48A5CB32">
      <w:pPr>
        <w:pStyle w:val="26"/>
        <w:tabs>
          <w:tab w:val="right" w:leader="dot" w:pos="9530"/>
        </w:tabs>
        <w:spacing w:line="360" w:lineRule="auto"/>
        <w:rPr>
          <w:rFonts w:ascii="Times New Roman" w:hAnsi="Times New Roman" w:cs="Times New Roman"/>
          <w:sz w:val="24"/>
          <w:szCs w:val="24"/>
        </w:rPr>
      </w:pPr>
      <w:r>
        <w:fldChar w:fldCharType="begin"/>
      </w:r>
      <w:r>
        <w:instrText xml:space="preserve"> HYPERLINK \l "_Toc197885028" </w:instrText>
      </w:r>
      <w:r>
        <w:fldChar w:fldCharType="separate"/>
      </w:r>
      <w:r>
        <w:rPr>
          <w:rStyle w:val="21"/>
          <w:rFonts w:ascii="Times New Roman" w:hAnsi="Times New Roman" w:cs="Times New Roman"/>
          <w:sz w:val="24"/>
          <w:szCs w:val="24"/>
        </w:rPr>
        <w:t>Figure 6: Reasons of unwillingness to vaccinate their child against malaria</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_Toc197885028 \h </w:instrText>
      </w:r>
      <w:r>
        <w:rPr>
          <w:rFonts w:ascii="Times New Roman" w:hAnsi="Times New Roman" w:cs="Times New Roman"/>
          <w:sz w:val="24"/>
          <w:szCs w:val="24"/>
        </w:rPr>
        <w:fldChar w:fldCharType="separate"/>
      </w:r>
      <w:r>
        <w:rPr>
          <w:rFonts w:ascii="Times New Roman" w:hAnsi="Times New Roman" w:cs="Times New Roman"/>
          <w:sz w:val="24"/>
          <w:szCs w:val="24"/>
        </w:rPr>
        <w:t>40</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2115A7CF">
      <w:pPr>
        <w:spacing w:after="200" w:line="360" w:lineRule="auto"/>
        <w:rPr>
          <w:rFonts w:ascii="Times New Roman" w:hAnsi="Times New Roman" w:eastAsia="Times New Roman" w:cs="Times New Roman"/>
          <w:b/>
          <w:bCs/>
          <w:color w:val="376092" w:themeColor="accent1" w:themeShade="BF"/>
          <w:sz w:val="24"/>
          <w:szCs w:val="24"/>
        </w:rPr>
      </w:pPr>
      <w:r>
        <w:rPr>
          <w:rFonts w:ascii="Times New Roman" w:hAnsi="Times New Roman" w:eastAsia="Times New Roman" w:cs="Times New Roman"/>
          <w:sz w:val="24"/>
          <w:szCs w:val="24"/>
        </w:rPr>
        <w:fldChar w:fldCharType="end"/>
      </w:r>
      <w:r>
        <w:rPr>
          <w:rFonts w:ascii="Times New Roman" w:hAnsi="Times New Roman" w:eastAsia="Times New Roman" w:cs="Times New Roman"/>
          <w:sz w:val="24"/>
          <w:szCs w:val="24"/>
        </w:rPr>
        <w:br w:type="page"/>
      </w:r>
    </w:p>
    <w:p w14:paraId="4498F2DC">
      <w:pPr>
        <w:pStyle w:val="2"/>
        <w:ind w:left="720" w:leftChars="0"/>
        <w:rPr>
          <w:rFonts w:ascii="Times New Roman" w:hAnsi="Times New Roman" w:cs="Times New Roman"/>
        </w:rPr>
      </w:pPr>
      <w:bookmarkStart w:id="32" w:name="_Toc198635432"/>
      <w:r>
        <w:rPr>
          <w:rFonts w:ascii="Times New Roman" w:hAnsi="Times New Roman" w:cs="Times New Roman"/>
        </w:rPr>
        <w:t xml:space="preserve">Acronyms </w:t>
      </w:r>
      <w:bookmarkEnd w:id="32"/>
      <w:r>
        <w:rPr>
          <w:rFonts w:ascii="Times New Roman" w:hAnsi="Times New Roman" w:cs="Times New Roman"/>
        </w:rPr>
        <w:t xml:space="preserve"> </w:t>
      </w:r>
    </w:p>
    <w:p w14:paraId="47C6C4B9">
      <w:pPr>
        <w:keepNext/>
        <w:keepLines/>
        <w:spacing w:before="480" w:line="360" w:lineRule="auto"/>
        <w:ind w:left="720" w:leftChars="0"/>
        <w:contextualSpacing/>
        <w:outlineLvl w:val="0"/>
        <w:rPr>
          <w:rFonts w:ascii="Times New Roman" w:hAnsi="Times New Roman" w:eastAsia="Times New Roman" w:cs="Times New Roman"/>
          <w:bCs/>
          <w:sz w:val="24"/>
          <w:szCs w:val="24"/>
        </w:rPr>
      </w:pPr>
      <w:bookmarkStart w:id="33" w:name="_Toc198635433"/>
      <w:bookmarkStart w:id="34" w:name="_Toc198621965"/>
      <w:bookmarkStart w:id="35" w:name="_Toc197374341"/>
      <w:bookmarkStart w:id="36" w:name="_Toc187328304"/>
      <w:bookmarkStart w:id="37" w:name="_Toc197885164"/>
      <w:bookmarkStart w:id="38" w:name="_Toc197767171"/>
      <w:bookmarkStart w:id="39" w:name="_Toc197374329"/>
      <w:bookmarkStart w:id="40" w:name="_Toc197767159"/>
      <w:bookmarkStart w:id="41" w:name="_Toc181910639"/>
      <w:bookmarkStart w:id="42" w:name="_Toc187328292"/>
      <w:bookmarkStart w:id="43" w:name="_Toc185491463"/>
      <w:bookmarkStart w:id="44" w:name="_Toc185492498"/>
      <w:bookmarkStart w:id="45" w:name="_Toc185190126"/>
      <w:r>
        <w:rPr>
          <w:rFonts w:ascii="Times New Roman" w:hAnsi="Times New Roman" w:eastAsia="Times New Roman" w:cs="Times New Roman"/>
          <w:b/>
          <w:bCs w:val="0"/>
          <w:sz w:val="24"/>
          <w:szCs w:val="24"/>
        </w:rPr>
        <w:t>BSC-</w:t>
      </w:r>
      <w:r>
        <w:rPr>
          <w:rFonts w:hint="default" w:ascii="Times New Roman" w:hAnsi="Times New Roman" w:eastAsia="Times New Roman" w:cs="Times New Roman"/>
          <w:b/>
          <w:bCs w:val="0"/>
          <w:sz w:val="24"/>
          <w:szCs w:val="24"/>
          <w:lang w:val="en-US"/>
        </w:rPr>
        <w:t>-</w:t>
      </w:r>
      <w:r>
        <w:rPr>
          <w:rFonts w:ascii="Times New Roman" w:hAnsi="Times New Roman" w:eastAsia="Times New Roman" w:cs="Times New Roman"/>
          <w:bCs/>
          <w:sz w:val="24"/>
          <w:szCs w:val="24"/>
        </w:rPr>
        <w:t xml:space="preserve"> Bachelor of Science</w:t>
      </w:r>
      <w:bookmarkEnd w:id="33"/>
      <w:bookmarkEnd w:id="34"/>
      <w:bookmarkEnd w:id="35"/>
      <w:bookmarkEnd w:id="36"/>
      <w:bookmarkEnd w:id="37"/>
      <w:bookmarkEnd w:id="38"/>
    </w:p>
    <w:p w14:paraId="30D73BA9">
      <w:pPr>
        <w:keepNext/>
        <w:keepLines/>
        <w:spacing w:before="480" w:line="360" w:lineRule="auto"/>
        <w:ind w:left="720" w:leftChars="0"/>
        <w:contextualSpacing/>
        <w:outlineLvl w:val="0"/>
        <w:rPr>
          <w:rFonts w:ascii="Times New Roman" w:hAnsi="Times New Roman" w:eastAsia="Times New Roman" w:cs="Times New Roman"/>
          <w:sz w:val="24"/>
          <w:szCs w:val="24"/>
        </w:rPr>
      </w:pPr>
      <w:bookmarkStart w:id="46" w:name="_Toc197885165"/>
      <w:bookmarkStart w:id="47" w:name="_Toc198635434"/>
      <w:bookmarkStart w:id="48" w:name="_Toc198621966"/>
      <w:r>
        <w:rPr>
          <w:rFonts w:ascii="Times New Roman" w:hAnsi="Times New Roman" w:eastAsia="Times New Roman" w:cs="Times New Roman"/>
          <w:b/>
          <w:bCs w:val="0"/>
          <w:sz w:val="24"/>
          <w:szCs w:val="24"/>
        </w:rPr>
        <w:t>CI-</w:t>
      </w:r>
      <w:r>
        <w:rPr>
          <w:rFonts w:hint="default" w:ascii="Times New Roman" w:hAnsi="Times New Roman" w:eastAsia="Times New Roman" w:cs="Times New Roman"/>
          <w:b/>
          <w:bCs w:val="0"/>
          <w:sz w:val="24"/>
          <w:szCs w:val="24"/>
          <w:lang w:val="en-US"/>
        </w:rPr>
        <w:t>-</w:t>
      </w:r>
      <w:r>
        <w:rPr>
          <w:rFonts w:ascii="Times New Roman" w:hAnsi="Times New Roman" w:eastAsia="Times New Roman" w:cs="Times New Roman"/>
          <w:sz w:val="24"/>
          <w:szCs w:val="24"/>
        </w:rPr>
        <w:t xml:space="preserve"> Confidence Intervals</w:t>
      </w:r>
      <w:bookmarkEnd w:id="39"/>
      <w:bookmarkEnd w:id="40"/>
      <w:bookmarkEnd w:id="41"/>
      <w:bookmarkEnd w:id="42"/>
      <w:bookmarkEnd w:id="43"/>
      <w:bookmarkEnd w:id="44"/>
      <w:bookmarkEnd w:id="45"/>
      <w:bookmarkEnd w:id="46"/>
      <w:bookmarkEnd w:id="47"/>
      <w:bookmarkEnd w:id="48"/>
      <w:bookmarkStart w:id="49" w:name="_Toc187328293"/>
      <w:bookmarkStart w:id="50" w:name="_Toc185492499"/>
      <w:bookmarkStart w:id="51" w:name="_Toc181910640"/>
      <w:bookmarkStart w:id="52" w:name="_Toc185190127"/>
      <w:bookmarkStart w:id="53" w:name="_Toc185491464"/>
      <w:bookmarkStart w:id="54" w:name="_Toc197374330"/>
    </w:p>
    <w:p w14:paraId="262E52F3">
      <w:pPr>
        <w:keepNext/>
        <w:keepLines/>
        <w:spacing w:before="480" w:line="360" w:lineRule="auto"/>
        <w:ind w:left="720" w:leftChars="0"/>
        <w:contextualSpacing/>
        <w:outlineLvl w:val="0"/>
        <w:rPr>
          <w:rFonts w:ascii="Times New Roman" w:hAnsi="Times New Roman" w:eastAsia="Times New Roman" w:cs="Times New Roman"/>
          <w:bCs/>
          <w:sz w:val="24"/>
          <w:szCs w:val="24"/>
        </w:rPr>
      </w:pPr>
      <w:bookmarkStart w:id="55" w:name="_Toc197374340"/>
      <w:bookmarkStart w:id="56" w:name="_Toc198635435"/>
      <w:bookmarkStart w:id="57" w:name="_Toc187328303"/>
      <w:bookmarkStart w:id="58" w:name="_Toc197767170"/>
      <w:bookmarkStart w:id="59" w:name="_Toc197885166"/>
      <w:bookmarkStart w:id="60" w:name="_Toc198621967"/>
      <w:r>
        <w:rPr>
          <w:rFonts w:ascii="Times New Roman" w:hAnsi="Times New Roman" w:eastAsia="Times New Roman" w:cs="Times New Roman"/>
          <w:b/>
          <w:bCs w:val="0"/>
          <w:sz w:val="24"/>
          <w:szCs w:val="24"/>
        </w:rPr>
        <w:t>HC</w:t>
      </w:r>
      <w:r>
        <w:rPr>
          <w:rFonts w:ascii="Times New Roman" w:hAnsi="Times New Roman" w:eastAsia="Times New Roman" w:cs="Times New Roman"/>
          <w:bCs/>
          <w:sz w:val="24"/>
          <w:szCs w:val="24"/>
        </w:rPr>
        <w:t>-</w:t>
      </w:r>
      <w:r>
        <w:rPr>
          <w:rFonts w:hint="default" w:ascii="Times New Roman" w:hAnsi="Times New Roman" w:eastAsia="Times New Roman" w:cs="Times New Roman"/>
          <w:bCs/>
          <w:sz w:val="24"/>
          <w:szCs w:val="24"/>
          <w:lang w:val="en-US"/>
        </w:rPr>
        <w:t>-</w:t>
      </w:r>
      <w:r>
        <w:rPr>
          <w:rFonts w:ascii="Times New Roman" w:hAnsi="Times New Roman" w:eastAsia="Times New Roman" w:cs="Times New Roman"/>
          <w:bCs/>
          <w:sz w:val="24"/>
          <w:szCs w:val="24"/>
        </w:rPr>
        <w:t>Health Center</w:t>
      </w:r>
      <w:bookmarkEnd w:id="55"/>
      <w:bookmarkEnd w:id="56"/>
      <w:bookmarkEnd w:id="57"/>
      <w:bookmarkEnd w:id="58"/>
      <w:bookmarkEnd w:id="59"/>
      <w:bookmarkEnd w:id="60"/>
    </w:p>
    <w:p w14:paraId="13C99CF4">
      <w:pPr>
        <w:keepNext/>
        <w:keepLines/>
        <w:spacing w:before="480" w:line="360" w:lineRule="auto"/>
        <w:ind w:left="720" w:leftChars="0"/>
        <w:contextualSpacing/>
        <w:outlineLvl w:val="0"/>
        <w:rPr>
          <w:rFonts w:ascii="Times New Roman" w:hAnsi="Times New Roman" w:eastAsia="Times New Roman" w:cs="Times New Roman"/>
          <w:bCs/>
          <w:sz w:val="24"/>
          <w:szCs w:val="24"/>
        </w:rPr>
      </w:pPr>
      <w:bookmarkStart w:id="61" w:name="_Toc197767160"/>
      <w:bookmarkStart w:id="62" w:name="_Toc198635436"/>
      <w:bookmarkStart w:id="63" w:name="_Toc198621968"/>
      <w:bookmarkStart w:id="64" w:name="_Toc197885167"/>
      <w:r>
        <w:rPr>
          <w:rFonts w:ascii="Times New Roman" w:hAnsi="Times New Roman" w:eastAsia="Times New Roman" w:cs="Times New Roman"/>
          <w:b/>
          <w:bCs/>
          <w:sz w:val="24"/>
          <w:szCs w:val="24"/>
        </w:rPr>
        <w:t>IRS-</w:t>
      </w:r>
      <w:r>
        <w:rPr>
          <w:rFonts w:hint="default" w:ascii="Times New Roman" w:hAnsi="Times New Roman" w:eastAsia="Times New Roman" w:cs="Times New Roman"/>
          <w:b/>
          <w:bCs/>
          <w:sz w:val="24"/>
          <w:szCs w:val="24"/>
          <w:lang w:val="en-US"/>
        </w:rPr>
        <w:t>-</w:t>
      </w:r>
      <w:r>
        <w:rPr>
          <w:rFonts w:ascii="Times New Roman" w:hAnsi="Times New Roman" w:eastAsia="Times New Roman" w:cs="Times New Roman"/>
          <w:sz w:val="24"/>
          <w:szCs w:val="24"/>
        </w:rPr>
        <w:t xml:space="preserve"> Indoor Residual Spraying</w:t>
      </w:r>
      <w:bookmarkEnd w:id="49"/>
      <w:bookmarkEnd w:id="50"/>
      <w:bookmarkEnd w:id="51"/>
      <w:bookmarkEnd w:id="52"/>
      <w:bookmarkEnd w:id="53"/>
      <w:bookmarkEnd w:id="54"/>
      <w:bookmarkEnd w:id="61"/>
      <w:bookmarkEnd w:id="62"/>
      <w:bookmarkEnd w:id="63"/>
      <w:bookmarkEnd w:id="64"/>
      <w:r>
        <w:rPr>
          <w:rFonts w:ascii="Times New Roman" w:hAnsi="Times New Roman" w:eastAsia="Times New Roman" w:cs="Times New Roman"/>
          <w:sz w:val="24"/>
          <w:szCs w:val="24"/>
        </w:rPr>
        <w:t xml:space="preserve"> </w:t>
      </w:r>
    </w:p>
    <w:p w14:paraId="1F514E7A">
      <w:pPr>
        <w:keepNext/>
        <w:keepLines/>
        <w:spacing w:before="480" w:line="360" w:lineRule="auto"/>
        <w:ind w:left="720" w:leftChars="0"/>
        <w:contextualSpacing/>
        <w:outlineLvl w:val="0"/>
        <w:rPr>
          <w:rFonts w:ascii="Times New Roman" w:hAnsi="Times New Roman" w:eastAsia="Times New Roman" w:cs="Times New Roman"/>
          <w:bCs/>
          <w:sz w:val="24"/>
          <w:szCs w:val="24"/>
        </w:rPr>
      </w:pPr>
      <w:bookmarkStart w:id="65" w:name="_Toc197374331"/>
      <w:bookmarkStart w:id="66" w:name="_Toc181910641"/>
      <w:bookmarkStart w:id="67" w:name="_Toc197767161"/>
      <w:bookmarkStart w:id="68" w:name="_Toc197885168"/>
      <w:bookmarkStart w:id="69" w:name="_Toc198635437"/>
      <w:bookmarkStart w:id="70" w:name="_Toc185492500"/>
      <w:bookmarkStart w:id="71" w:name="_Toc185190128"/>
      <w:bookmarkStart w:id="72" w:name="_Toc198621969"/>
      <w:bookmarkStart w:id="73" w:name="_Toc187328294"/>
      <w:bookmarkStart w:id="74" w:name="_Toc185491465"/>
      <w:r>
        <w:rPr>
          <w:rFonts w:ascii="Times New Roman" w:hAnsi="Times New Roman" w:eastAsia="Times New Roman" w:cs="Times New Roman"/>
          <w:b/>
          <w:bCs w:val="0"/>
          <w:sz w:val="24"/>
          <w:szCs w:val="24"/>
        </w:rPr>
        <w:t>ITNs-</w:t>
      </w:r>
      <w:r>
        <w:rPr>
          <w:rFonts w:hint="default" w:ascii="Times New Roman" w:hAnsi="Times New Roman" w:eastAsia="Times New Roman" w:cs="Times New Roman"/>
          <w:b/>
          <w:bCs w:val="0"/>
          <w:sz w:val="24"/>
          <w:szCs w:val="24"/>
          <w:lang w:val="en-US"/>
        </w:rPr>
        <w:t>-</w:t>
      </w:r>
      <w:r>
        <w:rPr>
          <w:rFonts w:ascii="Times New Roman" w:hAnsi="Times New Roman" w:eastAsia="Times New Roman" w:cs="Times New Roman"/>
          <w:bCs/>
          <w:sz w:val="24"/>
          <w:szCs w:val="24"/>
        </w:rPr>
        <w:t xml:space="preserve"> Insecticide Treated Bed Net</w:t>
      </w:r>
      <w:bookmarkEnd w:id="65"/>
      <w:bookmarkEnd w:id="66"/>
      <w:bookmarkEnd w:id="67"/>
      <w:bookmarkEnd w:id="68"/>
      <w:bookmarkEnd w:id="69"/>
      <w:bookmarkEnd w:id="70"/>
      <w:bookmarkEnd w:id="71"/>
      <w:bookmarkEnd w:id="72"/>
      <w:bookmarkEnd w:id="73"/>
      <w:bookmarkEnd w:id="74"/>
    </w:p>
    <w:p w14:paraId="6F65238E">
      <w:pPr>
        <w:keepNext/>
        <w:keepLines/>
        <w:spacing w:before="480" w:line="360" w:lineRule="auto"/>
        <w:ind w:left="720" w:leftChars="0"/>
        <w:contextualSpacing/>
        <w:outlineLvl w:val="0"/>
        <w:rPr>
          <w:rFonts w:ascii="Times New Roman" w:hAnsi="Times New Roman" w:eastAsia="Times New Roman" w:cs="Times New Roman"/>
          <w:bCs/>
          <w:sz w:val="24"/>
          <w:szCs w:val="24"/>
        </w:rPr>
      </w:pPr>
      <w:bookmarkStart w:id="75" w:name="_Toc185492501"/>
      <w:bookmarkStart w:id="76" w:name="_Toc181910642"/>
      <w:bookmarkStart w:id="77" w:name="_Toc185190129"/>
      <w:bookmarkStart w:id="78" w:name="_Toc198621970"/>
      <w:bookmarkStart w:id="79" w:name="_Toc185491466"/>
      <w:bookmarkStart w:id="80" w:name="_Toc197885169"/>
      <w:bookmarkStart w:id="81" w:name="_Toc197767162"/>
      <w:bookmarkStart w:id="82" w:name="_Toc187328295"/>
      <w:bookmarkStart w:id="83" w:name="_Toc198635438"/>
      <w:bookmarkStart w:id="84" w:name="_Toc197374332"/>
      <w:r>
        <w:rPr>
          <w:rFonts w:ascii="Times New Roman" w:hAnsi="Times New Roman" w:eastAsia="Times New Roman" w:cs="Times New Roman"/>
          <w:b/>
          <w:bCs w:val="0"/>
          <w:sz w:val="24"/>
          <w:szCs w:val="24"/>
        </w:rPr>
        <w:t>MR</w:t>
      </w:r>
      <w:r>
        <w:rPr>
          <w:rFonts w:ascii="Times New Roman" w:hAnsi="Times New Roman" w:eastAsia="Times New Roman" w:cs="Times New Roman"/>
          <w:bCs/>
          <w:sz w:val="24"/>
          <w:szCs w:val="24"/>
        </w:rPr>
        <w:t>-</w:t>
      </w:r>
      <w:r>
        <w:rPr>
          <w:rFonts w:hint="default" w:ascii="Times New Roman" w:hAnsi="Times New Roman" w:eastAsia="Times New Roman" w:cs="Times New Roman"/>
          <w:bCs/>
          <w:sz w:val="24"/>
          <w:szCs w:val="24"/>
          <w:lang w:val="en-US"/>
        </w:rPr>
        <w:t>-</w:t>
      </w:r>
      <w:r>
        <w:rPr>
          <w:rFonts w:ascii="Times New Roman" w:hAnsi="Times New Roman" w:eastAsia="Times New Roman" w:cs="Times New Roman"/>
          <w:bCs/>
          <w:sz w:val="24"/>
          <w:szCs w:val="24"/>
        </w:rPr>
        <w:t>Mister</w:t>
      </w:r>
      <w:bookmarkEnd w:id="75"/>
      <w:bookmarkEnd w:id="76"/>
      <w:bookmarkEnd w:id="77"/>
      <w:bookmarkEnd w:id="78"/>
      <w:bookmarkEnd w:id="79"/>
      <w:bookmarkEnd w:id="80"/>
      <w:bookmarkEnd w:id="81"/>
      <w:bookmarkEnd w:id="82"/>
      <w:bookmarkEnd w:id="83"/>
      <w:bookmarkEnd w:id="84"/>
    </w:p>
    <w:p w14:paraId="6109B1DF">
      <w:pPr>
        <w:keepNext/>
        <w:keepLines/>
        <w:spacing w:before="480" w:line="360" w:lineRule="auto"/>
        <w:ind w:left="720" w:leftChars="0"/>
        <w:contextualSpacing/>
        <w:outlineLvl w:val="0"/>
        <w:rPr>
          <w:rFonts w:ascii="Times New Roman" w:hAnsi="Times New Roman" w:eastAsia="Times New Roman" w:cs="Times New Roman"/>
          <w:bCs/>
          <w:sz w:val="24"/>
          <w:szCs w:val="24"/>
        </w:rPr>
      </w:pPr>
      <w:bookmarkStart w:id="85" w:name="_Toc185492502"/>
      <w:bookmarkStart w:id="86" w:name="_Toc198635439"/>
      <w:bookmarkStart w:id="87" w:name="_Toc198621971"/>
      <w:bookmarkStart w:id="88" w:name="_Toc197767163"/>
      <w:bookmarkStart w:id="89" w:name="_Toc187328296"/>
      <w:bookmarkStart w:id="90" w:name="_Toc181910643"/>
      <w:bookmarkStart w:id="91" w:name="_Toc197374333"/>
      <w:bookmarkStart w:id="92" w:name="_Toc185491467"/>
      <w:bookmarkStart w:id="93" w:name="_Toc185190130"/>
      <w:bookmarkStart w:id="94" w:name="_Toc197885170"/>
      <w:r>
        <w:rPr>
          <w:rFonts w:ascii="Times New Roman" w:hAnsi="Times New Roman" w:eastAsia="Times New Roman" w:cs="Times New Roman"/>
          <w:b/>
          <w:bCs w:val="0"/>
          <w:sz w:val="24"/>
          <w:szCs w:val="24"/>
        </w:rPr>
        <w:t>MVIP</w:t>
      </w:r>
      <w:r>
        <w:rPr>
          <w:rFonts w:ascii="Times New Roman" w:hAnsi="Times New Roman" w:eastAsia="Times New Roman" w:cs="Times New Roman"/>
          <w:bCs/>
          <w:sz w:val="24"/>
          <w:szCs w:val="24"/>
        </w:rPr>
        <w:t>-</w:t>
      </w:r>
      <w:r>
        <w:rPr>
          <w:rFonts w:hint="default" w:ascii="Times New Roman" w:hAnsi="Times New Roman" w:eastAsia="Times New Roman" w:cs="Times New Roman"/>
          <w:bCs/>
          <w:sz w:val="24"/>
          <w:szCs w:val="24"/>
          <w:lang w:val="en-US"/>
        </w:rPr>
        <w:t>-</w:t>
      </w:r>
      <w:r>
        <w:rPr>
          <w:rFonts w:ascii="Times New Roman" w:hAnsi="Times New Roman" w:eastAsia="Times New Roman" w:cs="Times New Roman"/>
          <w:bCs/>
          <w:sz w:val="24"/>
          <w:szCs w:val="24"/>
        </w:rPr>
        <w:t>Malaria Vaccine Implementation Programme</w:t>
      </w:r>
      <w:bookmarkEnd w:id="85"/>
      <w:bookmarkEnd w:id="86"/>
      <w:bookmarkEnd w:id="87"/>
      <w:bookmarkEnd w:id="88"/>
      <w:bookmarkEnd w:id="89"/>
      <w:bookmarkEnd w:id="90"/>
      <w:bookmarkEnd w:id="91"/>
      <w:bookmarkEnd w:id="92"/>
      <w:bookmarkEnd w:id="93"/>
      <w:bookmarkEnd w:id="94"/>
    </w:p>
    <w:p w14:paraId="433C1561">
      <w:pPr>
        <w:keepNext/>
        <w:keepLines/>
        <w:spacing w:before="480" w:line="360" w:lineRule="auto"/>
        <w:ind w:left="720" w:leftChars="0"/>
        <w:contextualSpacing/>
        <w:outlineLvl w:val="0"/>
        <w:rPr>
          <w:rFonts w:ascii="Times New Roman" w:hAnsi="Times New Roman" w:eastAsia="Times New Roman" w:cs="Times New Roman"/>
          <w:bCs/>
          <w:sz w:val="24"/>
          <w:szCs w:val="24"/>
        </w:rPr>
      </w:pPr>
      <w:bookmarkStart w:id="95" w:name="_Toc185491468"/>
      <w:bookmarkStart w:id="96" w:name="_Toc181910644"/>
      <w:bookmarkStart w:id="97" w:name="_Toc187328297"/>
      <w:bookmarkStart w:id="98" w:name="_Toc197374334"/>
      <w:bookmarkStart w:id="99" w:name="_Toc198621972"/>
      <w:bookmarkStart w:id="100" w:name="_Toc198635440"/>
      <w:bookmarkStart w:id="101" w:name="_Toc197885171"/>
      <w:bookmarkStart w:id="102" w:name="_Toc185190131"/>
      <w:bookmarkStart w:id="103" w:name="_Toc185492503"/>
      <w:bookmarkStart w:id="104" w:name="_Toc197767164"/>
      <w:r>
        <w:rPr>
          <w:rFonts w:ascii="Times New Roman" w:hAnsi="Times New Roman" w:eastAsia="Times New Roman" w:cs="Times New Roman"/>
          <w:b/>
          <w:bCs w:val="0"/>
          <w:sz w:val="24"/>
          <w:szCs w:val="24"/>
        </w:rPr>
        <w:t>OR-</w:t>
      </w:r>
      <w:r>
        <w:rPr>
          <w:rFonts w:hint="default" w:ascii="Times New Roman" w:hAnsi="Times New Roman" w:eastAsia="Times New Roman" w:cs="Times New Roman"/>
          <w:b/>
          <w:bCs w:val="0"/>
          <w:sz w:val="24"/>
          <w:szCs w:val="24"/>
          <w:lang w:val="en-US"/>
        </w:rPr>
        <w:t>-</w:t>
      </w:r>
      <w:r>
        <w:rPr>
          <w:rFonts w:ascii="Times New Roman" w:hAnsi="Times New Roman" w:eastAsia="Times New Roman" w:cs="Times New Roman"/>
          <w:bCs/>
          <w:sz w:val="24"/>
          <w:szCs w:val="24"/>
        </w:rPr>
        <w:t xml:space="preserve"> Odds Ratios</w:t>
      </w:r>
      <w:bookmarkEnd w:id="95"/>
      <w:bookmarkEnd w:id="96"/>
      <w:bookmarkEnd w:id="97"/>
      <w:bookmarkEnd w:id="98"/>
      <w:bookmarkEnd w:id="99"/>
      <w:bookmarkEnd w:id="100"/>
      <w:bookmarkEnd w:id="101"/>
      <w:bookmarkEnd w:id="102"/>
      <w:bookmarkEnd w:id="103"/>
      <w:bookmarkEnd w:id="104"/>
    </w:p>
    <w:p w14:paraId="7EA14CC6">
      <w:pPr>
        <w:keepNext/>
        <w:keepLines/>
        <w:spacing w:before="480" w:line="360" w:lineRule="auto"/>
        <w:ind w:left="720" w:leftChars="0"/>
        <w:contextualSpacing/>
        <w:outlineLvl w:val="0"/>
        <w:rPr>
          <w:rFonts w:ascii="Times New Roman" w:hAnsi="Times New Roman" w:eastAsia="Times New Roman" w:cs="Times New Roman"/>
          <w:bCs/>
          <w:sz w:val="24"/>
          <w:szCs w:val="24"/>
        </w:rPr>
      </w:pPr>
      <w:bookmarkStart w:id="105" w:name="_Toc181910645"/>
      <w:bookmarkStart w:id="106" w:name="_Toc185492504"/>
      <w:bookmarkStart w:id="107" w:name="_Toc197767165"/>
      <w:bookmarkStart w:id="108" w:name="_Toc198621973"/>
      <w:bookmarkStart w:id="109" w:name="_Toc197374335"/>
      <w:bookmarkStart w:id="110" w:name="_Toc198635441"/>
      <w:bookmarkStart w:id="111" w:name="_Toc185491469"/>
      <w:bookmarkStart w:id="112" w:name="_Toc187328298"/>
      <w:bookmarkStart w:id="113" w:name="_Toc185190132"/>
      <w:bookmarkStart w:id="114" w:name="_Toc197885172"/>
      <w:r>
        <w:rPr>
          <w:rFonts w:ascii="Times New Roman" w:hAnsi="Times New Roman" w:eastAsia="Times New Roman" w:cs="Times New Roman"/>
          <w:b/>
          <w:bCs w:val="0"/>
          <w:sz w:val="24"/>
          <w:szCs w:val="24"/>
        </w:rPr>
        <w:t>RTS, S/AS01</w:t>
      </w:r>
      <w:r>
        <w:rPr>
          <w:rFonts w:ascii="Times New Roman" w:hAnsi="Times New Roman" w:eastAsia="Times New Roman" w:cs="Times New Roman"/>
          <w:bCs/>
          <w:sz w:val="24"/>
          <w:szCs w:val="24"/>
        </w:rPr>
        <w:t>-</w:t>
      </w:r>
      <w:bookmarkEnd w:id="105"/>
      <w:r>
        <w:rPr>
          <w:rFonts w:hint="default" w:ascii="Times New Roman" w:hAnsi="Times New Roman" w:eastAsia="Times New Roman" w:cs="Times New Roman"/>
          <w:bCs/>
          <w:sz w:val="24"/>
          <w:szCs w:val="24"/>
          <w:lang w:val="en-US"/>
        </w:rPr>
        <w:t>-</w:t>
      </w:r>
      <w:r>
        <w:rPr>
          <w:rFonts w:ascii="Times New Roman" w:hAnsi="Times New Roman" w:eastAsia="Times New Roman" w:cs="Times New Roman"/>
          <w:bCs/>
          <w:sz w:val="24"/>
          <w:szCs w:val="24"/>
        </w:rPr>
        <w:t xml:space="preserve"> Recombinant Protein-Based Malaria Vaccine(Mosquirix)</w:t>
      </w:r>
      <w:bookmarkEnd w:id="106"/>
      <w:bookmarkEnd w:id="107"/>
      <w:bookmarkEnd w:id="108"/>
      <w:bookmarkEnd w:id="109"/>
      <w:bookmarkEnd w:id="110"/>
      <w:bookmarkEnd w:id="111"/>
      <w:bookmarkEnd w:id="112"/>
      <w:bookmarkEnd w:id="113"/>
      <w:bookmarkEnd w:id="114"/>
    </w:p>
    <w:p w14:paraId="0A769D01">
      <w:pPr>
        <w:keepNext/>
        <w:keepLines/>
        <w:spacing w:before="480" w:line="360" w:lineRule="auto"/>
        <w:ind w:left="720" w:leftChars="0"/>
        <w:contextualSpacing/>
        <w:outlineLvl w:val="0"/>
        <w:rPr>
          <w:rFonts w:ascii="Times New Roman" w:hAnsi="Times New Roman" w:eastAsia="Times New Roman" w:cs="Times New Roman"/>
          <w:bCs/>
          <w:sz w:val="24"/>
          <w:szCs w:val="24"/>
        </w:rPr>
      </w:pPr>
      <w:bookmarkStart w:id="115" w:name="_Toc198621974"/>
      <w:bookmarkStart w:id="116" w:name="_Toc198635442"/>
      <w:bookmarkStart w:id="117" w:name="_Toc197374336"/>
      <w:bookmarkStart w:id="118" w:name="_Toc185491470"/>
      <w:bookmarkStart w:id="119" w:name="_Toc187328299"/>
      <w:bookmarkStart w:id="120" w:name="_Toc197767166"/>
      <w:bookmarkStart w:id="121" w:name="_Toc185492505"/>
      <w:bookmarkStart w:id="122" w:name="_Toc181910646"/>
      <w:bookmarkStart w:id="123" w:name="_Toc185190133"/>
      <w:bookmarkStart w:id="124" w:name="_Toc197885173"/>
      <w:r>
        <w:rPr>
          <w:rFonts w:ascii="Times New Roman" w:hAnsi="Times New Roman" w:eastAsia="Times New Roman" w:cs="Times New Roman"/>
          <w:b/>
          <w:bCs w:val="0"/>
          <w:sz w:val="24"/>
          <w:szCs w:val="24"/>
        </w:rPr>
        <w:t>VIF</w:t>
      </w:r>
      <w:r>
        <w:rPr>
          <w:rFonts w:hint="default" w:ascii="Times New Roman" w:hAnsi="Times New Roman" w:eastAsia="Times New Roman" w:cs="Times New Roman"/>
          <w:b/>
          <w:bCs w:val="0"/>
          <w:sz w:val="24"/>
          <w:szCs w:val="24"/>
          <w:lang w:val="en-US"/>
        </w:rPr>
        <w:t>-</w:t>
      </w:r>
      <w:r>
        <w:rPr>
          <w:rFonts w:hint="default" w:ascii="Times New Roman" w:hAnsi="Times New Roman" w:eastAsia="Times New Roman" w:cs="Times New Roman"/>
          <w:bCs/>
          <w:sz w:val="24"/>
          <w:szCs w:val="24"/>
          <w:lang w:val="en-US"/>
        </w:rPr>
        <w:t>-</w:t>
      </w:r>
      <w:r>
        <w:rPr>
          <w:rFonts w:ascii="Times New Roman" w:hAnsi="Times New Roman" w:eastAsia="Times New Roman" w:cs="Times New Roman"/>
          <w:bCs/>
          <w:sz w:val="24"/>
          <w:szCs w:val="24"/>
        </w:rPr>
        <w:t xml:space="preserve"> Variance Inflation Factor</w:t>
      </w:r>
      <w:bookmarkEnd w:id="115"/>
      <w:bookmarkEnd w:id="116"/>
      <w:bookmarkEnd w:id="117"/>
      <w:bookmarkEnd w:id="118"/>
      <w:bookmarkEnd w:id="119"/>
      <w:bookmarkEnd w:id="120"/>
      <w:bookmarkEnd w:id="121"/>
      <w:bookmarkEnd w:id="122"/>
      <w:bookmarkEnd w:id="123"/>
      <w:bookmarkEnd w:id="124"/>
    </w:p>
    <w:p w14:paraId="53CCE293">
      <w:pPr>
        <w:keepNext/>
        <w:keepLines/>
        <w:spacing w:before="480" w:line="360" w:lineRule="auto"/>
        <w:ind w:left="720" w:leftChars="0"/>
        <w:contextualSpacing/>
        <w:outlineLvl w:val="0"/>
        <w:rPr>
          <w:rFonts w:ascii="Times New Roman" w:hAnsi="Times New Roman" w:eastAsia="Times New Roman" w:cs="Times New Roman"/>
          <w:bCs/>
          <w:sz w:val="24"/>
          <w:szCs w:val="24"/>
        </w:rPr>
      </w:pPr>
      <w:bookmarkStart w:id="125" w:name="_Toc197767167"/>
      <w:bookmarkStart w:id="126" w:name="_Toc197885174"/>
      <w:bookmarkStart w:id="127" w:name="_Toc185491471"/>
      <w:bookmarkStart w:id="128" w:name="_Toc185492506"/>
      <w:bookmarkStart w:id="129" w:name="_Toc197374337"/>
      <w:bookmarkStart w:id="130" w:name="_Toc198635443"/>
      <w:bookmarkStart w:id="131" w:name="_Toc198621975"/>
      <w:bookmarkStart w:id="132" w:name="_Toc185190134"/>
      <w:bookmarkStart w:id="133" w:name="_Toc187328300"/>
      <w:r>
        <w:rPr>
          <w:rFonts w:ascii="Times New Roman" w:hAnsi="Times New Roman" w:eastAsia="Times New Roman" w:cs="Times New Roman"/>
          <w:b/>
          <w:bCs w:val="0"/>
          <w:sz w:val="24"/>
          <w:szCs w:val="24"/>
        </w:rPr>
        <w:t>VH-</w:t>
      </w:r>
      <w:r>
        <w:rPr>
          <w:rFonts w:hint="default" w:ascii="Times New Roman" w:hAnsi="Times New Roman" w:eastAsia="Times New Roman" w:cs="Times New Roman"/>
          <w:b/>
          <w:bCs w:val="0"/>
          <w:sz w:val="24"/>
          <w:szCs w:val="24"/>
          <w:lang w:val="en-US"/>
        </w:rPr>
        <w:t>-</w:t>
      </w:r>
      <w:r>
        <w:rPr>
          <w:rFonts w:ascii="Times New Roman" w:hAnsi="Times New Roman" w:eastAsia="Times New Roman" w:cs="Times New Roman"/>
          <w:bCs/>
          <w:sz w:val="24"/>
          <w:szCs w:val="24"/>
        </w:rPr>
        <w:t xml:space="preserve"> Vaccination Hesitancy</w:t>
      </w:r>
      <w:bookmarkEnd w:id="125"/>
      <w:bookmarkEnd w:id="126"/>
      <w:bookmarkEnd w:id="127"/>
      <w:bookmarkEnd w:id="128"/>
      <w:bookmarkEnd w:id="129"/>
      <w:bookmarkEnd w:id="130"/>
      <w:bookmarkEnd w:id="131"/>
      <w:bookmarkEnd w:id="132"/>
      <w:bookmarkEnd w:id="133"/>
      <w:r>
        <w:rPr>
          <w:rFonts w:ascii="Times New Roman" w:hAnsi="Times New Roman" w:eastAsia="Times New Roman" w:cs="Times New Roman"/>
          <w:bCs/>
          <w:sz w:val="24"/>
          <w:szCs w:val="24"/>
        </w:rPr>
        <w:t xml:space="preserve">   </w:t>
      </w:r>
    </w:p>
    <w:p w14:paraId="40E90A8D">
      <w:pPr>
        <w:keepNext/>
        <w:keepLines/>
        <w:spacing w:before="480" w:line="360" w:lineRule="auto"/>
        <w:ind w:left="720" w:leftChars="0"/>
        <w:contextualSpacing/>
        <w:outlineLvl w:val="0"/>
        <w:rPr>
          <w:rFonts w:ascii="Times New Roman" w:hAnsi="Times New Roman" w:eastAsia="Times New Roman" w:cs="Times New Roman"/>
          <w:bCs/>
          <w:sz w:val="24"/>
          <w:szCs w:val="24"/>
        </w:rPr>
      </w:pPr>
      <w:bookmarkStart w:id="134" w:name="_Toc197767168"/>
      <w:bookmarkStart w:id="135" w:name="_Toc198635444"/>
      <w:bookmarkStart w:id="136" w:name="_Toc197374338"/>
      <w:bookmarkStart w:id="137" w:name="_Toc185491472"/>
      <w:bookmarkStart w:id="138" w:name="_Toc185492507"/>
      <w:bookmarkStart w:id="139" w:name="_Toc181910647"/>
      <w:bookmarkStart w:id="140" w:name="_Toc185190135"/>
      <w:bookmarkStart w:id="141" w:name="_Toc187328301"/>
      <w:bookmarkStart w:id="142" w:name="_Toc198621976"/>
      <w:r>
        <w:rPr>
          <w:rFonts w:ascii="Times New Roman" w:hAnsi="Times New Roman" w:eastAsia="Times New Roman" w:cs="Times New Roman"/>
          <w:b/>
          <w:bCs w:val="0"/>
          <w:sz w:val="24"/>
          <w:szCs w:val="24"/>
        </w:rPr>
        <w:t>WHO</w:t>
      </w:r>
      <w:r>
        <w:rPr>
          <w:rFonts w:hint="default" w:ascii="Times New Roman" w:hAnsi="Times New Roman" w:eastAsia="Times New Roman" w:cs="Times New Roman"/>
          <w:b/>
          <w:bCs w:val="0"/>
          <w:sz w:val="24"/>
          <w:szCs w:val="24"/>
          <w:lang w:val="en-US"/>
        </w:rPr>
        <w:t>-</w:t>
      </w:r>
      <w:r>
        <w:rPr>
          <w:rFonts w:ascii="Times New Roman" w:hAnsi="Times New Roman" w:eastAsia="Times New Roman" w:cs="Times New Roman"/>
          <w:bCs/>
          <w:sz w:val="24"/>
          <w:szCs w:val="24"/>
        </w:rPr>
        <w:t>-World health organization</w:t>
      </w:r>
      <w:bookmarkEnd w:id="134"/>
      <w:bookmarkEnd w:id="135"/>
      <w:bookmarkEnd w:id="136"/>
      <w:bookmarkEnd w:id="137"/>
      <w:bookmarkEnd w:id="138"/>
      <w:bookmarkEnd w:id="139"/>
      <w:bookmarkEnd w:id="140"/>
      <w:bookmarkEnd w:id="141"/>
      <w:bookmarkEnd w:id="142"/>
    </w:p>
    <w:p w14:paraId="0B56E2D4">
      <w:pPr>
        <w:keepNext/>
        <w:keepLines/>
        <w:spacing w:before="480" w:line="360" w:lineRule="auto"/>
        <w:ind w:left="720" w:leftChars="0"/>
        <w:contextualSpacing/>
        <w:outlineLvl w:val="0"/>
        <w:rPr>
          <w:rFonts w:ascii="Times New Roman" w:hAnsi="Times New Roman" w:eastAsia="Times New Roman" w:cs="Times New Roman"/>
          <w:bCs/>
          <w:sz w:val="24"/>
          <w:szCs w:val="24"/>
        </w:rPr>
      </w:pPr>
      <w:bookmarkStart w:id="143" w:name="_Toc185190136"/>
      <w:bookmarkStart w:id="144" w:name="_Toc197767169"/>
      <w:bookmarkStart w:id="145" w:name="_Toc198621977"/>
      <w:bookmarkStart w:id="146" w:name="_Toc187328302"/>
      <w:bookmarkStart w:id="147" w:name="_Toc181910648"/>
      <w:bookmarkStart w:id="148" w:name="_Toc185491473"/>
      <w:bookmarkStart w:id="149" w:name="_Toc197374339"/>
      <w:bookmarkStart w:id="150" w:name="_Toc198635445"/>
      <w:bookmarkStart w:id="151" w:name="_Toc185492508"/>
      <w:r>
        <w:rPr>
          <w:rFonts w:ascii="Times New Roman" w:hAnsi="Times New Roman" w:eastAsia="Times New Roman" w:cs="Times New Roman"/>
          <w:b/>
          <w:bCs w:val="0"/>
          <w:sz w:val="24"/>
          <w:szCs w:val="24"/>
        </w:rPr>
        <w:t>WU-</w:t>
      </w:r>
      <w:r>
        <w:rPr>
          <w:rFonts w:hint="default" w:ascii="Times New Roman" w:hAnsi="Times New Roman" w:eastAsia="Times New Roman" w:cs="Times New Roman"/>
          <w:b/>
          <w:bCs w:val="0"/>
          <w:sz w:val="24"/>
          <w:szCs w:val="24"/>
          <w:lang w:val="en-US"/>
        </w:rPr>
        <w:t>-</w:t>
      </w:r>
      <w:r>
        <w:rPr>
          <w:rFonts w:ascii="Times New Roman" w:hAnsi="Times New Roman" w:eastAsia="Times New Roman" w:cs="Times New Roman"/>
          <w:bCs/>
          <w:sz w:val="24"/>
          <w:szCs w:val="24"/>
        </w:rPr>
        <w:t>Wollega University</w:t>
      </w:r>
      <w:bookmarkEnd w:id="143"/>
      <w:bookmarkEnd w:id="144"/>
      <w:bookmarkEnd w:id="145"/>
      <w:bookmarkEnd w:id="146"/>
      <w:bookmarkEnd w:id="147"/>
      <w:bookmarkEnd w:id="148"/>
      <w:bookmarkEnd w:id="149"/>
      <w:bookmarkEnd w:id="150"/>
      <w:bookmarkEnd w:id="151"/>
    </w:p>
    <w:p w14:paraId="24FFFD4A"/>
    <w:p w14:paraId="175F9A00"/>
    <w:p w14:paraId="5377B29D"/>
    <w:bookmarkEnd w:id="27"/>
    <w:bookmarkEnd w:id="28"/>
    <w:p w14:paraId="53FA6297">
      <w:pPr>
        <w:pStyle w:val="2"/>
        <w:spacing w:before="0" w:line="360" w:lineRule="auto"/>
        <w:rPr>
          <w:rFonts w:ascii="Times New Roman" w:hAnsi="Times New Roman" w:cs="Times New Roman" w:eastAsiaTheme="minorEastAsia"/>
          <w:bCs w:val="0"/>
          <w:color w:val="auto"/>
        </w:rPr>
      </w:pPr>
      <w:bookmarkStart w:id="152" w:name="_Toc185190120"/>
      <w:bookmarkStart w:id="153" w:name="_Toc185492492"/>
    </w:p>
    <w:p w14:paraId="73BC9EC2">
      <w:pPr>
        <w:pStyle w:val="2"/>
        <w:spacing w:before="0" w:line="360" w:lineRule="auto"/>
        <w:jc w:val="both"/>
        <w:rPr>
          <w:rFonts w:ascii="Times New Roman" w:hAnsi="Times New Roman" w:cs="Times New Roman" w:eastAsiaTheme="minorEastAsia"/>
        </w:rPr>
      </w:pPr>
      <w:r>
        <w:br w:type="page"/>
      </w:r>
      <w:bookmarkStart w:id="154" w:name="_Toc198635446"/>
      <w:r>
        <w:rPr>
          <w:rFonts w:ascii="Times New Roman" w:hAnsi="Times New Roman" w:cs="Times New Roman" w:eastAsiaTheme="minorEastAsia"/>
        </w:rPr>
        <w:t>Abstract</w:t>
      </w:r>
      <w:bookmarkEnd w:id="154"/>
    </w:p>
    <w:p w14:paraId="343135FC">
      <w:pPr>
        <w:pStyle w:val="2"/>
        <w:spacing w:before="0" w:line="360" w:lineRule="auto"/>
        <w:jc w:val="both"/>
        <w:rPr>
          <w:rFonts w:ascii="Times New Roman" w:hAnsi="Times New Roman" w:eastAsia="Times New Roman" w:cs="Times New Roman"/>
          <w:b w:val="0"/>
          <w:color w:val="auto"/>
          <w:sz w:val="24"/>
          <w:szCs w:val="24"/>
        </w:rPr>
      </w:pPr>
      <w:bookmarkStart w:id="155" w:name="_Toc197885178"/>
      <w:bookmarkStart w:id="156" w:name="_Toc197767173"/>
      <w:bookmarkStart w:id="157" w:name="_Toc197374324"/>
      <w:bookmarkStart w:id="158" w:name="_Toc198621979"/>
      <w:bookmarkStart w:id="159" w:name="_Toc198635447"/>
      <w:r>
        <w:rPr>
          <w:rFonts w:ascii="Times New Roman" w:hAnsi="Times New Roman" w:eastAsia="Times New Roman" w:cs="Times New Roman"/>
          <w:b w:val="0"/>
          <w:color w:val="auto"/>
        </w:rPr>
        <w:t>Background</w:t>
      </w:r>
      <w:r>
        <w:rPr>
          <w:rStyle w:val="38"/>
          <w:rFonts w:ascii="Times New Roman" w:hAnsi="Times New Roman" w:cs="Times New Roman"/>
          <w:b w:val="0"/>
          <w:bCs w:val="0"/>
          <w:color w:val="auto"/>
        </w:rPr>
        <w:t>:</w:t>
      </w:r>
      <w:r>
        <w:rPr>
          <w:rFonts w:ascii="Times New Roman" w:hAnsi="Times New Roman" w:eastAsia="Calibri" w:cs="Times New Roman"/>
          <w:color w:val="auto"/>
        </w:rPr>
        <w:t xml:space="preserve"> </w:t>
      </w:r>
      <w:bookmarkEnd w:id="152"/>
      <w:bookmarkEnd w:id="153"/>
      <w:bookmarkStart w:id="160" w:name="_Toc185492493"/>
      <w:bookmarkStart w:id="161" w:name="_Toc185491458"/>
      <w:bookmarkStart w:id="162" w:name="_Toc185190121"/>
      <w:r>
        <w:rPr>
          <w:rFonts w:ascii="Times New Roman" w:hAnsi="Times New Roman" w:eastAsia="Times New Roman" w:cs="Times New Roman"/>
          <w:b w:val="0"/>
          <w:color w:val="auto"/>
          <w:sz w:val="24"/>
          <w:szCs w:val="24"/>
        </w:rPr>
        <w:t>Malaria remains a serious public health concern in</w:t>
      </w: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b w:val="0"/>
          <w:color w:val="auto"/>
          <w:sz w:val="24"/>
          <w:szCs w:val="24"/>
        </w:rPr>
        <w:t xml:space="preserve">Africa, contributing to a high burden of mortality and morbidity, especially in </w:t>
      </w:r>
      <w:bookmarkEnd w:id="160"/>
      <w:bookmarkEnd w:id="161"/>
      <w:bookmarkEnd w:id="162"/>
      <w:bookmarkStart w:id="163" w:name="_Toc185190122"/>
      <w:bookmarkStart w:id="164" w:name="_Toc185492494"/>
      <w:bookmarkStart w:id="165" w:name="_Toc185491459"/>
      <w:r>
        <w:rPr>
          <w:rFonts w:ascii="Times New Roman" w:hAnsi="Times New Roman" w:eastAsia="Times New Roman" w:cs="Times New Roman"/>
          <w:b w:val="0"/>
          <w:color w:val="auto"/>
          <w:sz w:val="24"/>
          <w:szCs w:val="24"/>
        </w:rPr>
        <w:t xml:space="preserve">pregnant women and children under five. </w:t>
      </w:r>
      <w:bookmarkEnd w:id="29"/>
      <w:bookmarkEnd w:id="155"/>
      <w:bookmarkEnd w:id="156"/>
      <w:bookmarkEnd w:id="157"/>
      <w:bookmarkEnd w:id="163"/>
      <w:bookmarkEnd w:id="164"/>
      <w:bookmarkEnd w:id="165"/>
      <w:r>
        <w:rPr>
          <w:rFonts w:ascii="Times New Roman" w:hAnsi="Times New Roman" w:eastAsia="Times New Roman" w:cs="Times New Roman"/>
          <w:b w:val="0"/>
          <w:color w:val="auto"/>
          <w:sz w:val="24"/>
          <w:szCs w:val="24"/>
        </w:rPr>
        <w:t xml:space="preserve">The introduction of a malaria vaccine has been a significant advancement in malaria control. </w:t>
      </w:r>
      <w:r>
        <w:rPr>
          <w:rFonts w:ascii="Times New Roman" w:hAnsi="Times New Roman" w:cs="Times New Roman" w:eastAsiaTheme="minorEastAsia"/>
          <w:b w:val="0"/>
          <w:bCs w:val="0"/>
          <w:color w:val="auto"/>
          <w:sz w:val="22"/>
          <w:szCs w:val="22"/>
        </w:rPr>
        <w:t xml:space="preserve"> </w:t>
      </w:r>
      <w:r>
        <w:rPr>
          <w:rFonts w:ascii="Times New Roman" w:hAnsi="Times New Roman" w:eastAsia="Times New Roman" w:cs="Times New Roman"/>
          <w:b w:val="0"/>
          <w:color w:val="auto"/>
          <w:sz w:val="24"/>
          <w:szCs w:val="24"/>
        </w:rPr>
        <w:t>the aims of this study were provide insights on the status of willingness of mothers in Nekemte to accept a malaria vaccine when it is introduced.</w:t>
      </w:r>
      <w:bookmarkEnd w:id="158"/>
      <w:bookmarkEnd w:id="159"/>
    </w:p>
    <w:p w14:paraId="6D219DC2">
      <w:pPr>
        <w:pStyle w:val="2"/>
        <w:spacing w:before="0" w:line="360" w:lineRule="auto"/>
        <w:jc w:val="both"/>
        <w:rPr>
          <w:rStyle w:val="38"/>
          <w:rFonts w:ascii="Times New Roman" w:hAnsi="Times New Roman" w:cs="Times New Roman"/>
          <w:b w:val="0"/>
          <w:bCs w:val="0"/>
          <w:color w:val="auto"/>
        </w:rPr>
      </w:pPr>
      <w:bookmarkStart w:id="166" w:name="_Toc198635448"/>
      <w:bookmarkStart w:id="167" w:name="_Toc197767174"/>
      <w:bookmarkStart w:id="168" w:name="_Toc197885179"/>
      <w:bookmarkStart w:id="169" w:name="_Toc198621980"/>
      <w:r>
        <w:rPr>
          <w:rStyle w:val="38"/>
          <w:rFonts w:ascii="Times New Roman" w:hAnsi="Times New Roman" w:cs="Times New Roman"/>
          <w:b/>
          <w:bCs w:val="0"/>
          <w:color w:val="auto"/>
        </w:rPr>
        <w:t>Objective:</w:t>
      </w:r>
      <w:r>
        <w:rPr>
          <w:rStyle w:val="38"/>
          <w:rFonts w:ascii="Times New Roman" w:hAnsi="Times New Roman" w:cs="Times New Roman"/>
          <w:b w:val="0"/>
          <w:bCs w:val="0"/>
          <w:color w:val="auto"/>
        </w:rPr>
        <w:t xml:space="preserve"> - </w:t>
      </w:r>
      <w:r>
        <w:rPr>
          <w:rStyle w:val="38"/>
          <w:rFonts w:ascii="Times New Roman" w:hAnsi="Times New Roman" w:cs="Times New Roman"/>
          <w:b w:val="0"/>
          <w:bCs w:val="0"/>
          <w:color w:val="auto"/>
          <w:sz w:val="24"/>
          <w:szCs w:val="24"/>
        </w:rPr>
        <w:t>The aim of study is to assess the willingness of mother to accept malaria</w:t>
      </w:r>
      <w:r>
        <w:rPr>
          <w:rStyle w:val="38"/>
          <w:rFonts w:hint="default" w:ascii="Times New Roman" w:hAnsi="Times New Roman" w:cs="Times New Roman"/>
          <w:b w:val="0"/>
          <w:bCs w:val="0"/>
          <w:color w:val="auto"/>
          <w:sz w:val="24"/>
          <w:szCs w:val="24"/>
          <w:lang w:val="en-US"/>
        </w:rPr>
        <w:t xml:space="preserve"> and associated factors </w:t>
      </w:r>
      <w:r>
        <w:rPr>
          <w:rStyle w:val="38"/>
          <w:rFonts w:ascii="Times New Roman" w:hAnsi="Times New Roman" w:cs="Times New Roman"/>
          <w:b w:val="0"/>
          <w:bCs w:val="0"/>
          <w:color w:val="auto"/>
          <w:sz w:val="24"/>
          <w:szCs w:val="24"/>
        </w:rPr>
        <w:t xml:space="preserve"> vaccine in Nekemte, Ethiopia.</w:t>
      </w:r>
      <w:bookmarkEnd w:id="166"/>
      <w:bookmarkEnd w:id="167"/>
      <w:bookmarkEnd w:id="168"/>
      <w:bookmarkEnd w:id="169"/>
    </w:p>
    <w:p w14:paraId="1252FE99">
      <w:pPr>
        <w:spacing w:line="360" w:lineRule="auto"/>
        <w:contextualSpacing/>
        <w:jc w:val="both"/>
        <w:outlineLvl w:val="2"/>
        <w:rPr>
          <w:rFonts w:hint="default" w:ascii="Times New Roman" w:hAnsi="Times New Roman" w:eastAsia="Calibri"/>
          <w:sz w:val="24"/>
          <w:szCs w:val="24"/>
        </w:rPr>
      </w:pPr>
      <w:bookmarkStart w:id="170" w:name="_Toc181910636"/>
      <w:bookmarkStart w:id="171" w:name="_Toc198635449"/>
      <w:bookmarkStart w:id="172" w:name="_Toc197767175"/>
      <w:bookmarkStart w:id="173" w:name="_Toc185492495"/>
      <w:bookmarkStart w:id="174" w:name="_Toc185190123"/>
      <w:bookmarkStart w:id="175" w:name="_Toc197885180"/>
      <w:r>
        <w:rPr>
          <w:rStyle w:val="38"/>
          <w:rFonts w:ascii="Times New Roman" w:hAnsi="Times New Roman" w:cs="Times New Roman"/>
        </w:rPr>
        <w:t>Method:</w:t>
      </w:r>
      <w:r>
        <w:rPr>
          <w:rFonts w:ascii="Times New Roman" w:hAnsi="Times New Roman" w:eastAsia="Calibri" w:cs="Times New Roman"/>
          <w:sz w:val="24"/>
          <w:szCs w:val="24"/>
        </w:rPr>
        <w:t xml:space="preserve"> -</w:t>
      </w:r>
      <w:r>
        <w:rPr>
          <w:rFonts w:ascii="Times New Roman" w:hAnsi="Times New Roman" w:eastAsia="Times New Roman" w:cs="Times New Roman"/>
          <w:sz w:val="24"/>
          <w:szCs w:val="24"/>
        </w:rPr>
        <w:t xml:space="preserve"> </w:t>
      </w:r>
      <w:r>
        <w:rPr>
          <w:rFonts w:ascii="Times New Roman" w:hAnsi="Times New Roman" w:eastAsia="Calibri" w:cs="Times New Roman"/>
          <w:sz w:val="24"/>
          <w:szCs w:val="24"/>
        </w:rPr>
        <w:t xml:space="preserve">Institution –based cross-sectional study design  was </w:t>
      </w:r>
      <w:r>
        <w:rPr>
          <w:rFonts w:ascii="Times New Roman" w:hAnsi="Times New Roman" w:eastAsia="Times New Roman" w:cs="Times New Roman"/>
          <w:sz w:val="24"/>
          <w:szCs w:val="24"/>
        </w:rPr>
        <w:t>conducted among mothers attending public health facilities for</w:t>
      </w:r>
      <w:r>
        <w:rPr>
          <w:rFonts w:hint="default" w:ascii="Times New Roman" w:hAnsi="Times New Roman" w:eastAsia="Times New Roman" w:cs="Times New Roman"/>
          <w:sz w:val="24"/>
          <w:szCs w:val="24"/>
          <w:lang w:val="en-US"/>
        </w:rPr>
        <w:t xml:space="preserve"> child </w:t>
      </w:r>
      <w:r>
        <w:rPr>
          <w:rFonts w:ascii="Times New Roman" w:hAnsi="Times New Roman" w:eastAsia="Times New Roman" w:cs="Times New Roman"/>
          <w:sz w:val="24"/>
          <w:szCs w:val="24"/>
        </w:rPr>
        <w:t xml:space="preserve"> immunization services in Nekemte town</w:t>
      </w:r>
      <w:r>
        <w:rPr>
          <w:rFonts w:hint="default" w:ascii="Times New Roman" w:hAnsi="Times New Roman" w:eastAsia="Times New Roman" w:cs="Times New Roman"/>
          <w:sz w:val="24"/>
          <w:szCs w:val="24"/>
          <w:lang w:val="en-US"/>
        </w:rPr>
        <w:t xml:space="preserve"> during study period</w:t>
      </w:r>
      <w:r>
        <w:rPr>
          <w:rFonts w:ascii="Times New Roman" w:hAnsi="Times New Roman" w:eastAsia="Times New Roman" w:cs="Times New Roman"/>
          <w:sz w:val="24"/>
          <w:szCs w:val="24"/>
        </w:rPr>
        <w:t xml:space="preserve">. </w:t>
      </w:r>
      <w:r>
        <w:rPr>
          <w:rFonts w:hint="default" w:ascii="Times New Roman" w:hAnsi="Times New Roman" w:eastAsia="Times New Roman"/>
          <w:sz w:val="24"/>
          <w:szCs w:val="24"/>
        </w:rPr>
        <w:t xml:space="preserve">A structured interviewer-administered questionnaire was designed </w:t>
      </w:r>
      <w:r>
        <w:rPr>
          <w:rFonts w:hint="default" w:ascii="Times New Roman" w:hAnsi="Times New Roman" w:eastAsia="Times New Roman"/>
          <w:sz w:val="24"/>
          <w:szCs w:val="24"/>
          <w:lang w:val="en-US"/>
        </w:rPr>
        <w:t xml:space="preserve"> </w:t>
      </w:r>
      <w:r>
        <w:rPr>
          <w:rFonts w:hint="default" w:ascii="Times New Roman" w:hAnsi="Times New Roman" w:eastAsia="Times New Roman"/>
          <w:sz w:val="24"/>
          <w:szCs w:val="24"/>
        </w:rPr>
        <w:t>for data collection, and binary logistic regression analysis was used.</w:t>
      </w:r>
      <w:r>
        <w:rPr>
          <w:rFonts w:ascii="Times New Roman" w:hAnsi="Times New Roman" w:eastAsia="Calibri" w:cs="Times New Roman"/>
          <w:sz w:val="24"/>
          <w:szCs w:val="24"/>
        </w:rPr>
        <w:t xml:space="preserve"> </w:t>
      </w:r>
      <w:r>
        <w:rPr>
          <w:rFonts w:hint="default" w:ascii="Times New Roman" w:hAnsi="Times New Roman" w:eastAsia="Calibri"/>
          <w:sz w:val="24"/>
          <w:szCs w:val="24"/>
        </w:rPr>
        <w:t xml:space="preserve">The final result of the association was determined </w:t>
      </w:r>
    </w:p>
    <w:p w14:paraId="2E2E281B">
      <w:pPr>
        <w:spacing w:line="360" w:lineRule="auto"/>
        <w:contextualSpacing/>
        <w:jc w:val="both"/>
        <w:outlineLvl w:val="2"/>
        <w:rPr>
          <w:rFonts w:ascii="Times New Roman" w:hAnsi="Times New Roman" w:eastAsia="Calibri" w:cs="Times New Roman"/>
          <w:sz w:val="24"/>
          <w:szCs w:val="24"/>
        </w:rPr>
      </w:pPr>
      <w:r>
        <w:rPr>
          <w:rFonts w:hint="default" w:ascii="Times New Roman" w:hAnsi="Times New Roman" w:eastAsia="Calibri"/>
          <w:sz w:val="24"/>
          <w:szCs w:val="24"/>
        </w:rPr>
        <w:t>based on an adjusted odds ratio (AOR) at a 95% confidence interval (CI) level, and p&lt;0.05 indicated statistical significance.</w:t>
      </w:r>
      <w:bookmarkEnd w:id="170"/>
      <w:bookmarkEnd w:id="171"/>
      <w:bookmarkEnd w:id="172"/>
      <w:bookmarkEnd w:id="173"/>
      <w:bookmarkEnd w:id="174"/>
      <w:bookmarkEnd w:id="175"/>
    </w:p>
    <w:p w14:paraId="7CD18131">
      <w:pPr>
        <w:spacing w:line="360" w:lineRule="auto"/>
        <w:contextualSpacing/>
        <w:jc w:val="both"/>
        <w:rPr>
          <w:rFonts w:ascii="Times New Roman" w:hAnsi="Times New Roman" w:eastAsia="Calibri" w:cs="Times New Roman"/>
          <w:sz w:val="24"/>
          <w:szCs w:val="24"/>
        </w:rPr>
      </w:pPr>
      <w:bookmarkStart w:id="176" w:name="_Toc197767176"/>
      <w:bookmarkStart w:id="177" w:name="_Toc197885181"/>
      <w:bookmarkStart w:id="178" w:name="_Toc198621982"/>
      <w:bookmarkStart w:id="179" w:name="_Toc198635450"/>
      <w:r>
        <w:rPr>
          <w:rStyle w:val="38"/>
          <w:rFonts w:ascii="Times New Roman" w:hAnsi="Times New Roman" w:cs="Times New Roman"/>
        </w:rPr>
        <w:t xml:space="preserve">Result: </w:t>
      </w:r>
      <w:r>
        <w:rPr>
          <w:rFonts w:ascii="Times New Roman" w:hAnsi="Times New Roman" w:eastAsia="Calibri" w:cs="Times New Roman"/>
          <w:sz w:val="24"/>
          <w:szCs w:val="24"/>
        </w:rPr>
        <w:t xml:space="preserve"> </w:t>
      </w:r>
      <w:r>
        <w:rPr>
          <w:rFonts w:ascii="Times New Roman" w:hAnsi="Times New Roman" w:cs="Times New Roman" w:eastAsiaTheme="minorHAnsi"/>
          <w:sz w:val="24"/>
          <w:szCs w:val="24"/>
        </w:rPr>
        <w:t xml:space="preserve">The data were collected from a total of 334 </w:t>
      </w:r>
      <w:r>
        <w:rPr>
          <w:rFonts w:ascii="Times New Roman" w:hAnsi="Times New Roman" w:eastAsia="Times New Roman" w:cs="Times New Roman"/>
          <w:sz w:val="24"/>
          <w:szCs w:val="24"/>
        </w:rPr>
        <w:t xml:space="preserve">participants which has yielded a </w:t>
      </w:r>
      <w:r>
        <w:rPr>
          <w:rFonts w:ascii="Times New Roman" w:hAnsi="Times New Roman" w:cs="Times New Roman" w:eastAsiaTheme="minorHAnsi"/>
          <w:sz w:val="24"/>
          <w:szCs w:val="24"/>
        </w:rPr>
        <w:t xml:space="preserve">response rate of 100%. </w:t>
      </w:r>
      <w:r>
        <w:rPr>
          <w:rFonts w:ascii="Times New Roman" w:hAnsi="Times New Roman" w:eastAsia="Calibri" w:cs="Times New Roman"/>
          <w:sz w:val="24"/>
          <w:szCs w:val="24"/>
        </w:rPr>
        <w:t>Overall, 298 (89.2%) of the respondents indicated willing to vaccinate their children. Mothers’ age [AOR=4.3; 95% CI: 1.447, 12.82], residence [AOR=0.48; 95% CI: 0.011, 0.213], knowledge on prevent-ability of malaria [AOR=4.885; 95% CI: 1.45, 16.42], distance from vaccination site [AOR=4.56; 95% CI: 9.84, 20.79], and waiting time at vaccination site [AOR=4.56; 95% CI: 9.84, 20.79] were found to be significantly associated with willingness to accept a malaria vaccine for their children.</w:t>
      </w:r>
      <w:bookmarkEnd w:id="176"/>
      <w:bookmarkEnd w:id="177"/>
      <w:bookmarkEnd w:id="178"/>
      <w:bookmarkEnd w:id="179"/>
    </w:p>
    <w:p w14:paraId="5D4365A3">
      <w:pPr>
        <w:spacing w:line="360" w:lineRule="auto"/>
        <w:contextualSpacing/>
        <w:jc w:val="both"/>
        <w:outlineLvl w:val="2"/>
        <w:rPr>
          <w:rFonts w:ascii="Times New Roman" w:hAnsi="Times New Roman" w:eastAsia="Calibri" w:cs="Times New Roman"/>
          <w:sz w:val="24"/>
          <w:szCs w:val="24"/>
        </w:rPr>
      </w:pPr>
      <w:bookmarkStart w:id="180" w:name="_Toc197767177"/>
      <w:bookmarkStart w:id="181" w:name="_Toc197885182"/>
      <w:bookmarkStart w:id="182" w:name="_Toc198621983"/>
      <w:bookmarkStart w:id="183" w:name="_Toc198635451"/>
      <w:r>
        <w:rPr>
          <w:rStyle w:val="38"/>
          <w:rFonts w:ascii="Times New Roman" w:hAnsi="Times New Roman" w:cs="Times New Roman"/>
        </w:rPr>
        <w:t>Conclusion and Recommendation:</w:t>
      </w:r>
      <w:r>
        <w:rPr>
          <w:rFonts w:ascii="Times New Roman" w:hAnsi="Times New Roman" w:eastAsia="Calibri" w:cs="Times New Roman"/>
          <w:sz w:val="24"/>
          <w:szCs w:val="24"/>
        </w:rPr>
        <w:t xml:space="preserve"> The willingness mothers to accept malaria vaccine for their  children was 89.2%. Age grouped 29 39, Good knowledge status on malaria, Proximity to vaccination facility, less waiting time were positively associated with willingness to accept malaria vaccine while, rural residents were less likely to accept malaria vaccine compared to urban residents. More emphasis should be given to increasing the awareness of the rural residents on the beneficial impact of malaria vaccine upon enrollment.</w:t>
      </w:r>
      <w:bookmarkEnd w:id="180"/>
      <w:bookmarkEnd w:id="181"/>
      <w:bookmarkEnd w:id="182"/>
      <w:bookmarkEnd w:id="183"/>
      <w:r>
        <w:rPr>
          <w:rFonts w:ascii="Times New Roman" w:hAnsi="Times New Roman" w:eastAsia="Calibri" w:cs="Times New Roman"/>
          <w:sz w:val="24"/>
          <w:szCs w:val="24"/>
        </w:rPr>
        <w:t xml:space="preserve"> </w:t>
      </w:r>
    </w:p>
    <w:p w14:paraId="51A7DC49">
      <w:pPr>
        <w:spacing w:line="360" w:lineRule="auto"/>
        <w:contextualSpacing/>
        <w:jc w:val="both"/>
        <w:outlineLvl w:val="2"/>
        <w:rPr>
          <w:rFonts w:ascii="Times New Roman" w:hAnsi="Times New Roman" w:eastAsia="Calibri" w:cs="Times New Roman"/>
          <w:b/>
          <w:sz w:val="24"/>
          <w:szCs w:val="24"/>
        </w:rPr>
      </w:pPr>
      <w:bookmarkStart w:id="184" w:name="_Toc197885183"/>
      <w:bookmarkStart w:id="185" w:name="_Toc181910637"/>
      <w:bookmarkStart w:id="186" w:name="_Toc197767178"/>
      <w:bookmarkStart w:id="187" w:name="_Toc197374327"/>
      <w:bookmarkStart w:id="188" w:name="_Toc185492496"/>
      <w:bookmarkStart w:id="189" w:name="_Toc185190124"/>
    </w:p>
    <w:p w14:paraId="4056032A">
      <w:pPr>
        <w:spacing w:line="360" w:lineRule="auto"/>
        <w:contextualSpacing/>
        <w:jc w:val="both"/>
        <w:outlineLvl w:val="2"/>
        <w:rPr>
          <w:rFonts w:ascii="Times New Roman" w:hAnsi="Times New Roman" w:eastAsia="Calibri" w:cs="Times New Roman"/>
          <w:sz w:val="24"/>
          <w:szCs w:val="24"/>
        </w:rPr>
      </w:pPr>
      <w:r>
        <w:rPr>
          <w:rFonts w:ascii="Times New Roman" w:hAnsi="Times New Roman" w:eastAsia="Calibri" w:cs="Times New Roman"/>
          <w:b/>
          <w:sz w:val="24"/>
          <w:szCs w:val="24"/>
        </w:rPr>
        <w:t xml:space="preserve">  </w:t>
      </w:r>
      <w:bookmarkStart w:id="190" w:name="_Toc198635452"/>
      <w:bookmarkStart w:id="191" w:name="_Toc198621984"/>
      <w:r>
        <w:rPr>
          <w:rStyle w:val="38"/>
          <w:rFonts w:ascii="Times New Roman" w:hAnsi="Times New Roman" w:cs="Times New Roman"/>
        </w:rPr>
        <w:t>Key words:</w:t>
      </w:r>
      <w:r>
        <w:rPr>
          <w:rFonts w:ascii="Times New Roman" w:hAnsi="Times New Roman" w:eastAsia="Calibri" w:cs="Times New Roman"/>
          <w:sz w:val="24"/>
          <w:szCs w:val="24"/>
        </w:rPr>
        <w:t xml:space="preserve"> Malaria Vaccine Acceptance, Public health immunization, public health facili</w:t>
      </w:r>
      <w:bookmarkEnd w:id="184"/>
      <w:bookmarkEnd w:id="185"/>
      <w:bookmarkEnd w:id="186"/>
      <w:bookmarkEnd w:id="187"/>
      <w:bookmarkEnd w:id="188"/>
      <w:bookmarkEnd w:id="189"/>
      <w:r>
        <w:rPr>
          <w:rFonts w:ascii="Times New Roman" w:hAnsi="Times New Roman" w:eastAsia="Calibri" w:cs="Times New Roman"/>
          <w:sz w:val="24"/>
          <w:szCs w:val="24"/>
        </w:rPr>
        <w:t>ty.</w:t>
      </w:r>
      <w:bookmarkEnd w:id="190"/>
      <w:bookmarkEnd w:id="191"/>
    </w:p>
    <w:sdt>
      <w:sdtPr>
        <w:rPr>
          <w:rFonts w:asciiTheme="minorHAnsi" w:hAnsiTheme="minorHAnsi" w:eastAsiaTheme="minorEastAsia" w:cstheme="minorBidi"/>
          <w:b w:val="0"/>
          <w:bCs w:val="0"/>
          <w:color w:val="auto"/>
          <w:sz w:val="22"/>
          <w:szCs w:val="22"/>
        </w:rPr>
        <w:id w:val="1185565158"/>
        <w:docPartObj>
          <w:docPartGallery w:val="Table of Contents"/>
          <w:docPartUnique/>
        </w:docPartObj>
      </w:sdtPr>
      <w:sdtEndPr>
        <w:rPr>
          <w:rFonts w:ascii="Times New Roman" w:hAnsi="Times New Roman" w:cs="Times New Roman" w:eastAsiaTheme="minorEastAsia"/>
          <w:b w:val="0"/>
          <w:bCs w:val="0"/>
          <w:color w:val="auto"/>
          <w:sz w:val="24"/>
          <w:szCs w:val="24"/>
        </w:rPr>
      </w:sdtEndPr>
      <w:sdtContent>
        <w:p w14:paraId="2813CFA0">
          <w:pPr>
            <w:pStyle w:val="64"/>
            <w:spacing w:line="360" w:lineRule="auto"/>
          </w:pPr>
          <w:r>
            <w:rPr>
              <w:rFonts w:asciiTheme="minorHAnsi" w:hAnsiTheme="minorHAnsi" w:eastAsiaTheme="minorEastAsia" w:cstheme="minorBidi"/>
              <w:color w:val="auto"/>
              <w:sz w:val="22"/>
              <w:szCs w:val="22"/>
            </w:rPr>
            <w:t xml:space="preserve">Table of content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\o "1-3" \h \z \u </w:instrText>
          </w:r>
          <w:r>
            <w:rPr>
              <w:rFonts w:ascii="Times New Roman" w:hAnsi="Times New Roman" w:cs="Times New Roman"/>
              <w:sz w:val="24"/>
              <w:szCs w:val="24"/>
            </w:rPr>
            <w:fldChar w:fldCharType="separate"/>
          </w:r>
        </w:p>
        <w:p w14:paraId="07373145">
          <w:pPr>
            <w:pStyle w:val="28"/>
            <w:rPr>
              <w:rFonts w:asciiTheme="minorHAnsi" w:hAnsiTheme="minorHAnsi" w:eastAsiaTheme="minorEastAsia" w:cstheme="minorBidi"/>
              <w:b w:val="0"/>
              <w:bCs w:val="0"/>
              <w:kern w:val="2"/>
              <w:sz w:val="24"/>
              <w:szCs w:val="24"/>
              <w14:ligatures w14:val="standardContextual"/>
            </w:rPr>
          </w:pPr>
          <w:r>
            <w:fldChar w:fldCharType="begin"/>
          </w:r>
          <w:r>
            <w:instrText xml:space="preserve"> HYPERLINK \l "_Toc198635429" </w:instrText>
          </w:r>
          <w:r>
            <w:fldChar w:fldCharType="separate"/>
          </w:r>
          <w:r>
            <w:rPr>
              <w:rStyle w:val="21"/>
            </w:rPr>
            <w:t>Acknowledgment</w:t>
          </w:r>
          <w:r>
            <w:tab/>
          </w:r>
          <w:r>
            <w:t>1</w:t>
          </w:r>
          <w:r>
            <w:fldChar w:fldCharType="end"/>
          </w:r>
        </w:p>
        <w:p w14:paraId="322140EF">
          <w:pPr>
            <w:pStyle w:val="28"/>
            <w:rPr>
              <w:rFonts w:asciiTheme="minorHAnsi" w:hAnsiTheme="minorHAnsi" w:eastAsiaTheme="minorEastAsia" w:cstheme="minorBidi"/>
              <w:b w:val="0"/>
              <w:bCs w:val="0"/>
              <w:kern w:val="2"/>
              <w:sz w:val="24"/>
              <w:szCs w:val="24"/>
              <w14:ligatures w14:val="standardContextual"/>
            </w:rPr>
          </w:pPr>
          <w:r>
            <w:fldChar w:fldCharType="begin"/>
          </w:r>
          <w:r>
            <w:instrText xml:space="preserve"> HYPERLINK \l "_Toc198635430" </w:instrText>
          </w:r>
          <w:r>
            <w:fldChar w:fldCharType="separate"/>
          </w:r>
          <w:r>
            <w:rPr>
              <w:rStyle w:val="21"/>
            </w:rPr>
            <w:t>List of Tables</w:t>
          </w:r>
          <w:r>
            <w:tab/>
          </w:r>
          <w:r>
            <w:fldChar w:fldCharType="begin"/>
          </w:r>
          <w:r>
            <w:instrText xml:space="preserve"> PAGEREF _Toc198635430 \h </w:instrText>
          </w:r>
          <w:r>
            <w:fldChar w:fldCharType="separate"/>
          </w:r>
          <w:r>
            <w:t>3</w:t>
          </w:r>
          <w:r>
            <w:fldChar w:fldCharType="end"/>
          </w:r>
          <w:r>
            <w:fldChar w:fldCharType="end"/>
          </w:r>
        </w:p>
        <w:p w14:paraId="68FA025B">
          <w:pPr>
            <w:pStyle w:val="28"/>
            <w:rPr>
              <w:rFonts w:asciiTheme="minorHAnsi" w:hAnsiTheme="minorHAnsi" w:eastAsiaTheme="minorEastAsia" w:cstheme="minorBidi"/>
              <w:b w:val="0"/>
              <w:bCs w:val="0"/>
              <w:kern w:val="2"/>
              <w:sz w:val="24"/>
              <w:szCs w:val="24"/>
              <w14:ligatures w14:val="standardContextual"/>
            </w:rPr>
          </w:pPr>
          <w:r>
            <w:fldChar w:fldCharType="begin"/>
          </w:r>
          <w:r>
            <w:instrText xml:space="preserve"> HYPERLINK \l "_Toc198635431" </w:instrText>
          </w:r>
          <w:r>
            <w:fldChar w:fldCharType="separate"/>
          </w:r>
          <w:r>
            <w:rPr>
              <w:rStyle w:val="21"/>
            </w:rPr>
            <w:t>List of Figures</w:t>
          </w:r>
          <w:r>
            <w:tab/>
          </w:r>
          <w:r>
            <w:fldChar w:fldCharType="begin"/>
          </w:r>
          <w:r>
            <w:instrText xml:space="preserve"> PAGEREF _Toc198635431 \h </w:instrText>
          </w:r>
          <w:r>
            <w:fldChar w:fldCharType="separate"/>
          </w:r>
          <w:r>
            <w:t>4</w:t>
          </w:r>
          <w:r>
            <w:fldChar w:fldCharType="end"/>
          </w:r>
          <w:r>
            <w:fldChar w:fldCharType="end"/>
          </w:r>
        </w:p>
        <w:p w14:paraId="21C14CFA">
          <w:pPr>
            <w:pStyle w:val="28"/>
            <w:rPr>
              <w:rFonts w:asciiTheme="minorHAnsi" w:hAnsiTheme="minorHAnsi" w:eastAsiaTheme="minorEastAsia" w:cstheme="minorBidi"/>
              <w:b w:val="0"/>
              <w:bCs w:val="0"/>
              <w:kern w:val="2"/>
              <w:sz w:val="24"/>
              <w:szCs w:val="24"/>
              <w14:ligatures w14:val="standardContextual"/>
            </w:rPr>
          </w:pPr>
          <w:r>
            <w:fldChar w:fldCharType="begin"/>
          </w:r>
          <w:r>
            <w:instrText xml:space="preserve"> HYPERLINK \l "_Toc198635432" </w:instrText>
          </w:r>
          <w:r>
            <w:fldChar w:fldCharType="separate"/>
          </w:r>
          <w:r>
            <w:rPr>
              <w:rStyle w:val="21"/>
            </w:rPr>
            <w:t>Acronyms and Abbreviations</w:t>
          </w:r>
          <w:r>
            <w:tab/>
          </w:r>
          <w:r>
            <w:fldChar w:fldCharType="begin"/>
          </w:r>
          <w:r>
            <w:instrText xml:space="preserve"> PAGEREF _Toc198635432 \h </w:instrText>
          </w:r>
          <w:r>
            <w:fldChar w:fldCharType="separate"/>
          </w:r>
          <w:r>
            <w:t>5</w:t>
          </w:r>
          <w:r>
            <w:fldChar w:fldCharType="end"/>
          </w:r>
          <w:r>
            <w:fldChar w:fldCharType="end"/>
          </w:r>
        </w:p>
        <w:p w14:paraId="4FEB69A1">
          <w:pPr>
            <w:pStyle w:val="28"/>
            <w:rPr>
              <w:rFonts w:asciiTheme="minorHAnsi" w:hAnsiTheme="minorHAnsi" w:eastAsiaTheme="minorEastAsia" w:cstheme="minorBidi"/>
              <w:b w:val="0"/>
              <w:bCs w:val="0"/>
              <w:kern w:val="2"/>
              <w:sz w:val="24"/>
              <w:szCs w:val="24"/>
              <w14:ligatures w14:val="standardContextual"/>
            </w:rPr>
          </w:pPr>
          <w:r>
            <w:fldChar w:fldCharType="begin"/>
          </w:r>
          <w:r>
            <w:instrText xml:space="preserve"> HYPERLINK \l "_Toc198635446" </w:instrText>
          </w:r>
          <w:r>
            <w:fldChar w:fldCharType="separate"/>
          </w:r>
          <w:r>
            <w:rPr>
              <w:rStyle w:val="21"/>
            </w:rPr>
            <w:t>Abstract</w:t>
          </w:r>
          <w:r>
            <w:tab/>
          </w:r>
          <w:r>
            <w:fldChar w:fldCharType="begin"/>
          </w:r>
          <w:r>
            <w:instrText xml:space="preserve"> PAGEREF _Toc198635446 \h </w:instrText>
          </w:r>
          <w:r>
            <w:fldChar w:fldCharType="separate"/>
          </w:r>
          <w:r>
            <w:t>6</w:t>
          </w:r>
          <w:r>
            <w:fldChar w:fldCharType="end"/>
          </w:r>
          <w:r>
            <w:fldChar w:fldCharType="end"/>
          </w:r>
        </w:p>
        <w:p w14:paraId="0A98231F">
          <w:pPr>
            <w:pStyle w:val="28"/>
            <w:rPr>
              <w:rFonts w:asciiTheme="minorHAnsi" w:hAnsiTheme="minorHAnsi" w:eastAsiaTheme="minorEastAsia" w:cstheme="minorBidi"/>
              <w:b w:val="0"/>
              <w:bCs w:val="0"/>
              <w:kern w:val="2"/>
              <w:sz w:val="24"/>
              <w:szCs w:val="24"/>
              <w14:ligatures w14:val="standardContextual"/>
            </w:rPr>
          </w:pPr>
          <w:r>
            <w:fldChar w:fldCharType="begin"/>
          </w:r>
          <w:r>
            <w:instrText xml:space="preserve"> HYPERLINK \l "_Toc198635453" </w:instrText>
          </w:r>
          <w:r>
            <w:fldChar w:fldCharType="separate"/>
          </w:r>
          <w:r>
            <w:rPr>
              <w:rStyle w:val="21"/>
            </w:rPr>
            <w:t>1 INTRODUCTION</w:t>
          </w:r>
          <w:r>
            <w:tab/>
          </w:r>
          <w:r>
            <w:fldChar w:fldCharType="begin"/>
          </w:r>
          <w:r>
            <w:instrText xml:space="preserve"> PAGEREF _Toc198635453 \h </w:instrText>
          </w:r>
          <w:r>
            <w:fldChar w:fldCharType="separate"/>
          </w:r>
          <w:r>
            <w:t>9</w:t>
          </w:r>
          <w:r>
            <w:fldChar w:fldCharType="end"/>
          </w:r>
          <w:r>
            <w:fldChar w:fldCharType="end"/>
          </w:r>
        </w:p>
        <w:p w14:paraId="795559C7">
          <w:pPr>
            <w:pStyle w:val="29"/>
            <w:rPr>
              <w:rFonts w:asciiTheme="minorHAnsi" w:hAnsiTheme="minorHAnsi" w:eastAsiaTheme="minorEastAsia" w:cstheme="minorBidi"/>
              <w:kern w:val="2"/>
              <w14:ligatures w14:val="standardContextual"/>
            </w:rPr>
          </w:pPr>
          <w:r>
            <w:fldChar w:fldCharType="begin"/>
          </w:r>
          <w:r>
            <w:instrText xml:space="preserve"> HYPERLINK \l "_Toc198635454" </w:instrText>
          </w:r>
          <w:r>
            <w:fldChar w:fldCharType="separate"/>
          </w:r>
          <w:r>
            <w:rPr>
              <w:rStyle w:val="21"/>
            </w:rPr>
            <w:t>1.1 Background</w:t>
          </w:r>
          <w:r>
            <w:tab/>
          </w:r>
          <w:r>
            <w:fldChar w:fldCharType="begin"/>
          </w:r>
          <w:r>
            <w:instrText xml:space="preserve"> PAGEREF _Toc198635454 \h </w:instrText>
          </w:r>
          <w:r>
            <w:fldChar w:fldCharType="separate"/>
          </w:r>
          <w:r>
            <w:t>9</w:t>
          </w:r>
          <w:r>
            <w:fldChar w:fldCharType="end"/>
          </w:r>
          <w:r>
            <w:fldChar w:fldCharType="end"/>
          </w:r>
        </w:p>
        <w:p w14:paraId="57F2F97A">
          <w:pPr>
            <w:pStyle w:val="29"/>
            <w:rPr>
              <w:rFonts w:asciiTheme="minorHAnsi" w:hAnsiTheme="minorHAnsi" w:eastAsiaTheme="minorEastAsia" w:cstheme="minorBidi"/>
              <w:kern w:val="2"/>
              <w14:ligatures w14:val="standardContextual"/>
            </w:rPr>
          </w:pPr>
          <w:r>
            <w:fldChar w:fldCharType="begin"/>
          </w:r>
          <w:r>
            <w:instrText xml:space="preserve"> HYPERLINK \l "_Toc198635455" </w:instrText>
          </w:r>
          <w:r>
            <w:fldChar w:fldCharType="separate"/>
          </w:r>
          <w:r>
            <w:rPr>
              <w:rStyle w:val="21"/>
            </w:rPr>
            <w:t>1.2. Statement of the Problem</w:t>
          </w:r>
          <w:r>
            <w:tab/>
          </w:r>
          <w:r>
            <w:fldChar w:fldCharType="begin"/>
          </w:r>
          <w:r>
            <w:instrText xml:space="preserve"> PAGEREF _Toc198635455 \h </w:instrText>
          </w:r>
          <w:r>
            <w:fldChar w:fldCharType="separate"/>
          </w:r>
          <w:r>
            <w:t>11</w:t>
          </w:r>
          <w:r>
            <w:fldChar w:fldCharType="end"/>
          </w:r>
          <w:r>
            <w:fldChar w:fldCharType="end"/>
          </w:r>
        </w:p>
        <w:p w14:paraId="4166503B">
          <w:pPr>
            <w:pStyle w:val="29"/>
            <w:rPr>
              <w:rFonts w:asciiTheme="minorHAnsi" w:hAnsiTheme="minorHAnsi" w:eastAsiaTheme="minorEastAsia" w:cstheme="minorBidi"/>
              <w:kern w:val="2"/>
              <w14:ligatures w14:val="standardContextual"/>
            </w:rPr>
          </w:pPr>
          <w:r>
            <w:fldChar w:fldCharType="begin"/>
          </w:r>
          <w:r>
            <w:instrText xml:space="preserve"> HYPERLINK \l "_Toc198635457" </w:instrText>
          </w:r>
          <w:r>
            <w:fldChar w:fldCharType="separate"/>
          </w:r>
          <w:r>
            <w:rPr>
              <w:rStyle w:val="21"/>
            </w:rPr>
            <w:t>1.3. Significance of The Study</w:t>
          </w:r>
          <w:r>
            <w:tab/>
          </w:r>
          <w:r>
            <w:fldChar w:fldCharType="begin"/>
          </w:r>
          <w:r>
            <w:instrText xml:space="preserve"> PAGEREF _Toc198635457 \h </w:instrText>
          </w:r>
          <w:r>
            <w:fldChar w:fldCharType="separate"/>
          </w:r>
          <w:r>
            <w:t>13</w:t>
          </w:r>
          <w:r>
            <w:fldChar w:fldCharType="end"/>
          </w:r>
          <w:r>
            <w:fldChar w:fldCharType="end"/>
          </w:r>
        </w:p>
        <w:p w14:paraId="1950C67D">
          <w:pPr>
            <w:pStyle w:val="28"/>
            <w:rPr>
              <w:rFonts w:asciiTheme="minorHAnsi" w:hAnsiTheme="minorHAnsi" w:eastAsiaTheme="minorEastAsia" w:cstheme="minorBidi"/>
              <w:b w:val="0"/>
              <w:bCs w:val="0"/>
              <w:kern w:val="2"/>
              <w:sz w:val="24"/>
              <w:szCs w:val="24"/>
              <w14:ligatures w14:val="standardContextual"/>
            </w:rPr>
          </w:pPr>
          <w:r>
            <w:fldChar w:fldCharType="begin"/>
          </w:r>
          <w:r>
            <w:instrText xml:space="preserve"> HYPERLINK \l "_Toc198635459" </w:instrText>
          </w:r>
          <w:r>
            <w:fldChar w:fldCharType="separate"/>
          </w:r>
          <w:r>
            <w:rPr>
              <w:rStyle w:val="21"/>
            </w:rPr>
            <w:t>2 LITERATURE REVIEW</w:t>
          </w:r>
          <w:r>
            <w:tab/>
          </w:r>
          <w:r>
            <w:fldChar w:fldCharType="begin"/>
          </w:r>
          <w:r>
            <w:instrText xml:space="preserve"> PAGEREF _Toc198635459 \h </w:instrText>
          </w:r>
          <w:r>
            <w:fldChar w:fldCharType="separate"/>
          </w:r>
          <w:r>
            <w:t>14</w:t>
          </w:r>
          <w:r>
            <w:fldChar w:fldCharType="end"/>
          </w:r>
          <w:r>
            <w:fldChar w:fldCharType="end"/>
          </w:r>
        </w:p>
        <w:p w14:paraId="3A76263F">
          <w:pPr>
            <w:pStyle w:val="29"/>
            <w:rPr>
              <w:rFonts w:asciiTheme="minorHAnsi" w:hAnsiTheme="minorHAnsi" w:eastAsiaTheme="minorEastAsia" w:cstheme="minorBidi"/>
              <w:kern w:val="2"/>
              <w14:ligatures w14:val="standardContextual"/>
            </w:rPr>
          </w:pPr>
          <w:r>
            <w:fldChar w:fldCharType="begin"/>
          </w:r>
          <w:r>
            <w:instrText xml:space="preserve"> HYPERLINK \l "_Toc198635460" </w:instrText>
          </w:r>
          <w:r>
            <w:fldChar w:fldCharType="separate"/>
          </w:r>
          <w:r>
            <w:rPr>
              <w:rStyle w:val="21"/>
            </w:rPr>
            <w:t>Overview</w:t>
          </w:r>
          <w:r>
            <w:tab/>
          </w:r>
          <w:r>
            <w:fldChar w:fldCharType="begin"/>
          </w:r>
          <w:r>
            <w:instrText xml:space="preserve"> PAGEREF _Toc198635460 \h </w:instrText>
          </w:r>
          <w:r>
            <w:fldChar w:fldCharType="separate"/>
          </w:r>
          <w:r>
            <w:rPr>
              <w:b/>
            </w:rPr>
            <w:t>Error! Bookmark not defined.</w:t>
          </w:r>
          <w:r>
            <w:fldChar w:fldCharType="end"/>
          </w:r>
          <w:r>
            <w:fldChar w:fldCharType="end"/>
          </w:r>
        </w:p>
        <w:p w14:paraId="0744E565">
          <w:pPr>
            <w:pStyle w:val="29"/>
            <w:rPr>
              <w:rFonts w:asciiTheme="minorHAnsi" w:hAnsiTheme="minorHAnsi" w:eastAsiaTheme="minorEastAsia" w:cstheme="minorBidi"/>
              <w:kern w:val="2"/>
              <w14:ligatures w14:val="standardContextual"/>
            </w:rPr>
          </w:pPr>
          <w:r>
            <w:fldChar w:fldCharType="begin"/>
          </w:r>
          <w:r>
            <w:instrText xml:space="preserve"> HYPERLINK \l "_Toc198635461" </w:instrText>
          </w:r>
          <w:r>
            <w:fldChar w:fldCharType="separate"/>
          </w:r>
          <w:r>
            <w:rPr>
              <w:rStyle w:val="21"/>
            </w:rPr>
            <w:t>2.1. Willingness to accept malaria vaccine</w:t>
          </w:r>
          <w:r>
            <w:tab/>
          </w:r>
          <w:r>
            <w:fldChar w:fldCharType="begin"/>
          </w:r>
          <w:r>
            <w:instrText xml:space="preserve"> PAGEREF _Toc198635461 \h </w:instrText>
          </w:r>
          <w:r>
            <w:fldChar w:fldCharType="separate"/>
          </w:r>
          <w:r>
            <w:t>14</w:t>
          </w:r>
          <w:r>
            <w:fldChar w:fldCharType="end"/>
          </w:r>
          <w:r>
            <w:fldChar w:fldCharType="end"/>
          </w:r>
        </w:p>
        <w:p w14:paraId="328847FA">
          <w:pPr>
            <w:pStyle w:val="29"/>
            <w:rPr>
              <w:rFonts w:asciiTheme="minorHAnsi" w:hAnsiTheme="minorHAnsi" w:eastAsiaTheme="minorEastAsia" w:cstheme="minorBidi"/>
              <w:kern w:val="2"/>
              <w14:ligatures w14:val="standardContextual"/>
            </w:rPr>
          </w:pPr>
          <w:r>
            <w:fldChar w:fldCharType="begin"/>
          </w:r>
          <w:r>
            <w:instrText xml:space="preserve"> HYPERLINK \l "_Toc198635463" </w:instrText>
          </w:r>
          <w:r>
            <w:fldChar w:fldCharType="separate"/>
          </w:r>
          <w:r>
            <w:rPr>
              <w:rStyle w:val="21"/>
            </w:rPr>
            <w:t>1. Socio-Demographic Factors</w:t>
          </w:r>
          <w:r>
            <w:tab/>
          </w:r>
          <w:r>
            <w:fldChar w:fldCharType="begin"/>
          </w:r>
          <w:r>
            <w:instrText xml:space="preserve"> PAGEREF _Toc198635463 \h </w:instrText>
          </w:r>
          <w:r>
            <w:fldChar w:fldCharType="separate"/>
          </w:r>
          <w:r>
            <w:t>17</w:t>
          </w:r>
          <w:r>
            <w:fldChar w:fldCharType="end"/>
          </w:r>
          <w:r>
            <w:fldChar w:fldCharType="end"/>
          </w:r>
        </w:p>
        <w:p w14:paraId="41F98246">
          <w:pPr>
            <w:pStyle w:val="29"/>
            <w:rPr>
              <w:rFonts w:asciiTheme="minorHAnsi" w:hAnsiTheme="minorHAnsi" w:eastAsiaTheme="minorEastAsia" w:cstheme="minorBidi"/>
              <w:kern w:val="2"/>
              <w14:ligatures w14:val="standardContextual"/>
            </w:rPr>
          </w:pPr>
          <w:r>
            <w:fldChar w:fldCharType="begin"/>
          </w:r>
          <w:r>
            <w:instrText xml:space="preserve"> HYPERLINK \l "_Toc198635464" </w:instrText>
          </w:r>
          <w:r>
            <w:fldChar w:fldCharType="separate"/>
          </w:r>
          <w:r>
            <w:rPr>
              <w:rStyle w:val="21"/>
            </w:rPr>
            <w:t>2. Health-Related Factors</w:t>
          </w:r>
          <w:r>
            <w:tab/>
          </w:r>
          <w:r>
            <w:fldChar w:fldCharType="begin"/>
          </w:r>
          <w:r>
            <w:instrText xml:space="preserve"> PAGEREF _Toc198635464 \h </w:instrText>
          </w:r>
          <w:r>
            <w:fldChar w:fldCharType="separate"/>
          </w:r>
          <w:r>
            <w:t>18</w:t>
          </w:r>
          <w:r>
            <w:fldChar w:fldCharType="end"/>
          </w:r>
          <w:r>
            <w:fldChar w:fldCharType="end"/>
          </w:r>
        </w:p>
        <w:p w14:paraId="57DDCB22">
          <w:pPr>
            <w:pStyle w:val="29"/>
            <w:rPr>
              <w:rFonts w:asciiTheme="minorHAnsi" w:hAnsiTheme="minorHAnsi" w:eastAsiaTheme="minorEastAsia" w:cstheme="minorBidi"/>
              <w:kern w:val="2"/>
              <w14:ligatures w14:val="standardContextual"/>
            </w:rPr>
          </w:pPr>
          <w:r>
            <w:fldChar w:fldCharType="begin"/>
          </w:r>
          <w:r>
            <w:instrText xml:space="preserve"> HYPERLINK \l "_Toc198635465" </w:instrText>
          </w:r>
          <w:r>
            <w:fldChar w:fldCharType="separate"/>
          </w:r>
          <w:r>
            <w:rPr>
              <w:rStyle w:val="21"/>
            </w:rPr>
            <w:t>3. Malaria Vaccination administration</w:t>
          </w:r>
          <w:r>
            <w:tab/>
          </w:r>
          <w:r>
            <w:fldChar w:fldCharType="begin"/>
          </w:r>
          <w:r>
            <w:instrText xml:space="preserve"> PAGEREF _Toc198635465 \h </w:instrText>
          </w:r>
          <w:r>
            <w:fldChar w:fldCharType="separate"/>
          </w:r>
          <w:r>
            <w:t>20</w:t>
          </w:r>
          <w:r>
            <w:fldChar w:fldCharType="end"/>
          </w:r>
          <w:r>
            <w:fldChar w:fldCharType="end"/>
          </w:r>
        </w:p>
        <w:p w14:paraId="1C6D2480">
          <w:pPr>
            <w:pStyle w:val="29"/>
            <w:rPr>
              <w:rFonts w:asciiTheme="minorHAnsi" w:hAnsiTheme="minorHAnsi" w:eastAsiaTheme="minorEastAsia" w:cstheme="minorBidi"/>
              <w:kern w:val="2"/>
              <w14:ligatures w14:val="standardContextual"/>
            </w:rPr>
          </w:pPr>
          <w:r>
            <w:fldChar w:fldCharType="begin"/>
          </w:r>
          <w:r>
            <w:instrText xml:space="preserve"> HYPERLINK \l "_Toc198635466" </w:instrText>
          </w:r>
          <w:r>
            <w:fldChar w:fldCharType="separate"/>
          </w:r>
          <w:r>
            <w:rPr>
              <w:rStyle w:val="21"/>
            </w:rPr>
            <w:t>4. Knowledge and practice regarding malaria</w:t>
          </w:r>
          <w:r>
            <w:tab/>
          </w:r>
          <w:r>
            <w:fldChar w:fldCharType="begin"/>
          </w:r>
          <w:r>
            <w:instrText xml:space="preserve"> PAGEREF _Toc198635466 \h </w:instrText>
          </w:r>
          <w:r>
            <w:fldChar w:fldCharType="separate"/>
          </w:r>
          <w:r>
            <w:t>21</w:t>
          </w:r>
          <w:r>
            <w:fldChar w:fldCharType="end"/>
          </w:r>
          <w:r>
            <w:fldChar w:fldCharType="end"/>
          </w:r>
        </w:p>
        <w:p w14:paraId="21091963">
          <w:pPr>
            <w:pStyle w:val="29"/>
            <w:rPr>
              <w:rFonts w:asciiTheme="minorHAnsi" w:hAnsiTheme="minorHAnsi" w:eastAsiaTheme="minorEastAsia" w:cstheme="minorBidi"/>
              <w:kern w:val="2"/>
              <w14:ligatures w14:val="standardContextual"/>
            </w:rPr>
          </w:pPr>
          <w:r>
            <w:fldChar w:fldCharType="begin"/>
          </w:r>
          <w:r>
            <w:instrText xml:space="preserve"> HYPERLINK \l "_Toc198635468" </w:instrText>
          </w:r>
          <w:r>
            <w:fldChar w:fldCharType="separate"/>
          </w:r>
          <w:r>
            <w:rPr>
              <w:rStyle w:val="21"/>
            </w:rPr>
            <w:t>5. Perceived attitude towards malaria</w:t>
          </w:r>
          <w:r>
            <w:tab/>
          </w:r>
          <w:r>
            <w:fldChar w:fldCharType="begin"/>
          </w:r>
          <w:r>
            <w:instrText xml:space="preserve"> PAGEREF _Toc198635468 \h </w:instrText>
          </w:r>
          <w:r>
            <w:fldChar w:fldCharType="separate"/>
          </w:r>
          <w:r>
            <w:t>21</w:t>
          </w:r>
          <w:r>
            <w:fldChar w:fldCharType="end"/>
          </w:r>
          <w:r>
            <w:fldChar w:fldCharType="end"/>
          </w:r>
        </w:p>
        <w:p w14:paraId="36E96F9E">
          <w:pPr>
            <w:pStyle w:val="29"/>
            <w:rPr>
              <w:rFonts w:asciiTheme="minorHAnsi" w:hAnsiTheme="minorHAnsi" w:eastAsiaTheme="minorEastAsia" w:cstheme="minorBidi"/>
              <w:kern w:val="2"/>
              <w14:ligatures w14:val="standardContextual"/>
            </w:rPr>
          </w:pPr>
          <w:r>
            <w:fldChar w:fldCharType="begin"/>
          </w:r>
          <w:r>
            <w:instrText xml:space="preserve"> HYPERLINK \l "_Toc198635469" </w:instrText>
          </w:r>
          <w:r>
            <w:fldChar w:fldCharType="separate"/>
          </w:r>
          <w:r>
            <w:rPr>
              <w:rStyle w:val="21"/>
            </w:rPr>
            <w:t>6. Experience and Attitude towards immunization program</w:t>
          </w:r>
          <w:r>
            <w:tab/>
          </w:r>
          <w:r>
            <w:fldChar w:fldCharType="begin"/>
          </w:r>
          <w:r>
            <w:instrText xml:space="preserve"> PAGEREF _Toc198635469 \h </w:instrText>
          </w:r>
          <w:r>
            <w:fldChar w:fldCharType="separate"/>
          </w:r>
          <w:r>
            <w:t>22</w:t>
          </w:r>
          <w:r>
            <w:fldChar w:fldCharType="end"/>
          </w:r>
          <w:r>
            <w:fldChar w:fldCharType="end"/>
          </w:r>
        </w:p>
        <w:p w14:paraId="7BA85A5B">
          <w:pPr>
            <w:pStyle w:val="28"/>
            <w:rPr>
              <w:rFonts w:asciiTheme="minorHAnsi" w:hAnsiTheme="minorHAnsi" w:eastAsiaTheme="minorEastAsia" w:cstheme="minorBidi"/>
              <w:b w:val="0"/>
              <w:bCs w:val="0"/>
              <w:kern w:val="2"/>
              <w:sz w:val="24"/>
              <w:szCs w:val="24"/>
              <w14:ligatures w14:val="standardContextual"/>
            </w:rPr>
          </w:pPr>
          <w:r>
            <w:fldChar w:fldCharType="begin"/>
          </w:r>
          <w:r>
            <w:instrText xml:space="preserve"> HYPERLINK \l "_Toc198635470" </w:instrText>
          </w:r>
          <w:r>
            <w:fldChar w:fldCharType="separate"/>
          </w:r>
          <w:r>
            <w:rPr>
              <w:rStyle w:val="21"/>
            </w:rPr>
            <w:t>3 OBJECTIVES</w:t>
          </w:r>
          <w:r>
            <w:tab/>
          </w:r>
          <w:r>
            <w:fldChar w:fldCharType="begin"/>
          </w:r>
          <w:r>
            <w:instrText xml:space="preserve"> PAGEREF _Toc198635470 \h </w:instrText>
          </w:r>
          <w:r>
            <w:fldChar w:fldCharType="separate"/>
          </w:r>
          <w:r>
            <w:t>24</w:t>
          </w:r>
          <w:r>
            <w:fldChar w:fldCharType="end"/>
          </w:r>
          <w:r>
            <w:fldChar w:fldCharType="end"/>
          </w:r>
        </w:p>
        <w:p w14:paraId="0D6745E6">
          <w:pPr>
            <w:pStyle w:val="29"/>
            <w:rPr>
              <w:rFonts w:asciiTheme="minorHAnsi" w:hAnsiTheme="minorHAnsi" w:eastAsiaTheme="minorEastAsia" w:cstheme="minorBidi"/>
              <w:kern w:val="2"/>
              <w14:ligatures w14:val="standardContextual"/>
            </w:rPr>
          </w:pPr>
          <w:r>
            <w:fldChar w:fldCharType="begin"/>
          </w:r>
          <w:r>
            <w:instrText xml:space="preserve"> HYPERLINK \l "_Toc198635471" </w:instrText>
          </w:r>
          <w:r>
            <w:fldChar w:fldCharType="separate"/>
          </w:r>
          <w:r>
            <w:rPr>
              <w:rStyle w:val="21"/>
            </w:rPr>
            <w:t>3.1. General Objective</w:t>
          </w:r>
          <w:r>
            <w:tab/>
          </w:r>
          <w:r>
            <w:fldChar w:fldCharType="begin"/>
          </w:r>
          <w:r>
            <w:instrText xml:space="preserve"> PAGEREF _Toc198635471 \h </w:instrText>
          </w:r>
          <w:r>
            <w:fldChar w:fldCharType="separate"/>
          </w:r>
          <w:r>
            <w:t>24</w:t>
          </w:r>
          <w:r>
            <w:fldChar w:fldCharType="end"/>
          </w:r>
          <w:r>
            <w:fldChar w:fldCharType="end"/>
          </w:r>
        </w:p>
        <w:p w14:paraId="17993F94">
          <w:pPr>
            <w:pStyle w:val="29"/>
            <w:rPr>
              <w:rFonts w:asciiTheme="minorHAnsi" w:hAnsiTheme="minorHAnsi" w:eastAsiaTheme="minorEastAsia" w:cstheme="minorBidi"/>
              <w:kern w:val="2"/>
              <w14:ligatures w14:val="standardContextual"/>
            </w:rPr>
          </w:pPr>
          <w:r>
            <w:fldChar w:fldCharType="begin"/>
          </w:r>
          <w:r>
            <w:instrText xml:space="preserve"> HYPERLINK \l "_Toc198635472" </w:instrText>
          </w:r>
          <w:r>
            <w:fldChar w:fldCharType="separate"/>
          </w:r>
          <w:r>
            <w:rPr>
              <w:rStyle w:val="21"/>
            </w:rPr>
            <w:t>3.2. Specific objectives</w:t>
          </w:r>
          <w:r>
            <w:tab/>
          </w:r>
          <w:r>
            <w:fldChar w:fldCharType="begin"/>
          </w:r>
          <w:r>
            <w:instrText xml:space="preserve"> PAGEREF _Toc198635472 \h </w:instrText>
          </w:r>
          <w:r>
            <w:fldChar w:fldCharType="separate"/>
          </w:r>
          <w:r>
            <w:t>24</w:t>
          </w:r>
          <w:r>
            <w:fldChar w:fldCharType="end"/>
          </w:r>
          <w:r>
            <w:fldChar w:fldCharType="end"/>
          </w:r>
        </w:p>
        <w:p w14:paraId="71207AA2">
          <w:pPr>
            <w:pStyle w:val="28"/>
            <w:rPr>
              <w:rFonts w:asciiTheme="minorHAnsi" w:hAnsiTheme="minorHAnsi" w:eastAsiaTheme="minorEastAsia" w:cstheme="minorBidi"/>
              <w:b w:val="0"/>
              <w:bCs w:val="0"/>
              <w:kern w:val="2"/>
              <w:sz w:val="24"/>
              <w:szCs w:val="24"/>
              <w14:ligatures w14:val="standardContextual"/>
            </w:rPr>
          </w:pPr>
          <w:r>
            <w:fldChar w:fldCharType="begin"/>
          </w:r>
          <w:r>
            <w:instrText xml:space="preserve"> HYPERLINK \l "_Toc198635473" </w:instrText>
          </w:r>
          <w:r>
            <w:fldChar w:fldCharType="separate"/>
          </w:r>
          <w:r>
            <w:rPr>
              <w:rStyle w:val="21"/>
            </w:rPr>
            <w:t>4 METHODS AND MATERIALS</w:t>
          </w:r>
          <w:r>
            <w:tab/>
          </w:r>
          <w:r>
            <w:fldChar w:fldCharType="begin"/>
          </w:r>
          <w:r>
            <w:instrText xml:space="preserve"> PAGEREF _Toc198635473 \h </w:instrText>
          </w:r>
          <w:r>
            <w:fldChar w:fldCharType="separate"/>
          </w:r>
          <w:r>
            <w:t>25</w:t>
          </w:r>
          <w:r>
            <w:fldChar w:fldCharType="end"/>
          </w:r>
          <w:r>
            <w:fldChar w:fldCharType="end"/>
          </w:r>
        </w:p>
        <w:p w14:paraId="3010D0B6">
          <w:pPr>
            <w:pStyle w:val="29"/>
            <w:rPr>
              <w:rFonts w:asciiTheme="minorHAnsi" w:hAnsiTheme="minorHAnsi" w:eastAsiaTheme="minorEastAsia" w:cstheme="minorBidi"/>
              <w:kern w:val="2"/>
              <w14:ligatures w14:val="standardContextual"/>
            </w:rPr>
          </w:pPr>
          <w:r>
            <w:fldChar w:fldCharType="begin"/>
          </w:r>
          <w:r>
            <w:instrText xml:space="preserve"> HYPERLINK \l "_Toc198635474" </w:instrText>
          </w:r>
          <w:r>
            <w:fldChar w:fldCharType="separate"/>
          </w:r>
          <w:r>
            <w:rPr>
              <w:rStyle w:val="21"/>
            </w:rPr>
            <w:t>4.1. Study Area and Period</w:t>
          </w:r>
          <w:r>
            <w:tab/>
          </w:r>
          <w:r>
            <w:fldChar w:fldCharType="begin"/>
          </w:r>
          <w:r>
            <w:instrText xml:space="preserve"> PAGEREF _Toc198635474 \h </w:instrText>
          </w:r>
          <w:r>
            <w:fldChar w:fldCharType="separate"/>
          </w:r>
          <w:r>
            <w:t>25</w:t>
          </w:r>
          <w:r>
            <w:fldChar w:fldCharType="end"/>
          </w:r>
          <w:r>
            <w:fldChar w:fldCharType="end"/>
          </w:r>
        </w:p>
        <w:p w14:paraId="7B3DD7DE">
          <w:pPr>
            <w:pStyle w:val="29"/>
            <w:rPr>
              <w:rFonts w:asciiTheme="minorHAnsi" w:hAnsiTheme="minorHAnsi" w:eastAsiaTheme="minorEastAsia" w:cstheme="minorBidi"/>
              <w:kern w:val="2"/>
              <w14:ligatures w14:val="standardContextual"/>
            </w:rPr>
          </w:pPr>
          <w:r>
            <w:fldChar w:fldCharType="begin"/>
          </w:r>
          <w:r>
            <w:instrText xml:space="preserve"> HYPERLINK \l "_Toc198635475" </w:instrText>
          </w:r>
          <w:r>
            <w:fldChar w:fldCharType="separate"/>
          </w:r>
          <w:r>
            <w:rPr>
              <w:rStyle w:val="21"/>
            </w:rPr>
            <w:t>4.2. Study design</w:t>
          </w:r>
          <w:r>
            <w:tab/>
          </w:r>
          <w:r>
            <w:fldChar w:fldCharType="begin"/>
          </w:r>
          <w:r>
            <w:instrText xml:space="preserve"> PAGEREF _Toc198635475 \h </w:instrText>
          </w:r>
          <w:r>
            <w:fldChar w:fldCharType="separate"/>
          </w:r>
          <w:r>
            <w:t>25</w:t>
          </w:r>
          <w:r>
            <w:fldChar w:fldCharType="end"/>
          </w:r>
          <w:r>
            <w:fldChar w:fldCharType="end"/>
          </w:r>
        </w:p>
        <w:p w14:paraId="0B11AED6">
          <w:pPr>
            <w:pStyle w:val="29"/>
            <w:rPr>
              <w:rFonts w:asciiTheme="minorHAnsi" w:hAnsiTheme="minorHAnsi" w:eastAsiaTheme="minorEastAsia" w:cstheme="minorBidi"/>
              <w:kern w:val="2"/>
              <w14:ligatures w14:val="standardContextual"/>
            </w:rPr>
          </w:pPr>
          <w:r>
            <w:fldChar w:fldCharType="begin"/>
          </w:r>
          <w:r>
            <w:instrText xml:space="preserve"> HYPERLINK \l "_Toc198635476" </w:instrText>
          </w:r>
          <w:r>
            <w:fldChar w:fldCharType="separate"/>
          </w:r>
          <w:r>
            <w:rPr>
              <w:rStyle w:val="21"/>
            </w:rPr>
            <w:t>4.3. Source population</w:t>
          </w:r>
          <w:r>
            <w:tab/>
          </w:r>
          <w:r>
            <w:fldChar w:fldCharType="begin"/>
          </w:r>
          <w:r>
            <w:instrText xml:space="preserve"> PAGEREF _Toc198635476 \h </w:instrText>
          </w:r>
          <w:r>
            <w:fldChar w:fldCharType="separate"/>
          </w:r>
          <w:r>
            <w:t>25</w:t>
          </w:r>
          <w:r>
            <w:fldChar w:fldCharType="end"/>
          </w:r>
          <w:r>
            <w:fldChar w:fldCharType="end"/>
          </w:r>
        </w:p>
        <w:p w14:paraId="532CB81F">
          <w:pPr>
            <w:pStyle w:val="29"/>
            <w:rPr>
              <w:rFonts w:asciiTheme="minorHAnsi" w:hAnsiTheme="minorHAnsi" w:eastAsiaTheme="minorEastAsia" w:cstheme="minorBidi"/>
              <w:kern w:val="2"/>
              <w14:ligatures w14:val="standardContextual"/>
            </w:rPr>
          </w:pPr>
          <w:r>
            <w:fldChar w:fldCharType="begin"/>
          </w:r>
          <w:r>
            <w:instrText xml:space="preserve"> HYPERLINK \l "_Toc198635477" </w:instrText>
          </w:r>
          <w:r>
            <w:fldChar w:fldCharType="separate"/>
          </w:r>
          <w:r>
            <w:rPr>
              <w:rStyle w:val="21"/>
            </w:rPr>
            <w:t>4.4. Sample  Population</w:t>
          </w:r>
          <w:r>
            <w:tab/>
          </w:r>
          <w:r>
            <w:fldChar w:fldCharType="begin"/>
          </w:r>
          <w:r>
            <w:instrText xml:space="preserve"> PAGEREF _Toc198635477 \h </w:instrText>
          </w:r>
          <w:r>
            <w:fldChar w:fldCharType="separate"/>
          </w:r>
          <w:r>
            <w:t>25</w:t>
          </w:r>
          <w:r>
            <w:fldChar w:fldCharType="end"/>
          </w:r>
          <w:r>
            <w:fldChar w:fldCharType="end"/>
          </w:r>
        </w:p>
        <w:p w14:paraId="39E0EC5D">
          <w:pPr>
            <w:pStyle w:val="29"/>
            <w:rPr>
              <w:rFonts w:asciiTheme="minorHAnsi" w:hAnsiTheme="minorHAnsi" w:eastAsiaTheme="minorEastAsia" w:cstheme="minorBidi"/>
              <w:kern w:val="2"/>
              <w14:ligatures w14:val="standardContextual"/>
            </w:rPr>
          </w:pPr>
          <w:r>
            <w:fldChar w:fldCharType="begin"/>
          </w:r>
          <w:r>
            <w:instrText xml:space="preserve"> HYPERLINK \l "_Toc198635478" </w:instrText>
          </w:r>
          <w:r>
            <w:fldChar w:fldCharType="separate"/>
          </w:r>
          <w:r>
            <w:rPr>
              <w:rStyle w:val="21"/>
            </w:rPr>
            <w:t>4.5. Inclusion criteria:</w:t>
          </w:r>
          <w:r>
            <w:tab/>
          </w:r>
          <w:r>
            <w:fldChar w:fldCharType="begin"/>
          </w:r>
          <w:r>
            <w:instrText xml:space="preserve"> PAGEREF _Toc198635478 \h </w:instrText>
          </w:r>
          <w:r>
            <w:fldChar w:fldCharType="separate"/>
          </w:r>
          <w:r>
            <w:t>25</w:t>
          </w:r>
          <w:r>
            <w:fldChar w:fldCharType="end"/>
          </w:r>
          <w:r>
            <w:fldChar w:fldCharType="end"/>
          </w:r>
        </w:p>
        <w:p w14:paraId="74704AFE">
          <w:pPr>
            <w:pStyle w:val="29"/>
            <w:rPr>
              <w:rFonts w:asciiTheme="minorHAnsi" w:hAnsiTheme="minorHAnsi" w:eastAsiaTheme="minorEastAsia" w:cstheme="minorBidi"/>
              <w:kern w:val="2"/>
              <w14:ligatures w14:val="standardContextual"/>
            </w:rPr>
          </w:pPr>
          <w:r>
            <w:fldChar w:fldCharType="begin"/>
          </w:r>
          <w:r>
            <w:instrText xml:space="preserve"> HYPERLINK \l "_Toc198635479" </w:instrText>
          </w:r>
          <w:r>
            <w:fldChar w:fldCharType="separate"/>
          </w:r>
          <w:r>
            <w:rPr>
              <w:rStyle w:val="21"/>
            </w:rPr>
            <w:t>4.6. Exclusion Criteria:</w:t>
          </w:r>
          <w:r>
            <w:tab/>
          </w:r>
          <w:r>
            <w:fldChar w:fldCharType="begin"/>
          </w:r>
          <w:r>
            <w:instrText xml:space="preserve"> PAGEREF _Toc198635479 \h </w:instrText>
          </w:r>
          <w:r>
            <w:fldChar w:fldCharType="separate"/>
          </w:r>
          <w:r>
            <w:t>25</w:t>
          </w:r>
          <w:r>
            <w:fldChar w:fldCharType="end"/>
          </w:r>
          <w:r>
            <w:fldChar w:fldCharType="end"/>
          </w:r>
        </w:p>
        <w:p w14:paraId="18633D25">
          <w:pPr>
            <w:pStyle w:val="29"/>
            <w:rPr>
              <w:rFonts w:asciiTheme="minorHAnsi" w:hAnsiTheme="minorHAnsi" w:eastAsiaTheme="minorEastAsia" w:cstheme="minorBidi"/>
              <w:kern w:val="2"/>
              <w14:ligatures w14:val="standardContextual"/>
            </w:rPr>
          </w:pPr>
          <w:r>
            <w:fldChar w:fldCharType="begin"/>
          </w:r>
          <w:r>
            <w:instrText xml:space="preserve"> HYPERLINK \l "_Toc198635480" </w:instrText>
          </w:r>
          <w:r>
            <w:fldChar w:fldCharType="separate"/>
          </w:r>
          <w:r>
            <w:rPr>
              <w:rStyle w:val="21"/>
            </w:rPr>
            <w:t>4.7. Sample Size Determination</w:t>
          </w:r>
          <w:r>
            <w:tab/>
          </w:r>
          <w:r>
            <w:fldChar w:fldCharType="begin"/>
          </w:r>
          <w:r>
            <w:instrText xml:space="preserve"> PAGEREF _Toc198635480 \h </w:instrText>
          </w:r>
          <w:r>
            <w:fldChar w:fldCharType="separate"/>
          </w:r>
          <w:r>
            <w:t>26</w:t>
          </w:r>
          <w:r>
            <w:fldChar w:fldCharType="end"/>
          </w:r>
          <w:r>
            <w:fldChar w:fldCharType="end"/>
          </w:r>
        </w:p>
        <w:p w14:paraId="6D769C9E">
          <w:pPr>
            <w:pStyle w:val="29"/>
            <w:rPr>
              <w:rFonts w:asciiTheme="minorHAnsi" w:hAnsiTheme="minorHAnsi" w:eastAsiaTheme="minorEastAsia" w:cstheme="minorBidi"/>
              <w:kern w:val="2"/>
              <w14:ligatures w14:val="standardContextual"/>
            </w:rPr>
          </w:pPr>
          <w:r>
            <w:fldChar w:fldCharType="begin"/>
          </w:r>
          <w:r>
            <w:instrText xml:space="preserve"> HYPERLINK \l "_Toc198635481" </w:instrText>
          </w:r>
          <w:r>
            <w:fldChar w:fldCharType="separate"/>
          </w:r>
          <w:r>
            <w:rPr>
              <w:rStyle w:val="21"/>
            </w:rPr>
            <w:t>4.8. Sampling   procedures</w:t>
          </w:r>
          <w:r>
            <w:tab/>
          </w:r>
          <w:r>
            <w:fldChar w:fldCharType="begin"/>
          </w:r>
          <w:r>
            <w:instrText xml:space="preserve"> PAGEREF _Toc198635481 \h </w:instrText>
          </w:r>
          <w:r>
            <w:fldChar w:fldCharType="separate"/>
          </w:r>
          <w:r>
            <w:t>27</w:t>
          </w:r>
          <w:r>
            <w:fldChar w:fldCharType="end"/>
          </w:r>
          <w:r>
            <w:fldChar w:fldCharType="end"/>
          </w:r>
        </w:p>
        <w:p w14:paraId="7D08924B">
          <w:pPr>
            <w:pStyle w:val="29"/>
            <w:rPr>
              <w:rFonts w:asciiTheme="minorHAnsi" w:hAnsiTheme="minorHAnsi" w:eastAsiaTheme="minorEastAsia" w:cstheme="minorBidi"/>
              <w:kern w:val="2"/>
              <w14:ligatures w14:val="standardContextual"/>
            </w:rPr>
          </w:pPr>
          <w:r>
            <w:fldChar w:fldCharType="begin"/>
          </w:r>
          <w:r>
            <w:instrText xml:space="preserve"> HYPERLINK \l "_Toc198635482" </w:instrText>
          </w:r>
          <w:r>
            <w:fldChar w:fldCharType="separate"/>
          </w:r>
          <w:r>
            <w:rPr>
              <w:rStyle w:val="21"/>
            </w:rPr>
            <w:t>4.9. Data Collection instrument and process</w:t>
          </w:r>
          <w:r>
            <w:tab/>
          </w:r>
          <w:r>
            <w:fldChar w:fldCharType="begin"/>
          </w:r>
          <w:r>
            <w:instrText xml:space="preserve"> PAGEREF _Toc198635482 \h </w:instrText>
          </w:r>
          <w:r>
            <w:fldChar w:fldCharType="separate"/>
          </w:r>
          <w:r>
            <w:t>28</w:t>
          </w:r>
          <w:r>
            <w:fldChar w:fldCharType="end"/>
          </w:r>
          <w:r>
            <w:fldChar w:fldCharType="end"/>
          </w:r>
        </w:p>
        <w:p w14:paraId="1F260D5B">
          <w:pPr>
            <w:pStyle w:val="29"/>
            <w:rPr>
              <w:rFonts w:asciiTheme="minorHAnsi" w:hAnsiTheme="minorHAnsi" w:eastAsiaTheme="minorEastAsia" w:cstheme="minorBidi"/>
              <w:kern w:val="2"/>
              <w14:ligatures w14:val="standardContextual"/>
            </w:rPr>
          </w:pPr>
          <w:r>
            <w:fldChar w:fldCharType="begin"/>
          </w:r>
          <w:r>
            <w:instrText xml:space="preserve"> HYPERLINK \l "_Toc198635484" </w:instrText>
          </w:r>
          <w:r>
            <w:fldChar w:fldCharType="separate"/>
          </w:r>
          <w:r>
            <w:rPr>
              <w:rStyle w:val="21"/>
            </w:rPr>
            <w:t>4.10. Data Quality Control</w:t>
          </w:r>
          <w:r>
            <w:tab/>
          </w:r>
          <w:r>
            <w:fldChar w:fldCharType="begin"/>
          </w:r>
          <w:r>
            <w:instrText xml:space="preserve"> PAGEREF _Toc198635484 \h </w:instrText>
          </w:r>
          <w:r>
            <w:fldChar w:fldCharType="separate"/>
          </w:r>
          <w:r>
            <w:t>28</w:t>
          </w:r>
          <w:r>
            <w:fldChar w:fldCharType="end"/>
          </w:r>
          <w:r>
            <w:fldChar w:fldCharType="end"/>
          </w:r>
        </w:p>
        <w:p w14:paraId="224911C0">
          <w:pPr>
            <w:pStyle w:val="29"/>
            <w:rPr>
              <w:rFonts w:asciiTheme="minorHAnsi" w:hAnsiTheme="minorHAnsi" w:eastAsiaTheme="minorEastAsia" w:cstheme="minorBidi"/>
              <w:kern w:val="2"/>
              <w14:ligatures w14:val="standardContextual"/>
            </w:rPr>
          </w:pPr>
          <w:r>
            <w:fldChar w:fldCharType="begin"/>
          </w:r>
          <w:r>
            <w:instrText xml:space="preserve"> HYPERLINK \l "_Toc198635485" </w:instrText>
          </w:r>
          <w:r>
            <w:fldChar w:fldCharType="separate"/>
          </w:r>
          <w:r>
            <w:rPr>
              <w:rStyle w:val="21"/>
            </w:rPr>
            <w:t>4.11. Study Variables</w:t>
          </w:r>
          <w:r>
            <w:tab/>
          </w:r>
          <w:r>
            <w:fldChar w:fldCharType="begin"/>
          </w:r>
          <w:r>
            <w:instrText xml:space="preserve"> PAGEREF _Toc198635485 \h </w:instrText>
          </w:r>
          <w:r>
            <w:fldChar w:fldCharType="separate"/>
          </w:r>
          <w:r>
            <w:t>28</w:t>
          </w:r>
          <w:r>
            <w:fldChar w:fldCharType="end"/>
          </w:r>
          <w:r>
            <w:fldChar w:fldCharType="end"/>
          </w:r>
        </w:p>
        <w:p w14:paraId="2F7084A4">
          <w:pPr>
            <w:pStyle w:val="29"/>
            <w:rPr>
              <w:rFonts w:asciiTheme="minorHAnsi" w:hAnsiTheme="minorHAnsi" w:eastAsiaTheme="minorEastAsia" w:cstheme="minorBidi"/>
              <w:kern w:val="2"/>
              <w14:ligatures w14:val="standardContextual"/>
            </w:rPr>
          </w:pPr>
          <w:r>
            <w:fldChar w:fldCharType="begin"/>
          </w:r>
          <w:r>
            <w:instrText xml:space="preserve"> HYPERLINK \l "_Toc198635486" </w:instrText>
          </w:r>
          <w:r>
            <w:fldChar w:fldCharType="separate"/>
          </w:r>
          <w:r>
            <w:rPr>
              <w:rStyle w:val="21"/>
            </w:rPr>
            <w:t>4.11.1. Dependent Variables</w:t>
          </w:r>
          <w:r>
            <w:tab/>
          </w:r>
          <w:r>
            <w:fldChar w:fldCharType="begin"/>
          </w:r>
          <w:r>
            <w:instrText xml:space="preserve"> PAGEREF _Toc198635486 \h </w:instrText>
          </w:r>
          <w:r>
            <w:fldChar w:fldCharType="separate"/>
          </w:r>
          <w:r>
            <w:t>28</w:t>
          </w:r>
          <w:r>
            <w:fldChar w:fldCharType="end"/>
          </w:r>
          <w:r>
            <w:fldChar w:fldCharType="end"/>
          </w:r>
        </w:p>
        <w:p w14:paraId="5894870E">
          <w:pPr>
            <w:pStyle w:val="29"/>
            <w:rPr>
              <w:rFonts w:asciiTheme="minorHAnsi" w:hAnsiTheme="minorHAnsi" w:eastAsiaTheme="minorEastAsia" w:cstheme="minorBidi"/>
              <w:kern w:val="2"/>
              <w14:ligatures w14:val="standardContextual"/>
            </w:rPr>
          </w:pPr>
          <w:r>
            <w:fldChar w:fldCharType="begin"/>
          </w:r>
          <w:r>
            <w:instrText xml:space="preserve"> HYPERLINK \l "_Toc198635487" </w:instrText>
          </w:r>
          <w:r>
            <w:fldChar w:fldCharType="separate"/>
          </w:r>
          <w:r>
            <w:rPr>
              <w:rStyle w:val="21"/>
            </w:rPr>
            <w:t>4.11.2. Independent Variables</w:t>
          </w:r>
          <w:r>
            <w:tab/>
          </w:r>
          <w:r>
            <w:fldChar w:fldCharType="begin"/>
          </w:r>
          <w:r>
            <w:instrText xml:space="preserve"> PAGEREF _Toc198635487 \h </w:instrText>
          </w:r>
          <w:r>
            <w:fldChar w:fldCharType="separate"/>
          </w:r>
          <w:r>
            <w:t>29</w:t>
          </w:r>
          <w:r>
            <w:fldChar w:fldCharType="end"/>
          </w:r>
          <w:r>
            <w:fldChar w:fldCharType="end"/>
          </w:r>
        </w:p>
        <w:p w14:paraId="596AFF0B">
          <w:pPr>
            <w:pStyle w:val="29"/>
            <w:rPr>
              <w:rFonts w:asciiTheme="minorHAnsi" w:hAnsiTheme="minorHAnsi" w:eastAsiaTheme="minorEastAsia" w:cstheme="minorBidi"/>
              <w:kern w:val="2"/>
              <w14:ligatures w14:val="standardContextual"/>
            </w:rPr>
          </w:pPr>
          <w:r>
            <w:fldChar w:fldCharType="begin"/>
          </w:r>
          <w:r>
            <w:instrText xml:space="preserve"> HYPERLINK \l "_Toc198635488" </w:instrText>
          </w:r>
          <w:r>
            <w:fldChar w:fldCharType="separate"/>
          </w:r>
          <w:r>
            <w:rPr>
              <w:rStyle w:val="21"/>
            </w:rPr>
            <w:t>4.12. Data Analysis</w:t>
          </w:r>
          <w:r>
            <w:tab/>
          </w:r>
          <w:r>
            <w:fldChar w:fldCharType="begin"/>
          </w:r>
          <w:r>
            <w:instrText xml:space="preserve"> PAGEREF _Toc198635488 \h </w:instrText>
          </w:r>
          <w:r>
            <w:fldChar w:fldCharType="separate"/>
          </w:r>
          <w:r>
            <w:t>30</w:t>
          </w:r>
          <w:r>
            <w:fldChar w:fldCharType="end"/>
          </w:r>
          <w:r>
            <w:fldChar w:fldCharType="end"/>
          </w:r>
        </w:p>
        <w:p w14:paraId="3BD3E148">
          <w:pPr>
            <w:pStyle w:val="29"/>
            <w:rPr>
              <w:rFonts w:asciiTheme="minorHAnsi" w:hAnsiTheme="minorHAnsi" w:eastAsiaTheme="minorEastAsia" w:cstheme="minorBidi"/>
              <w:kern w:val="2"/>
              <w14:ligatures w14:val="standardContextual"/>
            </w:rPr>
          </w:pPr>
          <w:r>
            <w:fldChar w:fldCharType="begin"/>
          </w:r>
          <w:r>
            <w:instrText xml:space="preserve"> HYPERLINK \l "_Toc198635489" </w:instrText>
          </w:r>
          <w:r>
            <w:fldChar w:fldCharType="separate"/>
          </w:r>
          <w:r>
            <w:rPr>
              <w:rStyle w:val="21"/>
            </w:rPr>
            <w:t>4.13. Ethical Consideration</w:t>
          </w:r>
          <w:r>
            <w:tab/>
          </w:r>
          <w:r>
            <w:fldChar w:fldCharType="begin"/>
          </w:r>
          <w:r>
            <w:instrText xml:space="preserve"> PAGEREF _Toc198635489 \h </w:instrText>
          </w:r>
          <w:r>
            <w:fldChar w:fldCharType="separate"/>
          </w:r>
          <w:r>
            <w:t>31</w:t>
          </w:r>
          <w:r>
            <w:fldChar w:fldCharType="end"/>
          </w:r>
          <w:r>
            <w:fldChar w:fldCharType="end"/>
          </w:r>
        </w:p>
        <w:p w14:paraId="2F1497DB">
          <w:pPr>
            <w:pStyle w:val="29"/>
            <w:rPr>
              <w:rFonts w:asciiTheme="minorHAnsi" w:hAnsiTheme="minorHAnsi" w:eastAsiaTheme="minorEastAsia" w:cstheme="minorBidi"/>
              <w:kern w:val="2"/>
              <w14:ligatures w14:val="standardContextual"/>
            </w:rPr>
          </w:pPr>
          <w:r>
            <w:fldChar w:fldCharType="begin"/>
          </w:r>
          <w:r>
            <w:instrText xml:space="preserve"> HYPERLINK \l "_Toc198635490" </w:instrText>
          </w:r>
          <w:r>
            <w:fldChar w:fldCharType="separate"/>
          </w:r>
          <w:r>
            <w:rPr>
              <w:rStyle w:val="21"/>
            </w:rPr>
            <w:t>4.14. Dissemination Plan</w:t>
          </w:r>
          <w:r>
            <w:tab/>
          </w:r>
          <w:r>
            <w:fldChar w:fldCharType="begin"/>
          </w:r>
          <w:r>
            <w:instrText xml:space="preserve"> PAGEREF _Toc198635490 \h </w:instrText>
          </w:r>
          <w:r>
            <w:fldChar w:fldCharType="separate"/>
          </w:r>
          <w:r>
            <w:t>31</w:t>
          </w:r>
          <w:r>
            <w:fldChar w:fldCharType="end"/>
          </w:r>
          <w:r>
            <w:fldChar w:fldCharType="end"/>
          </w:r>
        </w:p>
        <w:p w14:paraId="02F87D80">
          <w:pPr>
            <w:pStyle w:val="29"/>
            <w:rPr>
              <w:rFonts w:asciiTheme="minorHAnsi" w:hAnsiTheme="minorHAnsi" w:eastAsiaTheme="minorEastAsia" w:cstheme="minorBidi"/>
              <w:kern w:val="2"/>
              <w14:ligatures w14:val="standardContextual"/>
            </w:rPr>
          </w:pPr>
          <w:r>
            <w:fldChar w:fldCharType="begin"/>
          </w:r>
          <w:r>
            <w:instrText xml:space="preserve"> HYPERLINK \l "_Toc198635491" </w:instrText>
          </w:r>
          <w:r>
            <w:fldChar w:fldCharType="separate"/>
          </w:r>
          <w:r>
            <w:rPr>
              <w:rStyle w:val="21"/>
            </w:rPr>
            <w:t>4.15. Operational definition</w:t>
          </w:r>
          <w:r>
            <w:tab/>
          </w:r>
          <w:r>
            <w:fldChar w:fldCharType="begin"/>
          </w:r>
          <w:r>
            <w:instrText xml:space="preserve"> PAGEREF _Toc198635491 \h </w:instrText>
          </w:r>
          <w:r>
            <w:fldChar w:fldCharType="separate"/>
          </w:r>
          <w:r>
            <w:t>31</w:t>
          </w:r>
          <w:r>
            <w:fldChar w:fldCharType="end"/>
          </w:r>
          <w:r>
            <w:fldChar w:fldCharType="end"/>
          </w:r>
        </w:p>
        <w:p w14:paraId="24BA4FF7">
          <w:pPr>
            <w:pStyle w:val="28"/>
            <w:rPr>
              <w:rFonts w:asciiTheme="minorHAnsi" w:hAnsiTheme="minorHAnsi" w:eastAsiaTheme="minorEastAsia" w:cstheme="minorBidi"/>
              <w:b w:val="0"/>
              <w:bCs w:val="0"/>
              <w:kern w:val="2"/>
              <w:sz w:val="24"/>
              <w:szCs w:val="24"/>
              <w14:ligatures w14:val="standardContextual"/>
            </w:rPr>
          </w:pPr>
          <w:r>
            <w:rPr>
              <w:rFonts w:hint="default"/>
              <w:lang w:val="en-US"/>
            </w:rPr>
            <w:t>5.</w:t>
          </w:r>
          <w:r>
            <w:fldChar w:fldCharType="begin"/>
          </w:r>
          <w:r>
            <w:instrText xml:space="preserve"> HYPERLINK \l "_Toc198635495" </w:instrText>
          </w:r>
          <w:r>
            <w:fldChar w:fldCharType="separate"/>
          </w:r>
          <w:r>
            <w:rPr>
              <w:rStyle w:val="21"/>
            </w:rPr>
            <w:t>RESULTS</w:t>
          </w:r>
          <w:r>
            <w:tab/>
          </w:r>
          <w:r>
            <w:fldChar w:fldCharType="begin"/>
          </w:r>
          <w:r>
            <w:instrText xml:space="preserve"> PAGEREF _Toc198635495 \h </w:instrText>
          </w:r>
          <w:r>
            <w:fldChar w:fldCharType="separate"/>
          </w:r>
          <w:r>
            <w:t>33</w:t>
          </w:r>
          <w:r>
            <w:fldChar w:fldCharType="end"/>
          </w:r>
          <w:r>
            <w:fldChar w:fldCharType="end"/>
          </w:r>
        </w:p>
        <w:p w14:paraId="312A4388">
          <w:pPr>
            <w:pStyle w:val="28"/>
            <w:rPr>
              <w:rFonts w:asciiTheme="minorHAnsi" w:hAnsiTheme="minorHAnsi" w:eastAsiaTheme="minorEastAsia" w:cstheme="minorBidi"/>
              <w:b w:val="0"/>
              <w:bCs w:val="0"/>
              <w:kern w:val="2"/>
              <w:sz w:val="24"/>
              <w:szCs w:val="24"/>
              <w14:ligatures w14:val="standardContextual"/>
            </w:rPr>
          </w:pPr>
          <w:r>
            <w:rPr>
              <w:rFonts w:hint="default"/>
              <w:lang w:val="en-US"/>
            </w:rPr>
            <w:t>6.</w:t>
          </w:r>
          <w:r>
            <w:fldChar w:fldCharType="begin"/>
          </w:r>
          <w:r>
            <w:instrText xml:space="preserve"> HYPERLINK \l "_Toc198635603" </w:instrText>
          </w:r>
          <w:r>
            <w:fldChar w:fldCharType="separate"/>
          </w:r>
          <w:r>
            <w:rPr>
              <w:rStyle w:val="21"/>
            </w:rPr>
            <w:t>Discussion</w:t>
          </w:r>
          <w:r>
            <w:tab/>
          </w:r>
          <w:r>
            <w:fldChar w:fldCharType="begin"/>
          </w:r>
          <w:r>
            <w:instrText xml:space="preserve"> PAGEREF _Toc198635603 \h </w:instrText>
          </w:r>
          <w:r>
            <w:fldChar w:fldCharType="separate"/>
          </w:r>
          <w:r>
            <w:t>43</w:t>
          </w:r>
          <w:r>
            <w:fldChar w:fldCharType="end"/>
          </w:r>
          <w:r>
            <w:fldChar w:fldCharType="end"/>
          </w:r>
        </w:p>
        <w:p w14:paraId="0DD70F6C">
          <w:pPr>
            <w:pStyle w:val="29"/>
            <w:rPr>
              <w:rFonts w:asciiTheme="minorHAnsi" w:hAnsiTheme="minorHAnsi" w:eastAsiaTheme="minorEastAsia" w:cstheme="minorBidi"/>
              <w:kern w:val="2"/>
              <w14:ligatures w14:val="standardContextual"/>
            </w:rPr>
          </w:pPr>
          <w:r>
            <w:rPr>
              <w:rFonts w:hint="default"/>
              <w:lang w:val="en-US"/>
            </w:rPr>
            <w:t>7.</w:t>
          </w:r>
          <w:r>
            <w:fldChar w:fldCharType="begin"/>
          </w:r>
          <w:r>
            <w:instrText xml:space="preserve"> HYPERLINK \l "_Toc198635604" </w:instrText>
          </w:r>
          <w:r>
            <w:fldChar w:fldCharType="separate"/>
          </w:r>
          <w:r>
            <w:rPr>
              <w:rStyle w:val="21"/>
            </w:rPr>
            <w:t>Conclusion</w:t>
          </w:r>
          <w:r>
            <w:tab/>
          </w:r>
          <w:r>
            <w:fldChar w:fldCharType="begin"/>
          </w:r>
          <w:r>
            <w:instrText xml:space="preserve"> PAGEREF _Toc198635604 \h </w:instrText>
          </w:r>
          <w:r>
            <w:fldChar w:fldCharType="separate"/>
          </w:r>
          <w:r>
            <w:t>44</w:t>
          </w:r>
          <w:r>
            <w:fldChar w:fldCharType="end"/>
          </w:r>
          <w:r>
            <w:fldChar w:fldCharType="end"/>
          </w:r>
        </w:p>
        <w:p w14:paraId="1F81B239">
          <w:pPr>
            <w:pStyle w:val="28"/>
            <w:rPr>
              <w:rFonts w:asciiTheme="minorHAnsi" w:hAnsiTheme="minorHAnsi" w:eastAsiaTheme="minorEastAsia" w:cstheme="minorBidi"/>
              <w:b w:val="0"/>
              <w:bCs w:val="0"/>
              <w:kern w:val="2"/>
              <w:sz w:val="24"/>
              <w:szCs w:val="24"/>
              <w14:ligatures w14:val="standardContextual"/>
            </w:rPr>
          </w:pPr>
          <w:r>
            <w:rPr>
              <w:rFonts w:hint="default"/>
              <w:lang w:val="en-US"/>
            </w:rPr>
            <w:t>8</w:t>
          </w:r>
          <w:r>
            <w:fldChar w:fldCharType="begin"/>
          </w:r>
          <w:r>
            <w:instrText xml:space="preserve"> HYPERLINK \l "_Toc198635605" </w:instrText>
          </w:r>
          <w:r>
            <w:fldChar w:fldCharType="separate"/>
          </w:r>
          <w:r>
            <w:rPr>
              <w:rStyle w:val="21"/>
            </w:rPr>
            <w:t>Recommendations</w:t>
          </w:r>
          <w:r>
            <w:tab/>
          </w:r>
          <w:r>
            <w:fldChar w:fldCharType="begin"/>
          </w:r>
          <w:r>
            <w:instrText xml:space="preserve"> PAGEREF _Toc198635605 \h </w:instrText>
          </w:r>
          <w:r>
            <w:fldChar w:fldCharType="separate"/>
          </w:r>
          <w:r>
            <w:t>45</w:t>
          </w:r>
          <w:r>
            <w:fldChar w:fldCharType="end"/>
          </w:r>
          <w:r>
            <w:fldChar w:fldCharType="end"/>
          </w:r>
        </w:p>
        <w:p w14:paraId="36C073A9">
          <w:pPr>
            <w:pStyle w:val="28"/>
            <w:rPr>
              <w:rFonts w:asciiTheme="minorHAnsi" w:hAnsiTheme="minorHAnsi" w:eastAsiaTheme="minorEastAsia" w:cstheme="minorBidi"/>
              <w:b w:val="0"/>
              <w:bCs w:val="0"/>
              <w:kern w:val="2"/>
              <w:sz w:val="24"/>
              <w:szCs w:val="24"/>
              <w14:ligatures w14:val="standardContextual"/>
            </w:rPr>
          </w:pPr>
          <w:r>
            <w:fldChar w:fldCharType="begin"/>
          </w:r>
          <w:r>
            <w:instrText xml:space="preserve"> HYPERLINK \l "_Toc198635606" </w:instrText>
          </w:r>
          <w:r>
            <w:fldChar w:fldCharType="separate"/>
          </w:r>
          <w:r>
            <w:rPr>
              <w:rStyle w:val="21"/>
            </w:rPr>
            <w:t>Strengths</w:t>
          </w:r>
          <w:r>
            <w:tab/>
          </w:r>
          <w:r>
            <w:fldChar w:fldCharType="begin"/>
          </w:r>
          <w:r>
            <w:instrText xml:space="preserve"> PAGEREF _Toc198635606 \h </w:instrText>
          </w:r>
          <w:r>
            <w:fldChar w:fldCharType="separate"/>
          </w:r>
          <w:r>
            <w:t>45</w:t>
          </w:r>
          <w:r>
            <w:fldChar w:fldCharType="end"/>
          </w:r>
          <w:r>
            <w:fldChar w:fldCharType="end"/>
          </w:r>
        </w:p>
        <w:p w14:paraId="6675C2E4">
          <w:pPr>
            <w:pStyle w:val="28"/>
            <w:rPr>
              <w:rFonts w:asciiTheme="minorHAnsi" w:hAnsiTheme="minorHAnsi" w:eastAsiaTheme="minorEastAsia" w:cstheme="minorBidi"/>
              <w:b w:val="0"/>
              <w:bCs w:val="0"/>
              <w:kern w:val="2"/>
              <w:sz w:val="24"/>
              <w:szCs w:val="24"/>
              <w14:ligatures w14:val="standardContextual"/>
            </w:rPr>
          </w:pPr>
          <w:r>
            <w:fldChar w:fldCharType="begin"/>
          </w:r>
          <w:r>
            <w:instrText xml:space="preserve"> HYPERLINK \l "_Toc198635607" </w:instrText>
          </w:r>
          <w:r>
            <w:fldChar w:fldCharType="separate"/>
          </w:r>
          <w:r>
            <w:rPr>
              <w:rStyle w:val="21"/>
            </w:rPr>
            <w:t>Limitations</w:t>
          </w:r>
          <w:r>
            <w:tab/>
          </w:r>
          <w:r>
            <w:fldChar w:fldCharType="begin"/>
          </w:r>
          <w:r>
            <w:instrText xml:space="preserve"> PAGEREF _Toc198635607 \h </w:instrText>
          </w:r>
          <w:r>
            <w:fldChar w:fldCharType="separate"/>
          </w:r>
          <w:r>
            <w:t>45</w:t>
          </w:r>
          <w:r>
            <w:fldChar w:fldCharType="end"/>
          </w:r>
          <w:r>
            <w:fldChar w:fldCharType="end"/>
          </w:r>
        </w:p>
        <w:p w14:paraId="709FADD1">
          <w:pPr>
            <w:pStyle w:val="28"/>
            <w:rPr>
              <w:rFonts w:asciiTheme="minorHAnsi" w:hAnsiTheme="minorHAnsi" w:eastAsiaTheme="minorEastAsia" w:cstheme="minorBidi"/>
              <w:b w:val="0"/>
              <w:bCs w:val="0"/>
              <w:kern w:val="2"/>
              <w:sz w:val="24"/>
              <w:szCs w:val="24"/>
              <w14:ligatures w14:val="standardContextual"/>
            </w:rPr>
          </w:pPr>
          <w:r>
            <w:fldChar w:fldCharType="begin"/>
          </w:r>
          <w:r>
            <w:instrText xml:space="preserve"> HYPERLINK \l "_Toc198635608" </w:instrText>
          </w:r>
          <w:r>
            <w:fldChar w:fldCharType="separate"/>
          </w:r>
          <w:r>
            <w:rPr>
              <w:rStyle w:val="21"/>
            </w:rPr>
            <w:t>References</w:t>
          </w:r>
          <w:r>
            <w:tab/>
          </w:r>
          <w:r>
            <w:fldChar w:fldCharType="begin"/>
          </w:r>
          <w:r>
            <w:instrText xml:space="preserve"> PAGEREF _Toc198635608 \h </w:instrText>
          </w:r>
          <w:r>
            <w:fldChar w:fldCharType="separate"/>
          </w:r>
          <w:r>
            <w:t>46</w:t>
          </w:r>
          <w:r>
            <w:fldChar w:fldCharType="end"/>
          </w:r>
          <w:r>
            <w:fldChar w:fldCharType="end"/>
          </w:r>
        </w:p>
        <w:p w14:paraId="7F56FCE2">
          <w:pPr>
            <w:keepNext/>
            <w:keepLines/>
            <w:spacing w:before="200" w:line="360" w:lineRule="auto"/>
            <w:outlineLvl w:val="0"/>
            <w:rPr>
              <w:rFonts w:ascii="Times New Roman" w:hAnsi="Times New Roman" w:eastAsia="Times New Roman" w:cs="Times New Roman"/>
              <w:b/>
              <w:bCs/>
              <w:sz w:val="28"/>
              <w:szCs w:val="28"/>
            </w:rPr>
          </w:pPr>
          <w:r>
            <w:rPr>
              <w:rFonts w:ascii="Times New Roman" w:hAnsi="Times New Roman" w:cs="Times New Roman"/>
              <w:b/>
              <w:bCs/>
              <w:sz w:val="24"/>
              <w:szCs w:val="24"/>
            </w:rPr>
            <w:fldChar w:fldCharType="end"/>
          </w:r>
        </w:p>
      </w:sdtContent>
    </w:sdt>
    <w:p w14:paraId="6D578DB9">
      <w:pPr>
        <w:keepNext/>
        <w:keepLines/>
        <w:spacing w:before="480" w:line="360" w:lineRule="auto"/>
        <w:ind w:left="720"/>
        <w:contextualSpacing/>
        <w:outlineLvl w:val="0"/>
        <w:rPr>
          <w:rFonts w:ascii="Times New Roman" w:hAnsi="Times New Roman" w:eastAsia="Times New Roman" w:cs="Times New Roman"/>
          <w:bCs/>
          <w:sz w:val="24"/>
          <w:szCs w:val="24"/>
        </w:rPr>
      </w:pPr>
      <w:bookmarkStart w:id="192" w:name="_Toc185492497"/>
      <w:bookmarkEnd w:id="192"/>
      <w:bookmarkStart w:id="193" w:name="_Toc181910638"/>
      <w:bookmarkEnd w:id="193"/>
      <w:bookmarkStart w:id="194" w:name="_Toc531750686"/>
      <w:bookmarkEnd w:id="194"/>
      <w:bookmarkStart w:id="195" w:name="_Toc185190125"/>
      <w:bookmarkEnd w:id="195"/>
    </w:p>
    <w:p w14:paraId="2704D7D2">
      <w:pPr>
        <w:keepNext/>
        <w:keepLines/>
        <w:spacing w:before="480" w:line="360" w:lineRule="auto"/>
        <w:contextualSpacing/>
        <w:jc w:val="center"/>
        <w:outlineLvl w:val="0"/>
        <w:rPr>
          <w:rFonts w:ascii="Times New Roman" w:hAnsi="Times New Roman" w:eastAsia="Times New Roman" w:cs="Times New Roman"/>
        </w:rPr>
      </w:pPr>
    </w:p>
    <w:p w14:paraId="3F893D3A">
      <w:pPr>
        <w:keepNext/>
        <w:keepLines/>
        <w:spacing w:before="480" w:line="360" w:lineRule="auto"/>
        <w:contextualSpacing/>
        <w:jc w:val="center"/>
        <w:outlineLvl w:val="0"/>
        <w:rPr>
          <w:rFonts w:ascii="Times New Roman" w:hAnsi="Times New Roman" w:eastAsia="Times New Roman" w:cs="Times New Roman"/>
        </w:rPr>
      </w:pPr>
    </w:p>
    <w:p w14:paraId="67FEE297">
      <w:pPr>
        <w:keepNext/>
        <w:keepLines/>
        <w:spacing w:before="480" w:line="360" w:lineRule="auto"/>
        <w:contextualSpacing/>
        <w:jc w:val="center"/>
        <w:outlineLvl w:val="0"/>
        <w:rPr>
          <w:rFonts w:ascii="Times New Roman" w:hAnsi="Times New Roman" w:eastAsia="Times New Roman" w:cs="Times New Roman"/>
        </w:rPr>
      </w:pPr>
    </w:p>
    <w:p w14:paraId="7A1C8003">
      <w:pPr>
        <w:keepNext/>
        <w:keepLines/>
        <w:spacing w:before="480" w:line="360" w:lineRule="auto"/>
        <w:contextualSpacing/>
        <w:jc w:val="center"/>
        <w:outlineLvl w:val="0"/>
        <w:rPr>
          <w:rFonts w:ascii="Times New Roman" w:hAnsi="Times New Roman" w:eastAsia="Times New Roman" w:cs="Times New Roman"/>
        </w:rPr>
      </w:pPr>
    </w:p>
    <w:p w14:paraId="69FAEDC4">
      <w:pPr>
        <w:spacing w:after="200" w:line="276" w:lineRule="auto"/>
        <w:rPr>
          <w:rFonts w:ascii="Times New Roman" w:hAnsi="Times New Roman" w:eastAsia="Times New Roman" w:cs="Times New Roman"/>
        </w:rPr>
      </w:pPr>
      <w:bookmarkStart w:id="196" w:name="_Toc181910649"/>
      <w:bookmarkStart w:id="197" w:name="_Toc185492509"/>
      <w:bookmarkStart w:id="198" w:name="_Toc185190137"/>
    </w:p>
    <w:p w14:paraId="055DC74C">
      <w:pPr>
        <w:pStyle w:val="2"/>
      </w:pPr>
      <w:bookmarkStart w:id="199" w:name="_Toc198635453"/>
      <w:r>
        <w:t>1 INTRODUCTION</w:t>
      </w:r>
      <w:bookmarkEnd w:id="196"/>
      <w:bookmarkEnd w:id="197"/>
      <w:bookmarkEnd w:id="198"/>
      <w:bookmarkEnd w:id="199"/>
    </w:p>
    <w:p w14:paraId="76880046">
      <w:pPr>
        <w:pStyle w:val="3"/>
        <w:rPr>
          <w:rFonts w:ascii="Times New Roman" w:hAnsi="Times New Roman" w:cs="Times New Roman"/>
          <w:color w:val="auto"/>
        </w:rPr>
      </w:pPr>
      <w:bookmarkStart w:id="200" w:name="_Toc181910650"/>
      <w:bookmarkStart w:id="201" w:name="_Toc198635454"/>
      <w:bookmarkStart w:id="202" w:name="_Toc185190138"/>
      <w:r>
        <w:rPr>
          <w:rFonts w:ascii="Times New Roman" w:hAnsi="Times New Roman" w:cs="Times New Roman"/>
          <w:color w:val="auto"/>
        </w:rPr>
        <w:t>1.1 Background</w:t>
      </w:r>
      <w:bookmarkEnd w:id="200"/>
      <w:bookmarkEnd w:id="201"/>
      <w:bookmarkEnd w:id="202"/>
    </w:p>
    <w:p w14:paraId="6CB7237E">
      <w:pPr>
        <w:spacing w:before="240" w:line="360" w:lineRule="auto"/>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Malaria is a vector-borne disease that is transmitted through the bites of Anopheles mosquitoes. Although several Plasmodium species can infect humans with malaria, Plasmodium falciparum or Plasmodium vivax are responsible for the majority of cases. Enormous efforts have been made to introduce the new malaria vaccine, which is expected to lower malaria-related mortality and morbidity</w:t>
      </w:r>
      <w:r>
        <w:rPr>
          <w:rFonts w:ascii="Times New Roman" w:hAnsi="Times New Roman" w:eastAsia="Times New Roman" w:cs="Times New Roman"/>
          <w:sz w:val="24"/>
          <w:szCs w:val="24"/>
        </w:rPr>
        <w:fldChar w:fldCharType="begin" w:fldLock="1"/>
      </w:r>
      <w:r>
        <w:rPr>
          <w:rFonts w:ascii="Times New Roman" w:hAnsi="Times New Roman" w:eastAsia="Times New Roman" w:cs="Times New Roman"/>
          <w:sz w:val="24"/>
          <w:szCs w:val="24"/>
        </w:rPr>
        <w:instrText xml:space="preserve">ADDIN CSL_CITATION {"citationItems":[{"id":"ITEM-1","itemData":{"ISSN":"2214-4374","abstract":"Background. Malaria vaccine is a potentially effective addition to the armamentarium for malaria control. The candidate RTS,S malaria vaccine has undergone phase III clinical trials and WHO has indicated that a policy recommendation is possible in 2015. Given the delays with adoption of other novel interventions including vaccines, there is a need to ensure that all elements that will inform the decision to adopt a malaria vaccine, including community willingness, will be available on time. This study was carried out to assess the willingness of caregivers of under-5 children to accept a malaria vaccine once available and recommended for use. Materials and Methods. 427 consenting caregivers, selected using a cluster sampling technique, from five communities in Ibadan, Nigeria, participated in a questionnaire. In-depth interviews (IDIs) were conducted among 47 key community members. Data were analysed using descriptive statistics, Chi-square and logistic regression at p≤0.05. Thematic content analysis was used to analyse the transcribed IDI data.","author":[{"dropping-particle":"","family":"Abdulkadir","given":"Beliretu I","non-dropping-particle":"","parse-names":false,"suffix":""},{"dropping-particle":"","family":"Ajayi","given":"Ikeoluwapo O","non-dropping-particle":"","parse-names":false,"suffix":""}],"container-title":"MalariaWorld Journal","id":"ITEM-1","issue":"2","issued":{"date-parts":[["2015"]]},"title":"Willingness to accept malaria vaccine among caregivers of under-5 children in Ibadan North Local Government Area, Nigeria","type":"article-journal","volume":"6"},"uris":["http://www.mendeley.com/documents/?uuid=de992acb-5940-4f4b-9db4-1638f961c780"]}],"mendeley":{"formattedCitation":"(1)","plainTextFormattedCitation":"(1)","previouslyFormattedCitation":"(1)"},"properties":{"noteIndex":0},"schema":"https://github.com/citation-style-language/schema/raw/master/csl-citation.json"}</w:instrText>
      </w:r>
      <w:r>
        <w:rPr>
          <w:rFonts w:ascii="Times New Roman" w:hAnsi="Times New Roman" w:eastAsia="Times New Roman" w:cs="Times New Roman"/>
          <w:sz w:val="24"/>
          <w:szCs w:val="24"/>
        </w:rPr>
        <w:fldChar w:fldCharType="separate"/>
      </w:r>
      <w:r>
        <w:rPr>
          <w:rFonts w:ascii="Times New Roman" w:hAnsi="Times New Roman" w:eastAsia="Times New Roman" w:cs="Times New Roman"/>
          <w:sz w:val="24"/>
          <w:szCs w:val="24"/>
        </w:rPr>
        <w:t>(1)</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en-US"/>
        </w:rPr>
        <w:t>.</w:t>
      </w:r>
      <w:r>
        <w:rPr>
          <w:rFonts w:ascii="Times New Roman" w:hAnsi="Times New Roman" w:eastAsia="Times New Roman" w:cs="Times New Roman"/>
          <w:sz w:val="24"/>
          <w:szCs w:val="24"/>
        </w:rPr>
        <w:t xml:space="preserve"> Ethiopia, is experiencing seasonal malaria transmission. Despite existing control measures like insecticide-treated bed nets (ITNs) and indoor residual spraying (IRS), malaria remains endemic, affecting the most vulnerable populations</w:t>
      </w:r>
      <w:r>
        <w:rPr>
          <w:rFonts w:ascii="Times New Roman" w:hAnsi="Times New Roman" w:eastAsia="Times New Roman" w:cs="Times New Roman"/>
          <w:sz w:val="24"/>
          <w:szCs w:val="24"/>
        </w:rPr>
        <w:fldChar w:fldCharType="begin" w:fldLock="1"/>
      </w:r>
      <w:r>
        <w:rPr>
          <w:rFonts w:ascii="Times New Roman" w:hAnsi="Times New Roman" w:eastAsia="Times New Roman" w:cs="Times New Roman"/>
          <w:sz w:val="24"/>
          <w:szCs w:val="24"/>
        </w:rPr>
        <w:instrText xml:space="preserve">ADDIN CSL_CITATION {"citationItems":[{"id":"ITEM-1","itemData":{"id":"ITEM-1","issued":{"date-parts":[["0"]]},"title":"Malaria Vaccine Introduction document 24 January 2024_Ethiopia_Comments","type":"article"},"uris":["http://www.mendeley.com/documents/?uuid=c1193e32-95e7-4746-9c3e-1d95359938ba"]}],"mendeley":{"formattedCitation":"(2)","plainTextFormattedCitation":"(2)","previouslyFormattedCitation":"(2)"},"properties":{"noteIndex":0},"schema":"https://github.com/citation-style-language/schema/raw/master/csl-citation.json"}</w:instrText>
      </w:r>
      <w:r>
        <w:rPr>
          <w:rFonts w:ascii="Times New Roman" w:hAnsi="Times New Roman" w:eastAsia="Times New Roman" w:cs="Times New Roman"/>
          <w:sz w:val="24"/>
          <w:szCs w:val="24"/>
        </w:rPr>
        <w:fldChar w:fldCharType="separate"/>
      </w:r>
      <w:r>
        <w:rPr>
          <w:rFonts w:ascii="Times New Roman" w:hAnsi="Times New Roman" w:eastAsia="Times New Roman" w:cs="Times New Roman"/>
          <w:sz w:val="24"/>
          <w:szCs w:val="24"/>
        </w:rPr>
        <w:t>(2)</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en-US"/>
        </w:rPr>
        <w:t>.</w:t>
      </w:r>
      <w:r>
        <w:rPr>
          <w:rFonts w:ascii="Times New Roman" w:hAnsi="Times New Roman" w:eastAsia="Times New Roman" w:cs="Times New Roman"/>
          <w:sz w:val="24"/>
          <w:szCs w:val="24"/>
        </w:rPr>
        <w:t xml:space="preserve"> </w:t>
      </w:r>
    </w:p>
    <w:p w14:paraId="3378D62F">
      <w:pPr>
        <w:spacing w:before="240" w:line="360" w:lineRule="auto"/>
        <w:contextualSpacing/>
        <w:jc w:val="both"/>
        <w:rPr>
          <w:rFonts w:ascii="Times New Roman" w:hAnsi="Times New Roman" w:eastAsia="Times New Roman" w:cs="Times New Roman"/>
          <w:sz w:val="24"/>
          <w:szCs w:val="24"/>
        </w:rPr>
      </w:pPr>
    </w:p>
    <w:p w14:paraId="36280355">
      <w:pPr>
        <w:spacing w:before="240" w:line="360" w:lineRule="auto"/>
        <w:contextualSpacing/>
        <w:jc w:val="both"/>
        <w:rPr>
          <w:rFonts w:ascii="Times New Roman" w:hAnsi="Times New Roman" w:eastAsia="Times New Roman" w:cs="Times New Roman"/>
          <w:sz w:val="24"/>
          <w:szCs w:val="24"/>
        </w:rPr>
      </w:pPr>
      <w:bookmarkStart w:id="203" w:name="_Hlk198478479"/>
      <w:r>
        <w:rPr>
          <w:rFonts w:ascii="Times New Roman" w:hAnsi="Times New Roman" w:eastAsia="Times New Roman" w:cs="Times New Roman"/>
          <w:sz w:val="24"/>
          <w:szCs w:val="24"/>
        </w:rPr>
        <w:t>The introduction of a malaria vaccine has been a significant advancement in malaria control.</w:t>
      </w:r>
      <w:bookmarkEnd w:id="203"/>
      <w:r>
        <w:t xml:space="preserve"> </w:t>
      </w:r>
      <w:r>
        <w:rPr>
          <w:rFonts w:ascii="Times New Roman" w:hAnsi="Times New Roman" w:eastAsia="Times New Roman" w:cs="Times New Roman"/>
          <w:sz w:val="24"/>
          <w:szCs w:val="24"/>
        </w:rPr>
        <w:t>clinical trials have been completed for two malaria vaccine. RTS,S/AS01 and R21/Matrix-M are vaccines against malaria. It has been demonstrated that the R21 and RTS,S vaccines are both safe and effective in preventing childhood malaria, and they are anticipated to have a significant impact on public health</w:t>
      </w:r>
      <w:r>
        <w:rPr>
          <w:rFonts w:ascii="Times New Roman" w:hAnsi="Times New Roman" w:eastAsia="Times New Roman" w:cs="Times New Roman"/>
          <w:sz w:val="24"/>
          <w:szCs w:val="24"/>
        </w:rPr>
        <w:fldChar w:fldCharType="begin" w:fldLock="1"/>
      </w:r>
      <w:r>
        <w:rPr>
          <w:rFonts w:ascii="Times New Roman" w:hAnsi="Times New Roman" w:eastAsia="Times New Roman" w:cs="Times New Roman"/>
          <w:sz w:val="24"/>
          <w:szCs w:val="24"/>
        </w:rPr>
        <w:instrText xml:space="preserve">ADDIN CSL_CITATION {"citationItems":[{"id":"ITEM-1","itemData":{"DOI":"10.1111/hex.13862","ISSN":"13697625","PMID":"37661603","abstract":"Background: Malaria exists as an endemic in many countries including Bangladesh and the malaria vaccine is not yet available here. The study aimed to assess the level of knowledge and acceptance of the malaria vaccination among the parents of children under the age of five in Bangladesh's malaria-endemic areas and the sociodemographic, behavioural, and household factors associated with the acceptance and knowledge of the malaria vaccine. Methods: From January to March 2022, a cross-sectional study was conducted in all five malaria-endemic districts of Bangladesh, involving 405 parents of children under the age of 5 who met the inclusion criteria. Multiple logistic regression was used to analyze the factor affecting parents' acceptance and knowledge of malaria vaccination in children under five and other variables. Results: Majority (54%) of the respondents were mothers. Almost half (49%) of the respondents were aged between 26 and 35 years old and around 90% were from rural areas. A small portion (20%) of the participants were housewives and 46% of them completed primary education. Overall, 70% of the study participants reported that they would accept malaria vaccination independently. About one-fourth (25%) heard about the malaria vaccine and 48% of them mentioned health professionals as the source of information. Knowledge of malaria vaccination was found associated with residence, income, and family size. Acceptance and knowledge were both associated with residence, education, occupation, income, and family size. In a multivariable analysis, housing structure, house wall, house window, knowledge of malaria, testing for malaria, and being diagnosed with malaria were all associated with knowledge of and acceptance of getting vaccinated against malaria. Conclusions: The present study highlights the necessity of creating awareness of malaria vaccines in epidemic areas of Bangladesh. This study offers crucial data to develop a policy for a novel malaria vaccine, supporting its adoption in Bangladesh. Public Contribution: This study was based on interviews. The interviewees were recruited as public representatives from the malaria-endemic area to assist us in building an understanding of knowledge and acceptance of the malaria vaccine among parents of under-five children in Bangladesh.","author":[{"dropping-particle":"","family":"Amin","given":"Mohammad Ashraful","non-dropping-particle":"","parse-names":false,"suffix":""},{"dropping-particle":"","family":"Afrin","given":"Sadia","non-dropping-particle":"","parse-names":false,"suffix":""},{"dropping-particle":"","family":"Bonna","given":"Atia S.","non-dropping-particle":"","parse-names":false,"suffix":""},{"dropping-particle":"","family":"Rozars","given":"Md Faisal K.","non-dropping-particle":"","parse-names":false,"suffix":""},{"dropping-particle":"","family":"Nabi","given":"Mohammad Hayatun","non-dropping-particle":"","parse-names":false,"suffix":""},{"dropping-particle":"","family":"Hawlader","given":"Mohammad Delwer H.","non-dropping-particle":"","parse-names":false,"suffix":""}],"container-title":"Health Expectations","id":"ITEM-1","issue":"6","issued":{"date-parts":[["2023"]]},"page":"2630-2643","title":"Knowledge and acceptance of malaria vaccine among parents of under-five children of malaria endemic areas in Bangladesh: A cross-sectional study","type":"article-journal","volume":"26"},"uris":["http://www.mendeley.com/documents/?uuid=64eee03f-7780-4447-9d22-077a1590a561"]}],"mendeley":{"formattedCitation":"(3)","plainTextFormattedCitation":"(3)","previouslyFormattedCitation":"(3)"},"properties":{"noteIndex":0},"schema":"https://github.com/citation-style-language/schema/raw/master/csl-citation.json"}</w:instrText>
      </w:r>
      <w:r>
        <w:rPr>
          <w:rFonts w:ascii="Times New Roman" w:hAnsi="Times New Roman" w:eastAsia="Times New Roman" w:cs="Times New Roman"/>
          <w:sz w:val="24"/>
          <w:szCs w:val="24"/>
        </w:rPr>
        <w:fldChar w:fldCharType="separate"/>
      </w:r>
      <w:r>
        <w:rPr>
          <w:rFonts w:ascii="Times New Roman" w:hAnsi="Times New Roman" w:eastAsia="Times New Roman" w:cs="Times New Roman"/>
          <w:sz w:val="24"/>
          <w:szCs w:val="24"/>
        </w:rPr>
        <w:t>(3)</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en-US"/>
        </w:rPr>
        <w:t>.</w:t>
      </w:r>
      <w:r>
        <w:rPr>
          <w:rFonts w:ascii="Times New Roman" w:hAnsi="Times New Roman" w:eastAsia="Times New Roman" w:cs="Times New Roman"/>
          <w:sz w:val="24"/>
          <w:szCs w:val="24"/>
        </w:rPr>
        <w:t xml:space="preserve"> According to WHO Since RTS, S, and R21 have not been compared in head-to-head trials, supply and cost will determine which vaccine is chosen. Large-scale clinical trials have evaluated the safety and effectiveness of both vaccines, and since 2019, RTS,S has been used and tracked in Ghana, Kenya, and Malawi as part of the pilot Malaria Vaccine Implementation Programme (MVIP)</w:t>
      </w:r>
      <w:r>
        <w:rPr>
          <w:rFonts w:ascii="Times New Roman" w:hAnsi="Times New Roman" w:eastAsia="Times New Roman" w:cs="Times New Roman"/>
          <w:sz w:val="24"/>
          <w:szCs w:val="24"/>
        </w:rPr>
        <w:fldChar w:fldCharType="begin" w:fldLock="1"/>
      </w:r>
      <w:r>
        <w:rPr>
          <w:rFonts w:ascii="Times New Roman" w:hAnsi="Times New Roman" w:eastAsia="Times New Roman" w:cs="Times New Roman"/>
          <w:sz w:val="24"/>
          <w:szCs w:val="24"/>
        </w:rPr>
        <w:instrText xml:space="preserve">ADDIN CSL_CITATION {"citationItems":[{"id":"ITEM-1","itemData":{"ISBN":"9789240064898","id":"ITEM-1","issued":{"date-parts":[["2022"]]},"title":"World malaria report 2022","type":"book"},"uris":["http://www.mendeley.com/documents/?uuid=fc610008-70e3-447d-a7aa-d7d63fab1d73"]}],"mendeley":{"formattedCitation":"(4)","plainTextFormattedCitation":"(4)","previouslyFormattedCitation":"(4)"},"properties":{"noteIndex":0},"schema":"https://github.com/citation-style-language/schema/raw/master/csl-citation.json"}</w:instrText>
      </w:r>
      <w:r>
        <w:rPr>
          <w:rFonts w:ascii="Times New Roman" w:hAnsi="Times New Roman" w:eastAsia="Times New Roman" w:cs="Times New Roman"/>
          <w:sz w:val="24"/>
          <w:szCs w:val="24"/>
        </w:rPr>
        <w:fldChar w:fldCharType="separate"/>
      </w:r>
      <w:r>
        <w:rPr>
          <w:rFonts w:ascii="Times New Roman" w:hAnsi="Times New Roman" w:eastAsia="Times New Roman" w:cs="Times New Roman"/>
          <w:sz w:val="24"/>
          <w:szCs w:val="24"/>
        </w:rPr>
        <w:t>(4)</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en-US"/>
        </w:rPr>
        <w:t>.</w:t>
      </w:r>
      <w:r>
        <w:rPr>
          <w:rFonts w:ascii="Times New Roman" w:hAnsi="Times New Roman" w:eastAsia="Times New Roman" w:cs="Times New Roman"/>
          <w:sz w:val="24"/>
          <w:szCs w:val="24"/>
        </w:rPr>
        <w:t xml:space="preserve"> </w:t>
      </w:r>
    </w:p>
    <w:p w14:paraId="6FBFB73F">
      <w:pPr>
        <w:spacing w:before="240" w:line="360" w:lineRule="auto"/>
        <w:contextualSpacing/>
        <w:jc w:val="both"/>
        <w:rPr>
          <w:rFonts w:hint="default" w:ascii="Times New Roman" w:hAnsi="Times New Roman" w:eastAsia="Times New Roman" w:cs="Times New Roman"/>
          <w:sz w:val="24"/>
          <w:szCs w:val="24"/>
          <w:lang w:val="en-US"/>
        </w:rPr>
      </w:pPr>
      <w:r>
        <w:rPr>
          <w:rFonts w:ascii="Times New Roman" w:hAnsi="Times New Roman" w:eastAsia="Times New Roman" w:cs="Times New Roman"/>
          <w:sz w:val="24"/>
          <w:szCs w:val="24"/>
        </w:rPr>
        <w:t>Understanding communities’ willingness to accept a malaria vaccine and the main factors influencing their willingness will help in the development and implementation of effective means of promoting malaria vaccine uptake and facilitating the recent malaria elimination programme  in the country(4)</w:t>
      </w:r>
      <w:r>
        <w:rPr>
          <w:rFonts w:hint="default" w:ascii="Times New Roman" w:hAnsi="Times New Roman" w:eastAsia="Times New Roman" w:cs="Times New Roman"/>
          <w:sz w:val="24"/>
          <w:szCs w:val="24"/>
          <w:lang w:val="en-US"/>
        </w:rPr>
        <w:t>.</w:t>
      </w:r>
    </w:p>
    <w:p w14:paraId="38C1E91B">
      <w:pPr>
        <w:spacing w:before="100" w:beforeAutospacing="1" w:after="100" w:afterAutospacing="1" w:line="360" w:lineRule="auto"/>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 first malaria vaccine should be widely used in sub-Saharan Africa, according to a recent WHO recommendation. On January 22, 2024, Cameroon became the first nation to implement a routine vaccination program. Nearly 10,000 children in Burkina Faso and Cameroon had received the RTS, S vaccine as of February 9, 2024. The RTS, S, and R21 malaria vaccines are currently being distributed</w:t>
      </w:r>
      <w:r>
        <w:rPr>
          <w:rFonts w:ascii="Times New Roman" w:hAnsi="Times New Roman" w:eastAsia="Times New Roman" w:cs="Times New Roman"/>
          <w:sz w:val="24"/>
          <w:szCs w:val="24"/>
        </w:rPr>
        <w:fldChar w:fldCharType="begin" w:fldLock="1"/>
      </w:r>
      <w:r>
        <w:rPr>
          <w:rFonts w:ascii="Times New Roman" w:hAnsi="Times New Roman" w:eastAsia="Times New Roman" w:cs="Times New Roman"/>
          <w:sz w:val="24"/>
          <w:szCs w:val="24"/>
        </w:rPr>
        <w:instrText xml:space="preserve">ADDIN CSL_CITATION {"citationItems":[{"id":"ITEM-1","itemData":{"ISSN":"2214-4374","abstract":"Background. Malaria vaccine is a potentially effective addition to the armamentarium for malaria control. The candidate RTS,S malaria vaccine has undergone phase III clinical trials and WHO has indicated that a policy recommendation is possible in 2015. Given the delays with adoption of other novel interventions including vaccines, there is a need to ensure that all elements that will inform the decision to adopt a malaria vaccine, including community willingness, will be available on time. This study was carried out to assess the willingness of caregivers of under-5 children to accept a malaria vaccine once available and recommended for use. Materials and Methods. 427 consenting caregivers, selected using a cluster sampling technique, from five communities in Ibadan, Nigeria, participated in a questionnaire. In-depth interviews (IDIs) were conducted among 47 key community members. Data were analysed using descriptive statistics, Chi-square and logistic regression at p≤0.05. Thematic content analysis was used to analyse the transcribed IDI data.","author":[{"dropping-particle":"","family":"Abdulkadir","given":"Beliretu I","non-dropping-particle":"","parse-names":false,"suffix":""},{"dropping-particle":"","family":"Ajayi","given":"Ikeoluwapo O","non-dropping-particle":"","parse-names":false,"suffix":""}],"container-title":"MalariaWorld Journal","id":"ITEM-1","issue":"2","issued":{"date-parts":[["2015"]]},"title":"Willingness to accept malaria vaccine among caregivers of under-5 children in Ibadan North Local Government Area, Nigeria","type":"article-journal","volume":"6"},"uris":["http://www.mendeley.com/documents/?uuid=de992acb-5940-4f4b-9db4-1638f961c780"]}],"mendeley":{"formattedCitation":"(1)","plainTextFormattedCitation":"(1)","previouslyFormattedCitation":"(1)"},"properties":{"noteIndex":0},"schema":"https://github.com/citation-style-language/schema/raw/master/csl-citation.json"}</w:instrText>
      </w:r>
      <w:r>
        <w:rPr>
          <w:rFonts w:ascii="Times New Roman" w:hAnsi="Times New Roman" w:eastAsia="Times New Roman" w:cs="Times New Roman"/>
          <w:sz w:val="24"/>
          <w:szCs w:val="24"/>
        </w:rPr>
        <w:fldChar w:fldCharType="separate"/>
      </w:r>
      <w:r>
        <w:rPr>
          <w:rFonts w:ascii="Times New Roman" w:hAnsi="Times New Roman" w:eastAsia="Times New Roman" w:cs="Times New Roman"/>
          <w:sz w:val="24"/>
          <w:szCs w:val="24"/>
        </w:rPr>
        <w:t>(1)</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en-US"/>
        </w:rPr>
        <w:t>.</w:t>
      </w:r>
      <w:r>
        <w:rPr>
          <w:rFonts w:ascii="Times New Roman" w:hAnsi="Times New Roman" w:eastAsia="Times New Roman" w:cs="Times New Roman"/>
          <w:sz w:val="24"/>
          <w:szCs w:val="24"/>
        </w:rPr>
        <w:t xml:space="preserve"> </w:t>
      </w:r>
    </w:p>
    <w:p w14:paraId="76271CB0">
      <w:pPr>
        <w:spacing w:before="100" w:beforeAutospacing="1" w:after="100" w:afterAutospacing="1" w:line="360" w:lineRule="auto"/>
        <w:contextualSpacing/>
        <w:jc w:val="both"/>
        <w:rPr>
          <w:rFonts w:hint="default" w:ascii="Times New Roman" w:hAnsi="Times New Roman" w:eastAsia="Times New Roman" w:cs="Times New Roman"/>
          <w:sz w:val="24"/>
          <w:szCs w:val="24"/>
          <w:lang w:val="en-US"/>
        </w:rPr>
      </w:pPr>
      <w:r>
        <w:rPr>
          <w:rFonts w:ascii="Times New Roman" w:hAnsi="Times New Roman" w:eastAsia="Times New Roman" w:cs="Times New Roman"/>
          <w:sz w:val="24"/>
          <w:szCs w:val="24"/>
        </w:rPr>
        <w:t xml:space="preserve"> Ten African nations Benin, Burkina Faso, Cameroon, Cote Ivor, Ghana, Kenya, Liberia, Malawi, Sierra Leone, and South Sudan—offer the malaria vaccine as of July 18, 2024, as part of their national malaria control plans and as part of their childhood vaccination programs. This year, it is anticipated that 15 countries will introduce RTS, S, and R21 malaria vaccines. This recommendation is crucial as vaccines offer another line of defense in the fight against malaria. However, there are still concerns about vaccine acceptance, which could impact uptake and coverage when the vaccine is introduced into national immunization programs</w:t>
      </w:r>
      <w:r>
        <w:rPr>
          <w:rFonts w:ascii="Times New Roman" w:hAnsi="Times New Roman" w:eastAsia="Times New Roman" w:cs="Times New Roman"/>
          <w:sz w:val="24"/>
          <w:szCs w:val="24"/>
        </w:rPr>
        <w:fldChar w:fldCharType="begin" w:fldLock="1"/>
      </w:r>
      <w:r>
        <w:rPr>
          <w:rFonts w:ascii="Times New Roman" w:hAnsi="Times New Roman" w:eastAsia="Times New Roman" w:cs="Times New Roman"/>
          <w:sz w:val="24"/>
          <w:szCs w:val="24"/>
        </w:rPr>
        <w:instrText xml:space="preserve">ADDIN CSL_CITATION {"citationItems":[{"id":"ITEM-1","itemData":{"DOI":"10.1186/s12936-022-04164-z","ISSN":"14752875","PMID":"35549710","abstract":"Background: Malaria is widespread in Ethiopia and has been a major cause of illness and death in that country. Therefore, Ethiopia has been exerting enormous efforts towards eliminating malaria by 2030. In the context of comprehensive malaria control, the malaria vaccine is used for the prevention of Plasmodium falciparum malaria in children living in regions with moderate- to-high malaria transmission. Methods: A community-based cross-sectional study was conducted among caregivers of children under the age of five throughout the months of September 2021. A structured interviewer-administered questionnaire was designed for data collection, and binary logistic regression analysis was used. The final result of the association was determined based on an adjusted odds ratio (AOR) at a 95% confidence interval (CI) level, and p &lt; 0.05 indicated statistical significance. Results: A total of 406 caregivers of children under the age of 5 were interviewed. Overall, 131 (32.3%) respondents were willing to vaccinate their children. Marital status (AOR = 1.243; 95% CI 1.021–3.897), knowledge (AOR = 3.120; 95% CI 1.689–5.027), and previous experience with childhood vaccination (AOR = 2.673; 95% CI 1.759–4.101) were found to be significantly associated with willingness to accept a malaria vaccine for their children, at p &lt; 0.05. Conclusions and recommendations: The willingness to accept a malaria vaccine for children among caregivers of children under the age of five was low in the study area. Thus, health education and communication are crucial for alleviating poor knowledge about malaria vaccines.","author":[{"dropping-particle":"","family":"Asmare","given":"Getachew","non-dropping-particle":"","parse-names":false,"suffix":""}],"container-title":"Malaria Journal","id":"ITEM-1","issue":"1","issued":{"date-parts":[["2022"]]},"page":"1-8","publisher":"BioMed Central","title":"Willingness to accept malaria vaccine among caregivers of under-5 children in Southwest Ethiopia: a community based cross-sectional study","type":"article-journal","volume":"21"},"uris":["http://www.mendeley.com/documents/?uuid=64a0dbd3-6317-41c6-8070-7c9b302552fc"]}],"mendeley":{"formattedCitation":"(5)","plainTextFormattedCitation":"(5)","previouslyFormattedCitation":"(5)"},"properties":{"noteIndex":0},"schema":"https://github.com/citation-style-language/schema/raw/master/csl-citation.json"}</w:instrText>
      </w:r>
      <w:r>
        <w:rPr>
          <w:rFonts w:ascii="Times New Roman" w:hAnsi="Times New Roman" w:eastAsia="Times New Roman" w:cs="Times New Roman"/>
          <w:sz w:val="24"/>
          <w:szCs w:val="24"/>
        </w:rPr>
        <w:fldChar w:fldCharType="separate"/>
      </w:r>
      <w:r>
        <w:rPr>
          <w:rFonts w:ascii="Times New Roman" w:hAnsi="Times New Roman" w:eastAsia="Times New Roman" w:cs="Times New Roman"/>
          <w:sz w:val="24"/>
          <w:szCs w:val="24"/>
        </w:rPr>
        <w:t>(5)</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en-US"/>
        </w:rPr>
        <w:t>.</w:t>
      </w:r>
    </w:p>
    <w:p w14:paraId="3E1FAD87">
      <w:pPr>
        <w:spacing w:before="100" w:beforeAutospacing="1" w:after="100" w:afterAutospacing="1" w:line="360" w:lineRule="auto"/>
        <w:contextualSpacing/>
        <w:jc w:val="both"/>
        <w:rPr>
          <w:rFonts w:ascii="Times New Roman" w:hAnsi="Times New Roman" w:eastAsia="Times New Roman" w:cs="Times New Roman"/>
          <w:sz w:val="24"/>
          <w:szCs w:val="24"/>
        </w:rPr>
      </w:pPr>
    </w:p>
    <w:p w14:paraId="5E82B004">
      <w:pPr>
        <w:spacing w:before="100" w:beforeAutospacing="1" w:after="100" w:afterAutospacing="1" w:line="360" w:lineRule="auto"/>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In response to high demand for the first-ever malaria vaccine, 12 countries in Africa will be allocated a total of 18 million dose of RTS,S/AS01 for the 2023-2025 period. Allocation were also made for new introductions in  Benin, Burcina faso, Burundi, Cameroon, Democratic republic of Congo, Liberia, Nigeria, Sierraleon, and Uganda</w:t>
      </w:r>
      <w:r>
        <w:rPr>
          <w:rFonts w:ascii="Times New Roman" w:hAnsi="Times New Roman" w:eastAsia="Times New Roman" w:cs="Times New Roman"/>
          <w:sz w:val="24"/>
          <w:szCs w:val="24"/>
        </w:rPr>
        <w:fldChar w:fldCharType="begin" w:fldLock="1"/>
      </w:r>
      <w:r>
        <w:rPr>
          <w:rFonts w:ascii="Times New Roman" w:hAnsi="Times New Roman" w:eastAsia="Times New Roman" w:cs="Times New Roman"/>
          <w:sz w:val="24"/>
          <w:szCs w:val="24"/>
        </w:rPr>
        <w:instrText xml:space="preserve">ADDIN CSL_CITATION {"citationItems":[{"id":"ITEM-1","itemData":{"DOI":"10.1186/s12936-024-04914-1","ISSN":"14752875","PMID":"38664783","abstract":"Background: There are giant steps taken in the introduction of the novel malaria vaccine poised towards reducing mortality and morbidity associated with malaria. Objectives: This study aimed to determine the knowledge of malaria vaccine and factors militating against willingness to accept the vaccine among mothers presenting in nine hospitals in Enugu metropolis. Methods: This was a cross-sectional study carried out among 491 mothers who presented with their children in nine hospitals in Enugu metropolis, South-East Nigeria. A pre-tested and interviewer-administered questionnaire was used in this study. Results: A majority of the respondents, 72.1% were aware of malaria vaccine. A majority of the respondents, 83.1% were willing to receive malaria vaccine. Similarly, a majority of the mothers, 92.9%, were willing to vaccinate baby with the malaria vaccine, while 81.1% were willing to vaccinate self and baby with the malaria vaccine. The subjects who belong to the low socio-economic class were five times less likely to vaccinate self and baby with malaria vaccine when compared with those who were in the high socio-economic class (AOR = 0.2, 95% CI 0.1–0.5). Mothers who had good knowledge of malaria vaccination were 3.3 times more likely to vaccinate self and baby with malaria vaccine when compared with those who had poor knowledge of malaria vaccination (AOR = 3.3, 95% CI 1–6–6.8). Conclusion: Although the study documented a high vaccine acceptance among the mothers, there exists a poor knowledge of the malaria vaccine among them.","author":[{"dropping-particle":"","family":"Chinawa","given":"Awoere T.","non-dropping-particle":"","parse-names":false,"suffix":""},{"dropping-particle":"","family":"Ossai","given":"Edmund N.","non-dropping-particle":"","parse-names":false,"suffix":""},{"dropping-particle":"","family":"Onukwuli","given":"Vivian O.","non-dropping-particle":"","parse-names":false,"suffix":""},{"dropping-particle":"","family":"Nduagubam","given":"Obinna C.","non-dropping-particle":"","parse-names":false,"suffix":""},{"dropping-particle":"","family":"Uwaezuoke","given":"Ndubuisi A.","non-dropping-particle":"","parse-names":false,"suffix":""},{"dropping-particle":"","family":"Okafor","given":"Chinyere N.","non-dropping-particle":"","parse-names":false,"suffix":""},{"dropping-particle":"","family":"Chinawa","given":"Josephat M.","non-dropping-particle":"","parse-names":false,"suffix":""}],"container-title":"Malaria Journal","id":"ITEM-1","issue":"1","issued":{"date-parts":[["2024"]]},"page":"1-10","publisher":"BioMed Central","title":"Willingness to accept malaria vaccines amongst women presenting at outpatient and immunization clinics in Enugu state, Southeast Nigeria","type":"article-journal","volume":"23"},"uris":["http://www.mendeley.com/documents/?uuid=16075087-2773-48c1-90e7-0eb5156fcc94"]}],"mendeley":{"formattedCitation":"(6)","plainTextFormattedCitation":"(6)","previouslyFormattedCitation":"(6)"},"properties":{"noteIndex":0},"schema":"https://github.com/citation-style-language/schema/raw/master/csl-citation.json"}</w:instrText>
      </w:r>
      <w:r>
        <w:rPr>
          <w:rFonts w:ascii="Times New Roman" w:hAnsi="Times New Roman" w:eastAsia="Times New Roman" w:cs="Times New Roman"/>
          <w:sz w:val="24"/>
          <w:szCs w:val="24"/>
        </w:rPr>
        <w:fldChar w:fldCharType="separate"/>
      </w:r>
      <w:r>
        <w:rPr>
          <w:rFonts w:ascii="Times New Roman" w:hAnsi="Times New Roman" w:eastAsia="Times New Roman" w:cs="Times New Roman"/>
          <w:sz w:val="24"/>
          <w:szCs w:val="24"/>
        </w:rPr>
        <w:t>(6)</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en-US"/>
        </w:rPr>
        <w:t>.</w:t>
      </w:r>
      <w:r>
        <w:rPr>
          <w:rFonts w:ascii="Times New Roman" w:hAnsi="Times New Roman" w:eastAsia="Times New Roman" w:cs="Times New Roman"/>
          <w:sz w:val="24"/>
          <w:szCs w:val="24"/>
        </w:rPr>
        <w:t xml:space="preserve">  Studies in African countries where malaria vaccine trials have been conducted, such as Ghana, Malawi, and Kenya, indicate that community acceptance of the vaccine is influenced by a variety of factors, including educational status, cultural beliefs, trust in health services, and knowledge of malaria prevention</w:t>
      </w:r>
      <w:r>
        <w:rPr>
          <w:rFonts w:ascii="Times New Roman" w:hAnsi="Times New Roman" w:eastAsia="Times New Roman" w:cs="Times New Roman"/>
          <w:sz w:val="24"/>
          <w:szCs w:val="24"/>
        </w:rPr>
        <w:fldChar w:fldCharType="begin" w:fldLock="1"/>
      </w:r>
      <w:r>
        <w:rPr>
          <w:rFonts w:ascii="Times New Roman" w:hAnsi="Times New Roman" w:eastAsia="Times New Roman" w:cs="Times New Roman"/>
          <w:sz w:val="24"/>
          <w:szCs w:val="24"/>
        </w:rPr>
        <w:instrText xml:space="preserve">ADDIN CSL_CITATION {"citationItems":[{"id":"ITEM-1","itemData":{"DOI":"10.1186/s12936-022-04164-z","ISSN":"14752875","PMID":"35549710","abstract":"Background: Malaria is widespread in Ethiopia and has been a major cause of illness and death in that country. Therefore, Ethiopia has been exerting enormous efforts towards eliminating malaria by 2030. In the context of comprehensive malaria control, the malaria vaccine is used for the prevention of Plasmodium falciparum malaria in children living in regions with moderate- to-high malaria transmission. Methods: A community-based cross-sectional study was conducted among caregivers of children under the age of five throughout the months of September 2021. A structured interviewer-administered questionnaire was designed for data collection, and binary logistic regression analysis was used. The final result of the association was determined based on an adjusted odds ratio (AOR) at a 95% confidence interval (CI) level, and p &lt; 0.05 indicated statistical significance. Results: A total of 406 caregivers of children under the age of 5 were interviewed. Overall, 131 (32.3%) respondents were willing to vaccinate their children. Marital status (AOR = 1.243; 95% CI 1.021–3.897), knowledge (AOR = 3.120; 95% CI 1.689–5.027), and previous experience with childhood vaccination (AOR = 2.673; 95% CI 1.759–4.101) were found to be significantly associated with willingness to accept a malaria vaccine for their children, at p &lt; 0.05. Conclusions and recommendations: The willingness to accept a malaria vaccine for children among caregivers of children under the age of five was low in the study area. Thus, health education and communication are crucial for alleviating poor knowledge about malaria vaccines.","author":[{"dropping-particle":"","family":"Asmare","given":"Getachew","non-dropping-particle":"","parse-names":false,"suffix":""}],"container-title":"Malaria Journal","id":"ITEM-1","issue":"1","issued":{"date-parts":[["2022"]]},"page":"1-8","publisher":"BioMed Central","title":"Willingness to accept malaria vaccine among caregivers of under-5 children in Southwest Ethiopia: a community based cross-sectional study","type":"article-journal","volume":"21"},"uris":["http://www.mendeley.com/documents/?uuid=64a0dbd3-6317-41c6-8070-7c9b302552fc"]},{"id":"ITEM-2","itemData":{"DOI":"10.1186/s12936-024-04914-1","ISSN":"14752875","PMID":"38664783","abstract":"Background: There are giant steps taken in the introduction of the novel malaria vaccine poised towards reducing mortality and morbidity associated with malaria. Objectives: This study aimed to determine the knowledge of malaria vaccine and factors militating against willingness to accept the vaccine among mothers presenting in nine hospitals in Enugu metropolis. Methods: This was a cross-sectional study carried out among 491 mothers who presented with their children in nine hospitals in Enugu metropolis, South-East Nigeria. A pre-tested and interviewer-administered questionnaire was used in this study. Results: A majority of the respondents, 72.1% were aware of malaria vaccine. A majority of the respondents, 83.1% were willing to receive malaria vaccine. Similarly, a majority of the mothers, 92.9%, were willing to vaccinate baby with the malaria vaccine, while 81.1% were willing to vaccinate self and baby with the malaria vaccine. The subjects who belong to the low socio-economic class were five times less likely to vaccinate self and baby with malaria vaccine when compared with those who were in the high socio-economic class (AOR = 0.2, 95% CI 0.1–0.5). Mothers who had good knowledge of malaria vaccination were 3.3 times more likely to vaccinate self and baby with malaria vaccine when compared with those who had poor knowledge of malaria vaccination (AOR = 3.3, 95% CI 1–6–6.8). Conclusion: Although the study documented a high vaccine acceptance among the mothers, there exists a poor knowledge of the malaria vaccine among them.","author":[{"dropping-particle":"","family":"Chinawa","given":"Awoere T.","non-dropping-particle":"","parse-names":false,"suffix":""},{"dropping-particle":"","family":"Ossai","given":"Edmund N.","non-dropping-particle":"","parse-names":false,"suffix":""},{"dropping-particle":"","family":"Onukwuli","given":"Vivian O.","non-dropping-particle":"","parse-names":false,"suffix":""},{"dropping-particle":"","family":"Nduagubam","given":"Obinna C.","non-dropping-particle":"","parse-names":false,"suffix":""},{"dropping-particle":"","family":"Uwaezuoke","given":"Ndubuisi A.","non-dropping-particle":"","parse-names":false,"suffix":""},{"dropping-particle":"","family":"Okafor","given":"Chinyere N.","non-dropping-particle":"","parse-names":false,"suffix":""},{"dropping-particle":"","family":"Chinawa","given":"Josephat M.","non-dropping-particle":"","parse-names":false,"suffix":""}],"container-title":"Malaria Journal","id":"ITEM-2","issue":"1","issued":{"date-parts":[["2024"]]},"page":"1-10","publisher":"BioMed Central","title":"Willingness to accept malaria vaccines amongst women presenting at outpatient and immunization clinics in Enugu state, Southeast Nigeria","type":"article-journal","volume":"23"},"uris":["http://www.mendeley.com/documents/?uuid=16075087-2773-48c1-90e7-0eb5156fcc94"]}],"mendeley":{"formattedCitation":"(5,6)","plainTextFormattedCitation":"(5,6)","previouslyFormattedCitation":"(5,6)"},"properties":{"noteIndex":0},"schema":"https://github.com/citation-style-language/schema/raw/master/csl-citation.json"}</w:instrText>
      </w:r>
      <w:r>
        <w:rPr>
          <w:rFonts w:ascii="Times New Roman" w:hAnsi="Times New Roman" w:eastAsia="Times New Roman" w:cs="Times New Roman"/>
          <w:sz w:val="24"/>
          <w:szCs w:val="24"/>
        </w:rPr>
        <w:fldChar w:fldCharType="separate"/>
      </w:r>
      <w:r>
        <w:rPr>
          <w:rFonts w:ascii="Times New Roman" w:hAnsi="Times New Roman" w:eastAsia="Times New Roman" w:cs="Times New Roman"/>
          <w:sz w:val="24"/>
          <w:szCs w:val="24"/>
        </w:rPr>
        <w:t>(5,6)</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en-US"/>
        </w:rPr>
        <w:t>.</w:t>
      </w:r>
      <w:r>
        <w:rPr>
          <w:rFonts w:ascii="Times New Roman" w:hAnsi="Times New Roman" w:eastAsia="Times New Roman" w:cs="Times New Roman"/>
          <w:sz w:val="24"/>
          <w:szCs w:val="24"/>
        </w:rPr>
        <w:t xml:space="preserve"> </w:t>
      </w:r>
    </w:p>
    <w:p w14:paraId="03E6E769">
      <w:pPr>
        <w:spacing w:before="100" w:beforeAutospacing="1" w:after="100" w:afterAutospacing="1" w:line="360" w:lineRule="auto"/>
        <w:contextualSpacing/>
        <w:jc w:val="both"/>
        <w:rPr>
          <w:rFonts w:ascii="Times New Roman" w:hAnsi="Times New Roman" w:eastAsia="Times New Roman" w:cs="Times New Roman"/>
          <w:sz w:val="24"/>
          <w:szCs w:val="24"/>
        </w:rPr>
      </w:pPr>
    </w:p>
    <w:p w14:paraId="712DEB89">
      <w:pPr>
        <w:spacing w:before="100" w:beforeAutospacing="1" w:after="100" w:afterAutospacing="1" w:line="360" w:lineRule="auto"/>
        <w:contextualSpacing/>
        <w:jc w:val="both"/>
        <w:rPr>
          <w:rFonts w:ascii="Times New Roman" w:hAnsi="Times New Roman" w:cs="Times New Roman"/>
          <w:sz w:val="24"/>
          <w:szCs w:val="24"/>
          <w:shd w:val="clear" w:color="auto" w:fill="FFFFFF"/>
        </w:rPr>
      </w:pPr>
      <w:r>
        <w:rPr>
          <w:rFonts w:ascii="Georgia" w:hAnsi="Georgia"/>
          <w:sz w:val="27"/>
          <w:szCs w:val="27"/>
          <w:shd w:val="clear" w:color="auto" w:fill="FFFFFF"/>
        </w:rPr>
        <w:t xml:space="preserve"> </w:t>
      </w:r>
      <w:r>
        <w:rPr>
          <w:rFonts w:ascii="Times New Roman" w:hAnsi="Times New Roman" w:cs="Times New Roman"/>
          <w:sz w:val="24"/>
          <w:szCs w:val="24"/>
          <w:shd w:val="clear" w:color="auto" w:fill="FFFFFF"/>
        </w:rPr>
        <w:t>In Ethiopia, malaria is prevalent in society and has been a leading cause of disease and fatalities.</w:t>
      </w:r>
    </w:p>
    <w:p w14:paraId="5A36917D">
      <w:pPr>
        <w:spacing w:before="100" w:beforeAutospacing="1" w:after="100" w:afterAutospacing="1" w:line="360" w:lineRule="auto"/>
        <w:contextualSpacing/>
        <w:jc w:val="both"/>
        <w:rPr>
          <w:rFonts w:hint="default" w:ascii="Times New Roman" w:hAnsi="Times New Roman" w:eastAsia="Times New Roman" w:cs="Times New Roman"/>
          <w:sz w:val="24"/>
          <w:szCs w:val="24"/>
          <w:lang w:val="en-US"/>
        </w:rPr>
      </w:pPr>
      <w:r>
        <w:rPr>
          <w:rFonts w:ascii="Times New Roman" w:hAnsi="Times New Roman" w:cs="Times New Roman"/>
          <w:sz w:val="24"/>
          <w:szCs w:val="24"/>
          <w:shd w:val="clear" w:color="auto" w:fill="FFFFFF"/>
        </w:rPr>
        <w:t>Ethiopia has therefore been working very hard to eradicate malaria by 2030. The malaria vaccine is used to prevent Plasmodium falciparum malaria in children who live in areas with moderate-to-high malaria transmission in the framework of comprehensive malaria control.</w:t>
      </w:r>
      <w:r>
        <w:rPr>
          <w:rFonts w:ascii="Times New Roman" w:hAnsi="Times New Roman" w:eastAsia="Times New Roman" w:cs="Times New Roman"/>
          <w:sz w:val="24"/>
          <w:szCs w:val="24"/>
        </w:rPr>
        <w:t xml:space="preserve"> Ethiopia has yet to introduce a malaria vaccine into its immunization program, and as such, the readiness of the population to accept it remains unclear. In Ethiopia, little is known about these dynamics. Understanding the perspectives of mothers in particular is essential, as they play a key role in child health decision-making, particularly in immunization uptake </w:t>
      </w:r>
      <w:r>
        <w:rPr>
          <w:rFonts w:ascii="Times New Roman" w:hAnsi="Times New Roman" w:eastAsia="Times New Roman" w:cs="Times New Roman"/>
          <w:sz w:val="24"/>
          <w:szCs w:val="24"/>
        </w:rPr>
        <w:fldChar w:fldCharType="begin" w:fldLock="1"/>
      </w:r>
      <w:r>
        <w:rPr>
          <w:rFonts w:ascii="Times New Roman" w:hAnsi="Times New Roman" w:eastAsia="Times New Roman" w:cs="Times New Roman"/>
          <w:sz w:val="24"/>
          <w:szCs w:val="24"/>
        </w:rPr>
        <w:instrText xml:space="preserve">ADDIN CSL_CITATION {"citationItems":[{"id":"ITEM-1","itemData":{"DOI":"10.1016/S0140-6736(23)02511-4","ISSN":"1474547X","PMID":"38310910","abstract":"Background: Recently, we found that a new malaria vaccine, R21/Matrix-M, had over 75% efficacy against clinical malaria with seasonal administration in a phase 2b trial in Burkina Faso. Here, we report on safety and efficacy of the vaccine in a phase 3 trial enrolling over 4800 children across four countries followed for up to 18 months at seasonal sites and 12 months at standard sites. Methods: We did a double-blind, randomised, phase 3 trial of the R21/Matrix-M malaria vaccine across five sites in four African countries with differing malaria transmission intensities and seasonality. Children (aged 5–36 months) were enrolled and randomly assigned (2:1) to receive 5 μg R21 plus 50 μg Matrix-M or a control vaccine (licensed rabies vaccine [Abhayrab]). Participants, their families, investigators, laboratory teams, and the local study team were masked to treatment. Vaccines were administered as three doses, 4 weeks apart, with a booster administered 12 months after the third dose. Half of the children were recruited at two sites with seasonal malaria transmission and the remainder at standard sites with perennial malaria transmission using age-based immunisation. The primary objective was protective efficacy of R21/Matrix-M from 14 days after third vaccination to 12 months after completion of the primary series at seasonal and standard sites separately as co-primary endpoints. Vaccine efficacy against multiple malaria episodes and severe malaria, as well as safety and immunogenicity, were also assessed. This trial is registered on ClinicalTrials.gov, NCT04704830, and is ongoing. Findings: From April 26, 2021, to Jan 12, 2022, 5477 children consented to be screened, of whom 1705 were randomly assigned to control vaccine and 3434 to R21/Matrix-M; 4878 participants received the first dose of vaccine. 3103 participants in the R21/Matrix-M group and 1541 participants in the control group were included in the modified per-protocol analysis (2412 [51·9%] male and 2232 [48·1%] female). R21/Matrix-M vaccine was well tolerated, with injection site pain (301 [18·6%] of 1615 participants) and fever (754 [46·7%] of 1615 participants) as the most frequent adverse events. Number of adverse events of special interest and serious adverse events did not significantly differ between the vaccine groups. There were no treatment-related deaths. 12-month vaccine efficacy was 75% (95% CI 71–79; p&lt;0·0001) at the seasonal sites and 68% (61–74; p&lt;0·0001) at the standard sites for t…","author":[{"dropping-particle":"","family":"Datoo","given":"Mehreen S.","non-dropping-particle":"","parse-names":false,"suffix":""},{"dropping-particle":"","family":"Dicko","given":"Alassane","non-dropping-particle":"","parse-names":false,"suffix":""},{"dropping-particle":"","family":"Tinto","given":"Halidou","non-dropping-particle":"","parse-names":false,"suffix":""},{"dropping-particle":"","family":"Ouédraogo","given":"Jean Bosco","non-dropping-particle":"","parse-names":false,"suffix":""},{"dropping-particle":"","family":"Hamaluba","given":"Mainga","non-dropping-particle":"","parse-names":false,"suffix":""},{"dropping-particle":"","family":"Olotu","given":"Ally","non-dropping-particle":"","parse-names":false,"suffix":""},{"dropping-particle":"","family":"Beaumont","given":"Emma","non-dropping-particle":"","parse-names":false,"suffix":""},{"dropping-particle":"","family":"Ramos Lopez","given":"Fernando","non-dropping-particle":"","parse-names":false,"suffix":""},{"dropping-particle":"","family":"Natama","given":"Hamtandi Magloire","non-dropping-particle":"","parse-names":false,"suffix":""},{"dropping-particle":"","family":"Weston","given":"Sophie","non-dropping-particle":"","parse-names":false,"suffix":""},{"dropping-particle":"","family":"Chemba","given":"Mwajuma","non-dropping-particle":"","parse-names":false,"suffix":""},{"dropping-particle":"","family":"Compaore","given":"Yves Daniel","non-dropping-particle":"","parse-names":false,"suffix":""},{"dropping-particle":"","family":"Issiaka","given":"Djibrilla","non-dropping-particle":"","parse-names":false,"suffix":""},{"dropping-particle":"","family":"Salou","given":"Diallo","non-dropping-particle":"","parse-names":false,"suffix":""},{"dropping-particle":"","family":"Some","given":"Athanase M.","non-dropping-particle":"","parse-names":false,"suffix":""},{"dropping-particle":"","family":"Omenda","given":"Sharon","non-dropping-particle":"","parse-names":false,"suffix":""},{"dropping-particle":"","family":"Lawrie","given":"Alison","non-dropping-particle":"","parse-names":false,"suffix":""},{"dropping-particle":"","family":"Bejon","given":"Philip","non-dropping-particle":"","parse-names":false,"suffix":""},{"dropping-particle":"","family":"Rao","given":"Harish","non-dropping-particle":"","parse-names":false,"suffix":""},{"dropping-particle":"","family":"Chandramohan","given":"Daniel","non-dropping-particle":"","parse-names":false,"suffix":""},{"dropping-particle":"","family":"Roberts","given":"Rachel","non-dropping-particle":"","parse-names":false,"suffix":""},{"dropping-particle":"","family":"Bharati","given":"Sandesh","non-dropping-particle":"","parse-names":false,"suffix":""},{"dropping-particle":"","family":"Stockdale","given":"Lisa","non-dropping-particle":"","parse-names":false,"suffix":""},{"dropping-particle":"","family":"Gairola","given":"Sunil","non-dropping-particle":"","parse-names":false,"suffix":""},{"dropping-particle":"","family":"Greenwood","given":"Brian M.","non-dropping-particle":"","parse-names":false,"suffix":""},{"dropping-particle":"","family":"Ewer","given":"Katie J.","non-dropping-particle":"","parse-names":false,"suffix":""},{"dropping-particle":"","family":"Bradley","given":"John","non-dropping-particle":"","parse-names":false,"suffix":""},{"dropping-particle":"","family":"Kulkarni","given":"Prasad S.","non-dropping-particle":"","parse-names":false,"suffix":""},{"dropping-particle":"","family":"Shaligram","given":"Umesh","non-dropping-particle":"","parse-names":false,"suffix":""},{"dropping-particle":"","family":"Hill","given":"Adrian V.S.","non-dropping-particle":"","parse-names":false,"suffix":""},{"dropping-particle":"","family":"Mahamar","given":"Almahamoudou","non-dropping-particle":"","parse-names":false,"suffix":""},{"dropping-particle":"","family":"Sanogo","given":"Koualy","non-dropping-particle":"","parse-names":false,"suffix":""},{"dropping-particle":"","family":"Sidibe","given":"Youssoufa","non-dropping-particle":"","parse-names":false,"suffix":""},{"dropping-particle":"","family":"Diarra","given":"Kalifa","non-dropping-particle":"","parse-names":false,"suffix":""},{"dropping-particle":"","family":"Samassekou","given":"Mamoudou","non-dropping-particle":"","parse-names":false,"suffix":""},{"dropping-particle":"","family":"Attaher","given":"Oumar","non-dropping-particle":"","parse-names":false,"suffix":""},{"dropping-particle":"","family":"Tapily","given":"Amadou","non-dropping-particle":"","parse-names":false,"suffix":""},{"dropping-particle":"","family":"Diallo","given":"Makonon","non-dropping-particle":"","parse-names":false,"suffix":""},{"dropping-particle":"","family":"Dicko","given":"Oumar Mohamed","non-dropping-particle":"","parse-names":false,"suffix":""},{"dropping-particle":"","family":"Kaya","given":"Mahamadou","non-dropping-particle":"","parse-names":false,"suffix":""},{"dropping-particle":"","family":"Maguiraga","given":"Seydina Oumar","non-dropping-particle":"","parse-names":false,"suffix":""},{"dropping-particle":"","family":"Sankare","given":"Yaya","non-dropping-particle":"","parse-names":false,"suffix":""},{"dropping-particle":"","family":"Yalcouye","given":"Hama","non-dropping-particle":"","parse-names":false,"suffix":""},{"dropping-particle":"","family":"Diarra","given":"Soumaila","non-dropping-particle":"","parse-names":false,"suffix":""},{"dropping-particle":"","family":"Niambele","given":"Sidi Mohamed","non-dropping-particle":"","parse-names":false,"suffix":""},{"dropping-particle":"","family":"Thera","given":"Ismaila","non-dropping-particle":"","parse-names":false,"suffix":""},{"dropping-particle":"","family":"Sagara","given":"Issaka","non-dropping-particle":"","parse-names":false,"suffix":""},{"dropping-particle":"","family":"Sylla","given":"Mala","non-dropping-particle":"","parse-names":false,"suffix":""},{"dropping-particle":"","family":"Dolo","given":"Amagana","non-dropping-particle":"","parse-names":false,"suffix":""},{"dropping-particle":"","family":"Misidai","given":"Nsajigwa","non-dropping-particle":"","parse-names":false,"suffix":""},{"dropping-particle":"","family":"Simando","given":"Sylvester","non-dropping-particle":"","parse-names":false,"suffix":""},{"dropping-particle":"","family":"Msami","given":"Hania","non-dropping-particle":"","parse-names":false,"suffix":""},{"dropping-particle":"","family":"Juma","given":"Omary","non-dropping-particle":"","parse-names":false,"suffix":""},{"dropping-particle":"","family":"Gutapaka","given":"Nicolaus","non-dropping-particle":"","parse-names":false,"suffix":""},{"dropping-particle":"","family":"Paul","given":"Rose","non-dropping-particle":"","parse-names":false,"suffix":""},{"dropping-particle":"","family":"Mswata","given":"Sarah","non-dropping-particle":"","parse-names":false,"suffix":""},{"dropping-particle":"","family":"Sasamalo","given":"Ibrahim","non-dropping-particle":"","parse-names":false,"suffix":""},{"dropping-particle":"","family":"Johaness","given":"Kasmir","non-dropping-particle":"","parse-names":false,"suffix":""},{"dropping-particle":"","family":"Sultan","given":"Mwantumu","non-dropping-particle":"","parse-names":false,"suffix":""},{"dropping-particle":"","family":"Alexander","given":"Annastazia","non-dropping-particle":"","parse-names":false,"suffix":""},{"dropping-particle":"","family":"Kimaro","given":"Isaac","non-dropping-particle":"","parse-names":false,"suffix":""},{"dropping-particle":"","family":"Lwanga","given":"Kauye","non-dropping-particle":"","parse-names":false,"suffix":""},{"dropping-particle":"","family":"Mtungwe","given":"Mwajuma","non-dropping-particle":"","parse-names":false,"suffix":""},{"dropping-particle":"","family":"Khamis","given":"Kassim","non-dropping-particle":"","parse-names":false,"suffix":""},{"dropping-particle":"","family":"Rugarabam","given":"Lighton","non-dropping-particle":"","parse-names":false,"suffix":""},{"dropping-particle":"","family":"Kalinga","given":"Wilmina","non-dropping-particle":"","parse-names":false,"suffix":""},{"dropping-particle":"","family":"Mohammed","given":"Mohammed","non-dropping-particle":"","parse-names":false,"suffix":""},{"dropping-particle":"","family":"Kamange","given":"Janeth","non-dropping-particle":"","parse-names":false,"suffix":""},{"dropping-particle":"","family":"Msangi","given":"Jubilate","non-dropping-particle":"","parse-names":false,"suffix":""},{"dropping-particle":"","family":"Mwaijande","given":"Batuli","non-dropping-particle":"","parse-names":false,"suffix":""},{"dropping-particle":"","family":"Mtaka","given":"Ivanny","non-dropping-particle":"","parse-names":false,"suffix":""},{"dropping-particle":"","family":"Mhapa","given":"Matilda","non-dropping-particle":"","parse-names":false,"suffix":""},{"dropping-particle":"","family":"Mlaganile","given":"Tarsis","non-dropping-particle":"","parse-names":false,"suffix":""},{"dropping-particle":"","family":"Mbaga","given":"Thabit","non-dropping-particle":"","parse-names":false,"suffix":""},{"dropping-particle":"","family":"Yerbanga","given":"Rakiswende Serge","non-dropping-particle":"","parse-names":false,"suffix":""},{"dropping-particle":"","family":"Samtouma","given":"Wendkouni","non-dropping-particle":"","parse-names":false,"suffix":""},{"dropping-particle":"","family":"Sienou","given":"Abdoul Aziz","non-dropping-particle":"","parse-names":false,"suffix":""},{"dropping-particle":"","family":"Kabre","given":"Zachari","non-dropping-particle":"","parse-names":false,"suffix":""},{"dropping-particle":"","family":"Ouedraogo","given":"Wendinpui Jedida Muriel","non-dropping-particle":"","parse-names":false,"suffix":""},{"dropping-particle":"","family":"Yarbanga","given":"G. Armel Bienvenu","non-dropping-particle":"","parse-names":false,"suffix":""},{"dropping-particle":"","family":"Zongo","given":"Issaka","non-dropping-particle":"","parse-names":false,"suffix":""},{"dropping-particle":"","family":"Savadogo","given":"Hamade","non-dropping-particle":"","parse-names":false,"suffix":""},{"dropping-particle":"","family":"Sanon","given":"Joseph","non-dropping-particle":"","parse-names":false,"suffix":""},{"dropping-particle":"","family":"Compaore","given":"Judicael","non-dropping-particle":"","parse-names":false,"suffix":""},{"dropping-particle":"","family":"Kere","given":"Idrissa","non-dropping-particle":"","parse-names":false,"suffix":""},{"dropping-particle":"","family":"Yoni","given":"Ferdinand Lionel","non-dropping-particle":"","parse-names":false,"suffix":""},{"dropping-particle":"","family":"Sanre","given":"Tewende Martine","non-dropping-particle":"","parse-names":false,"suffix":""},{"dropping-particle":"","family":"Ouattara","given":"Seydou Bienvenu","non-dropping-particle":"","parse-names":false,"suffix":""},{"dropping-particle":"","family":"Provstgaard-Morys","given":"Samuel","non-dropping-particle":"","parse-names":false,"suffix":""},{"dropping-particle":"","family":"Woods","given":"Danielle","non-dropping-particle":"","parse-names":false,"suffix":""},{"dropping-particle":"","family":"Snow","given":"Robert W.","non-dropping-particle":"","parse-names":false,"suffix":""},{"dropping-particle":"","family":"Amek","given":"Nyaguara","non-dropping-particle":"","parse-names":false,"suffix":""},{"dropping-particle":"","family":"Ngetsa","given":"Caroline J.","non-dropping-particle":"","parse-names":false,"suffix":""},{"dropping-particle":"","family":"Ochola-Oyier","given":"Lynette Isabella","non-dropping-particle":"","parse-names":false,"suffix":""},{"dropping-particle":"","family":"Musyoki","given":"Jennifer","non-dropping-particle":"","parse-names":false,"suffix":""},{"dropping-particle":"","family":"Munene","given":"Marianne","non-dropping-particle":"","parse-names":false,"suffix":""},{"dropping-particle":"","family":"Mumba","given":"Noni","non-dropping-particle":"","parse-names":false,"suffix":""},{"dropping-particle":"","family":"Adetifa","given":"Uche Jane","non-dropping-particle":"","parse-names":false,"suffix":""},{"dropping-particle":"","family":"Muiruri","given":"Charles Mwangi","non-dropping-particle":"","parse-names":false,"suffix":""},{"dropping-particle":"","family":"Mwawaka","given":"Jimmy Shangala","non-dropping-particle":"","parse-names":false,"suffix":""},{"dropping-particle":"","family":"Mwaganyuma","given":"Mwatasa Hussein","non-dropping-particle":"","parse-names":false,"suffix":""},{"dropping-particle":"","family":"Ndichu","given":"Martha Njeri","non-dropping-particle":"","parse-names":false,"suffix":""},{"dropping-particle":"","family":"Weya","given":"Joseph Ochieng","non-dropping-particle":"","parse-names":false,"suffix":""},{"dropping-particle":"","family":"Njogu","given":"Kelvin","non-dropping-particle":"","parse-names":false,"suffix":""},{"dropping-particle":"","family":"Grant","given":"Jane","non-dropping-particle":"","parse-names":false,"suffix":""},{"dropping-particle":"","family":"Webster","given":"Jayne","non-dropping-particle":"","parse-names":false,"suffix":""},{"dropping-particle":"","family":"Lakhkar","given":"Anand","non-dropping-particle":"","parse-names":false,"suffix":""},{"dropping-particle":"","family":"Ido","given":"N. Félix André","non-dropping-particle":"","parse-names":false,"suffix":""},{"dropping-particle":"","family":"Traore","given":"Ousmane","non-dropping-particle":"","parse-names":false,"suffix":""},{"dropping-particle":"","family":"Tahita","given":"Marc Christian","non-dropping-particle":"","parse-names":false,"suffix":""},{"dropping-particle":"","family":"Bonko","given":"Massa dit Achille","non-dropping-particle":"","parse-names":false,"suffix":""},{"dropping-particle":"","family":"Rouamba","given":"Toussaint","non-dropping-particle":"","parse-names":false,"suffix":""},{"dropping-particle":"","family":"Ouedraogo","given":"D. Florence","non-dropping-particle":"","parse-names":false,"suffix":""},{"dropping-particle":"","family":"Soma","given":"Rachidatou","non-dropping-particle":"","parse-names":false,"suffix":""},{"dropping-particle":"","family":"Millogo","given":"Aida","non-dropping-particle":"","parse-names":false,"suffix":""},{"dropping-particle":"","family":"Ouedraogo","given":"Edouard","non-dropping-particle":"","parse-names":false,"suffix":""},{"dropping-particle":"","family":"Sorgho","given":"Faizatou","non-dropping-particle":"","parse-names":false,"suffix":""},{"dropping-particle":"","family":"Konate","given":"Fabé","non-dropping-particle":"","parse-names":false,"suffix":""},{"dropping-particle":"","family":"Valea","given":"Innocent","non-dropping-particle":"","parse-names":false,"suffix":""}],"container-title":"The Lancet","id":"ITEM-1","issue":"10426","issued":{"date-parts":[["2024"]]},"page":"533-544","title":"Safety and efficacy of malaria vaccine candidate R21/Matrix-M in African children: a multicentre, double-blind, randomised, phase 3 trial","type":"article-journal","volume":"403"},"uris":["http://www.mendeley.com/documents/?uuid=a7eacb3f-07fb-4b15-a376-b182b4b4a78b"]}],"mendeley":{"formattedCitation":"(7)","plainTextFormattedCitation":"(7)","previouslyFormattedCitation":"(7)"},"properties":{"noteIndex":0},"schema":"https://github.com/citation-style-language/schema/raw/master/csl-citation.json"}</w:instrText>
      </w:r>
      <w:r>
        <w:rPr>
          <w:rFonts w:ascii="Times New Roman" w:hAnsi="Times New Roman" w:eastAsia="Times New Roman" w:cs="Times New Roman"/>
          <w:sz w:val="24"/>
          <w:szCs w:val="24"/>
        </w:rPr>
        <w:fldChar w:fldCharType="separate"/>
      </w:r>
      <w:r>
        <w:rPr>
          <w:rFonts w:ascii="Times New Roman" w:hAnsi="Times New Roman" w:eastAsia="Times New Roman" w:cs="Times New Roman"/>
          <w:sz w:val="24"/>
          <w:szCs w:val="24"/>
        </w:rPr>
        <w:t>(7)</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en-US"/>
        </w:rPr>
        <w:t>.</w:t>
      </w:r>
    </w:p>
    <w:p w14:paraId="37BAA258">
      <w:pPr>
        <w:spacing w:before="100" w:beforeAutospacing="1" w:after="100" w:afterAutospacing="1" w:line="360" w:lineRule="auto"/>
        <w:contextualSpacing/>
        <w:jc w:val="both"/>
        <w:outlineLvl w:val="2"/>
        <w:rPr>
          <w:rFonts w:ascii="Times New Roman" w:hAnsi="Times New Roman" w:eastAsia="Times New Roman" w:cs="Times New Roman"/>
          <w:b/>
          <w:bCs/>
          <w:sz w:val="24"/>
          <w:szCs w:val="24"/>
        </w:rPr>
      </w:pPr>
    </w:p>
    <w:p w14:paraId="43066537">
      <w:pPr>
        <w:pStyle w:val="3"/>
        <w:rPr>
          <w:color w:val="auto"/>
        </w:rPr>
      </w:pPr>
      <w:bookmarkStart w:id="204" w:name="_Toc181910651"/>
      <w:bookmarkStart w:id="205" w:name="_Toc185190139"/>
    </w:p>
    <w:p w14:paraId="3167A006">
      <w:pPr>
        <w:pStyle w:val="3"/>
        <w:rPr>
          <w:color w:val="auto"/>
        </w:rPr>
      </w:pPr>
    </w:p>
    <w:p w14:paraId="456A2E1F">
      <w:pPr>
        <w:pStyle w:val="3"/>
        <w:rPr>
          <w:color w:val="auto"/>
        </w:rPr>
      </w:pPr>
    </w:p>
    <w:p w14:paraId="26ACB605"/>
    <w:p w14:paraId="57D4A5D3">
      <w:pPr>
        <w:pStyle w:val="3"/>
        <w:rPr>
          <w:color w:val="auto"/>
        </w:rPr>
      </w:pPr>
    </w:p>
    <w:p w14:paraId="1D576D97">
      <w:pPr>
        <w:pStyle w:val="3"/>
        <w:rPr>
          <w:color w:val="auto"/>
        </w:rPr>
      </w:pPr>
      <w:bookmarkStart w:id="206" w:name="_Toc198635455"/>
      <w:r>
        <w:rPr>
          <w:color w:val="auto"/>
        </w:rPr>
        <w:t>1.2. Statement of the Problem</w:t>
      </w:r>
      <w:bookmarkEnd w:id="204"/>
      <w:bookmarkEnd w:id="205"/>
      <w:bookmarkEnd w:id="206"/>
    </w:p>
    <w:p w14:paraId="2DBF0D7E">
      <w:pPr>
        <w:pStyle w:val="3"/>
        <w:spacing w:line="360" w:lineRule="auto"/>
        <w:rPr>
          <w:rFonts w:hint="default" w:ascii="Times New Roman" w:hAnsi="Times New Roman" w:cs="Times New Roman"/>
          <w:b w:val="0"/>
          <w:bCs w:val="0"/>
          <w:color w:val="auto"/>
          <w:sz w:val="24"/>
          <w:szCs w:val="24"/>
          <w:lang w:val="en-US"/>
        </w:rPr>
      </w:pPr>
      <w:bookmarkStart w:id="207" w:name="_Toc197885187"/>
      <w:bookmarkStart w:id="208" w:name="_Toc197374345"/>
      <w:bookmarkStart w:id="209" w:name="_Toc187328308"/>
      <w:bookmarkStart w:id="210" w:name="_Toc197767182"/>
      <w:bookmarkStart w:id="211" w:name="_Toc198621988"/>
      <w:bookmarkStart w:id="212" w:name="_Toc198635456"/>
      <w:r>
        <w:rPr>
          <w:rFonts w:ascii="Times New Roman" w:hAnsi="Times New Roman" w:cs="Times New Roman"/>
          <w:b w:val="0"/>
          <w:color w:val="auto"/>
          <w:sz w:val="24"/>
          <w:szCs w:val="24"/>
        </w:rPr>
        <w:t xml:space="preserve">According to the World Health Organization, an estimated 249 million malaria cases and 608,000 deaths were reported globally in 2022, Moreover, more than 80% of these malaria deaths occurred among children under 5years of age, with over 95% of these cases occurring in Africa. In sub-Saharan Africa, malaria remains a serious public health concern, contributing to a high burden of morbidity and mortality, particularly in children under five and </w:t>
      </w:r>
      <w:r>
        <w:rPr>
          <w:rFonts w:ascii="Times New Roman" w:hAnsi="Times New Roman" w:cs="Times New Roman"/>
          <w:b w:val="0"/>
          <w:color w:val="auto"/>
          <w:sz w:val="24"/>
          <w:szCs w:val="24"/>
          <w:lang w:val="en-US"/>
        </w:rPr>
        <w:t>pregnant</w:t>
      </w:r>
      <w:r>
        <w:rPr>
          <w:rFonts w:hint="default" w:ascii="Times New Roman" w:hAnsi="Times New Roman" w:cs="Times New Roman"/>
          <w:b w:val="0"/>
          <w:color w:val="auto"/>
          <w:sz w:val="24"/>
          <w:szCs w:val="24"/>
          <w:lang w:val="en-US"/>
        </w:rPr>
        <w:t xml:space="preserve"> women</w:t>
      </w:r>
      <w:r>
        <w:rPr>
          <w:rFonts w:ascii="Times New Roman" w:hAnsi="Times New Roman" w:cs="Times New Roman"/>
          <w:b w:val="0"/>
          <w:color w:val="auto"/>
          <w:sz w:val="24"/>
          <w:szCs w:val="24"/>
        </w:rPr>
        <w:t>.</w:t>
      </w:r>
      <w:r>
        <w:rPr>
          <w:rFonts w:ascii="Times New Roman" w:hAnsi="Times New Roman" w:cs="Times New Roman"/>
          <w:b w:val="0"/>
          <w:color w:val="auto"/>
          <w:sz w:val="24"/>
          <w:szCs w:val="24"/>
        </w:rPr>
        <w:fldChar w:fldCharType="begin" w:fldLock="1"/>
      </w:r>
      <w:r>
        <w:rPr>
          <w:rFonts w:ascii="Times New Roman" w:hAnsi="Times New Roman" w:cs="Times New Roman"/>
          <w:b w:val="0"/>
          <w:color w:val="auto"/>
          <w:sz w:val="24"/>
          <w:szCs w:val="24"/>
        </w:rPr>
        <w:instrText xml:space="preserve">ADDIN CSL_CITATION {"citationItems":[{"id":"ITEM-1","itemData":{"DOI":"10.1186/s12936-022-04164-z","ISSN":"14752875","PMID":"35549710","abstract":"Background: Malaria is widespread in Ethiopia and has been a major cause of illness and death in that country. Therefore, Ethiopia has been exerting enormous efforts towards eliminating malaria by 2030. In the context of comprehensive malaria control, the malaria vaccine is used for the prevention of Plasmodium falciparum malaria in children living in regions with moderate- to-high malaria transmission. Methods: A community-based cross-sectional study was conducted among caregivers of children under the age of five throughout the months of September 2021. A structured interviewer-administered questionnaire was designed for data collection, and binary logistic regression analysis was used. The final result of the association was determined based on an adjusted odds ratio (AOR) at a 95% confidence interval (CI) level, and p &lt; 0.05 indicated statistical significance. Results: A total of 406 caregivers of children under the age of 5 were interviewed. Overall, 131 (32.3%) respondents were willing to vaccinate their children. Marital status (AOR = 1.243; 95% CI 1.021–3.897), knowledge (AOR = 3.120; 95% CI 1.689–5.027), and previous experience with childhood vaccination (AOR = 2.673; 95% CI 1.759–4.101) were found to be significantly associated with willingness to accept a malaria vaccine for their children, at p &lt; 0.05. Conclusions and recommendations: The willingness to accept a malaria vaccine for children among caregivers of children under the age of five was low in the study area. Thus, health education and communication are crucial for alleviating poor knowledge about malaria vaccines.","author":[{"dropping-particle":"","family":"Asmare","given":"Getachew","non-dropping-particle":"","parse-names":false,"suffix":""}],"container-title":"Malaria Journal","id":"ITEM-1","issue":"1","issued":{"date-parts":[["2022"]]},"page":"1-8","publisher":"BioMed Central","title":"Willingness to accept malaria vaccine among caregivers of under-5 children in Southwest Ethiopia: a community based cross-sectional study","type":"article-journal","volume":"21"},"uris":["http://www.mendeley.com/documents/?uuid=64a0dbd3-6317-41c6-8070-7c9b302552fc"]}],"mendeley":{"formattedCitation":"(5)","plainTextFormattedCitation":"(5)","previouslyFormattedCitation":"(5)"},"properties":{"noteIndex":0},"schema":"https://github.com/citation-style-language/schema/raw/master/csl-citation.json"}</w:instrText>
      </w:r>
      <w:r>
        <w:rPr>
          <w:rFonts w:ascii="Times New Roman" w:hAnsi="Times New Roman" w:cs="Times New Roman"/>
          <w:b w:val="0"/>
          <w:color w:val="auto"/>
          <w:sz w:val="24"/>
          <w:szCs w:val="24"/>
        </w:rPr>
        <w:fldChar w:fldCharType="separate"/>
      </w:r>
      <w:r>
        <w:rPr>
          <w:rFonts w:ascii="Times New Roman" w:hAnsi="Times New Roman" w:cs="Times New Roman"/>
          <w:b w:val="0"/>
          <w:color w:val="auto"/>
          <w:sz w:val="24"/>
          <w:szCs w:val="24"/>
        </w:rPr>
        <w:t>(5)</w:t>
      </w:r>
      <w:bookmarkEnd w:id="207"/>
      <w:bookmarkEnd w:id="208"/>
      <w:bookmarkEnd w:id="209"/>
      <w:bookmarkEnd w:id="210"/>
      <w:bookmarkEnd w:id="211"/>
      <w:bookmarkEnd w:id="212"/>
      <w:r>
        <w:rPr>
          <w:rFonts w:ascii="Times New Roman" w:hAnsi="Times New Roman" w:cs="Times New Roman"/>
          <w:b w:val="0"/>
          <w:color w:val="auto"/>
          <w:sz w:val="24"/>
          <w:szCs w:val="24"/>
        </w:rPr>
        <w:fldChar w:fldCharType="end"/>
      </w:r>
      <w:r>
        <w:rPr>
          <w:rFonts w:hint="default" w:ascii="Times New Roman" w:hAnsi="Times New Roman" w:cs="Times New Roman"/>
          <w:b w:val="0"/>
          <w:color w:val="auto"/>
          <w:sz w:val="24"/>
          <w:szCs w:val="24"/>
          <w:lang w:val="en-US"/>
        </w:rPr>
        <w:t xml:space="preserve">. </w:t>
      </w:r>
      <w:r>
        <w:rPr>
          <w:rFonts w:hint="default" w:ascii="Times New Roman" w:hAnsi="Times New Roman" w:cs="Times New Roman"/>
          <w:b w:val="0"/>
          <w:bCs w:val="0"/>
          <w:color w:val="auto"/>
          <w:sz w:val="24"/>
          <w:szCs w:val="24"/>
        </w:rPr>
        <w:t xml:space="preserve">Understanding communities’ willingness to receive </w:t>
      </w:r>
      <w:r>
        <w:rPr>
          <w:rFonts w:hint="default" w:ascii="Times New Roman" w:hAnsi="Times New Roman" w:cs="Times New Roman"/>
          <w:b w:val="0"/>
          <w:bCs w:val="0"/>
          <w:color w:val="auto"/>
          <w:sz w:val="24"/>
          <w:szCs w:val="24"/>
          <w:lang w:val="en-US"/>
        </w:rPr>
        <w:t xml:space="preserve"> </w:t>
      </w:r>
      <w:r>
        <w:rPr>
          <w:rFonts w:hint="default" w:ascii="Times New Roman" w:hAnsi="Times New Roman" w:cs="Times New Roman"/>
          <w:b w:val="0"/>
          <w:bCs w:val="0"/>
          <w:color w:val="auto"/>
          <w:sz w:val="24"/>
          <w:szCs w:val="24"/>
        </w:rPr>
        <w:t>a malaria vaccine and the main factors influencing their</w:t>
      </w:r>
      <w:r>
        <w:rPr>
          <w:rFonts w:hint="default" w:ascii="Times New Roman" w:hAnsi="Times New Roman" w:cs="Times New Roman"/>
          <w:b w:val="0"/>
          <w:bCs w:val="0"/>
          <w:color w:val="auto"/>
          <w:sz w:val="24"/>
          <w:szCs w:val="24"/>
          <w:lang w:val="en-US"/>
        </w:rPr>
        <w:t xml:space="preserve"> </w:t>
      </w:r>
      <w:r>
        <w:rPr>
          <w:rFonts w:hint="default" w:ascii="Times New Roman" w:hAnsi="Times New Roman" w:cs="Times New Roman"/>
          <w:b w:val="0"/>
          <w:bCs w:val="0"/>
          <w:color w:val="auto"/>
          <w:sz w:val="24"/>
          <w:szCs w:val="24"/>
        </w:rPr>
        <w:t>willingness will help in the development and implementation of effective means of promoting malaria vaccine uptake and facilitating the recent malaria elimination programme in the country</w:t>
      </w:r>
      <w:r>
        <w:rPr>
          <w:rFonts w:hint="default" w:ascii="Times New Roman" w:hAnsi="Times New Roman" w:cs="Times New Roman"/>
          <w:b w:val="0"/>
          <w:bCs w:val="0"/>
          <w:color w:val="auto"/>
          <w:sz w:val="24"/>
          <w:szCs w:val="24"/>
          <w:lang w:val="en-US"/>
        </w:rPr>
        <w:t>(6).</w:t>
      </w:r>
    </w:p>
    <w:p w14:paraId="59CA9393">
      <w:pPr>
        <w:spacing w:line="360" w:lineRule="auto"/>
        <w:rPr>
          <w:rFonts w:ascii="Times New Roman" w:hAnsi="Times New Roman" w:cs="Times New Roman"/>
          <w:sz w:val="24"/>
          <w:szCs w:val="24"/>
        </w:rPr>
      </w:pPr>
    </w:p>
    <w:p w14:paraId="3DDA2EC9">
      <w:pPr>
        <w:spacing w:line="360" w:lineRule="auto"/>
        <w:rPr>
          <w:rFonts w:ascii="Times New Roman" w:hAnsi="Times New Roman" w:eastAsia="Times New Roman" w:cs="Times New Roman"/>
          <w:sz w:val="24"/>
          <w:szCs w:val="24"/>
        </w:rPr>
      </w:pPr>
      <w:r>
        <w:rPr>
          <w:rFonts w:ascii="Times New Roman" w:hAnsi="Times New Roman" w:cs="Times New Roman"/>
          <w:sz w:val="24"/>
          <w:szCs w:val="24"/>
        </w:rPr>
        <w:t>Based on2005 Ethiopian Demographic Health Survey, malaria was the primary cause of health problems, accounting for 17% of outpatient visits, 15% of hospital admissions and 29% of in-patient deaths (8). The Ethiopian Malaria Indicator Survey estimates, the prevalence of malaria to be 1.3%. It is also well evidenced that Ethiopia, one of the sub-Saharan countries in Africa, shares 6% of the burden (9)</w:t>
      </w:r>
      <w:bookmarkStart w:id="213" w:name="_Toc181910652"/>
      <w:r>
        <w:rPr>
          <w:rFonts w:ascii="Times New Roman" w:hAnsi="Times New Roman" w:cs="Times New Roman"/>
          <w:sz w:val="24"/>
          <w:szCs w:val="24"/>
        </w:rPr>
        <w:t xml:space="preserve"> </w:t>
      </w:r>
      <w:r>
        <w:rPr>
          <w:rFonts w:ascii="Times New Roman" w:hAnsi="Times New Roman" w:eastAsia="Times New Roman" w:cs="Times New Roman"/>
          <w:sz w:val="24"/>
          <w:szCs w:val="24"/>
        </w:rPr>
        <w:t>Malaria continues to pose a significant threat to public health in Ethiopia, particularly in areas like Nekemte, where seasonal transmission is prevalent, and outbreaks have been reported in adjacent districts surrounding the city in every direction. Children under five remain the most vulnerable group affected by malaria. Although existing interventions such as bed nets and indoor residual spraying have made some progress, malaria remains a substantial health burden</w:t>
      </w:r>
      <w:r>
        <w:rPr>
          <w:rFonts w:ascii="Times New Roman" w:hAnsi="Times New Roman" w:eastAsia="Times New Roman" w:cs="Times New Roman"/>
          <w:sz w:val="24"/>
          <w:szCs w:val="24"/>
        </w:rPr>
        <w:fldChar w:fldCharType="begin" w:fldLock="1"/>
      </w:r>
      <w:r>
        <w:rPr>
          <w:rFonts w:ascii="Times New Roman" w:hAnsi="Times New Roman" w:eastAsia="Times New Roman" w:cs="Times New Roman"/>
          <w:sz w:val="24"/>
          <w:szCs w:val="24"/>
        </w:rPr>
        <w:instrText xml:space="preserve">ADDIN CSL_CITATION {"citationItems":[{"id":"ITEM-1","itemData":{"DOI":"10.1186/s12936-022-04164-z","ISSN":"14752875","PMID":"35549710","abstract":"Background: Malaria is widespread in Ethiopia and has been a major cause of illness and death in that country. Therefore, Ethiopia has been exerting enormous efforts towards eliminating malaria by 2030. In the context of comprehensive malaria control, the malaria vaccine is used for the prevention of Plasmodium falciparum malaria in children living in regions with moderate- to-high malaria transmission. Methods: A community-based cross-sectional study was conducted among caregivers of children under the age of five throughout the months of September 2021. A structured interviewer-administered questionnaire was designed for data collection, and binary logistic regression analysis was used. The final result of the association was determined based on an adjusted odds ratio (AOR) at a 95% confidence interval (CI) level, and p &lt; 0.05 indicated statistical significance. Results: A total of 406 caregivers of children under the age of 5 were interviewed. Overall, 131 (32.3%) respondents were willing to vaccinate their children. Marital status (AOR = 1.243; 95% CI 1.021–3.897), knowledge (AOR = 3.120; 95% CI 1.689–5.027), and previous experience with childhood vaccination (AOR = 2.673; 95% CI 1.759–4.101) were found to be significantly associated with willingness to accept a malaria vaccine for their children, at p &lt; 0.05. Conclusions and recommendations: The willingness to accept a malaria vaccine for children among caregivers of children under the age of five was low in the study area. Thus, health education and communication are crucial for alleviating poor knowledge about malaria vaccines.","author":[{"dropping-particle":"","family":"Asmare","given":"Getachew","non-dropping-particle":"","parse-names":false,"suffix":""}],"container-title":"Malaria Journal","id":"ITEM-1","issue":"1","issued":{"date-parts":[["2022"]]},"page":"1-8","publisher":"BioMed Central","title":"Willingness to accept malaria vaccine among caregivers of under-5 children in Southwest Ethiopia: a community based cross-sectional study","type":"article-journal","volume":"21"},"uris":["http://www.mendeley.com/documents/?uuid=64a0dbd3-6317-41c6-8070-7c9b302552fc"]},{"id":"ITEM-2","itemData":{"DOI":"10.1016/S0140-6736(23)02511-4","ISSN":"1474547X","PMID":"38310910","abstract":"Background: Recently, we found that a new malaria vaccine, R21/Matrix-M, had over 75% efficacy against clinical malaria with seasonal administration in a phase 2b trial in Burkina Faso. Here, we report on safety and efficacy of the vaccine in a phase 3 trial enrolling over 4800 children across four countries followed for up to 18 months at seasonal sites and 12 months at standard sites. Methods: We did a double-blind, randomised, phase 3 trial of the R21/Matrix-M malaria vaccine across five sites in four African countries with differing malaria transmission intensities and seasonality. Children (aged 5–36 months) were enrolled and randomly assigned (2:1) to receive 5 μg R21 plus 50 μg Matrix-M or a control vaccine (licensed rabies vaccine [Abhayrab]). Participants, their families, investigators, laboratory teams, and the local study team were masked to treatment. Vaccines were administered as three doses, 4 weeks apart, with a booster administered 12 months after the third dose. Half of the children were recruited at two sites with seasonal malaria transmission and the remainder at standard sites with perennial malaria transmission using age-based immunisation. The primary objective was protective efficacy of R21/Matrix-M from 14 days after third vaccination to 12 months after completion of the primary series at seasonal and standard sites separately as co-primary endpoints. Vaccine efficacy against multiple malaria episodes and severe malaria, as well as safety and immunogenicity, were also assessed. This trial is registered on ClinicalTrials.gov, NCT04704830, and is ongoing. Findings: From April 26, 2021, to Jan 12, 2022, 5477 children consented to be screened, of whom 1705 were randomly assigned to control vaccine and 3434 to R21/Matrix-M; 4878 participants received the first dose of vaccine. 3103 participants in the R21/Matrix-M group and 1541 participants in the control group were included in the modified per-protocol analysis (2412 [51·9%] male and 2232 [48·1%] female). R21/Matrix-M vaccine was well tolerated, with injection site pain (301 [18·6%] of 1615 participants) and fever (754 [46·7%] of 1615 participants) as the most frequent adverse events. Number of adverse events of special interest and serious adverse events did not significantly differ between the vaccine groups. There were no treatment-related deaths. 12-month vaccine efficacy was 75% (95% CI 71–79; p&lt;0·0001) at the seasonal sites and 68% (61–74; p&lt;0·0001) at the standard sites for t…","author":[{"dropping-particle":"","family":"Datoo","given":"Mehreen S.","non-dropping-particle":"","parse-names":false,"suffix":""},{"dropping-particle":"","family":"Dicko","given":"Alassane","non-dropping-particle":"","parse-names":false,"suffix":""},{"dropping-particle":"","family":"Tinto","given":"Halidou","non-dropping-particle":"","parse-names":false,"suffix":""},{"dropping-particle":"","family":"Ouédraogo","given":"Jean Bosco","non-dropping-particle":"","parse-names":false,"suffix":""},{"dropping-particle":"","family":"Hamaluba","given":"Mainga","non-dropping-particle":"","parse-names":false,"suffix":""},{"dropping-particle":"","family":"Olotu","given":"Ally","non-dropping-particle":"","parse-names":false,"suffix":""},{"dropping-particle":"","family":"Beaumont","given":"Emma","non-dropping-particle":"","parse-names":false,"suffix":""},{"dropping-particle":"","family":"Ramos Lopez","given":"Fernando","non-dropping-particle":"","parse-names":false,"suffix":""},{"dropping-particle":"","family":"Natama","given":"Hamtandi Magloire","non-dropping-particle":"","parse-names":false,"suffix":""},{"dropping-particle":"","family":"Weston","given":"Sophie","non-dropping-particle":"","parse-names":false,"suffix":""},{"dropping-particle":"","family":"Chemba","given":"Mwajuma","non-dropping-particle":"","parse-names":false,"suffix":""},{"dropping-particle":"","family":"Compaore","given":"Yves Daniel","non-dropping-particle":"","parse-names":false,"suffix":""},{"dropping-particle":"","family":"Issiaka","given":"Djibrilla","non-dropping-particle":"","parse-names":false,"suffix":""},{"dropping-particle":"","family":"Salou","given":"Diallo","non-dropping-particle":"","parse-names":false,"suffix":""},{"dropping-particle":"","family":"Some","given":"Athanase M.","non-dropping-particle":"","parse-names":false,"suffix":""},{"dropping-particle":"","family":"Omenda","given":"Sharon","non-dropping-particle":"","parse-names":false,"suffix":""},{"dropping-particle":"","family":"Lawrie","given":"Alison","non-dropping-particle":"","parse-names":false,"suffix":""},{"dropping-particle":"","family":"Bejon","given":"Philip","non-dropping-particle":"","parse-names":false,"suffix":""},{"dropping-particle":"","family":"Rao","given":"Harish","non-dropping-particle":"","parse-names":false,"suffix":""},{"dropping-particle":"","family":"Chandramohan","given":"Daniel","non-dropping-particle":"","parse-names":false,"suffix":""},{"dropping-particle":"","family":"Roberts","given":"Rachel","non-dropping-particle":"","parse-names":false,"suffix":""},{"dropping-particle":"","family":"Bharati","given":"Sandesh","non-dropping-particle":"","parse-names":false,"suffix":""},{"dropping-particle":"","family":"Stockdale","given":"Lisa","non-dropping-particle":"","parse-names":false,"suffix":""},{"dropping-particle":"","family":"Gairola","given":"Sunil","non-dropping-particle":"","parse-names":false,"suffix":""},{"dropping-particle":"","family":"Greenwood","given":"Brian M.","non-dropping-particle":"","parse-names":false,"suffix":""},{"dropping-particle":"","family":"Ewer","given":"Katie J.","non-dropping-particle":"","parse-names":false,"suffix":""},{"dropping-particle":"","family":"Bradley","given":"John","non-dropping-particle":"","parse-names":false,"suffix":""},{"dropping-particle":"","family":"Kulkarni","given":"Prasad S.","non-dropping-particle":"","parse-names":false,"suffix":""},{"dropping-particle":"","family":"Shaligram","given":"Umesh","non-dropping-particle":"","parse-names":false,"suffix":""},{"dropping-particle":"","family":"Hill","given":"Adrian V.S.","non-dropping-particle":"","parse-names":false,"suffix":""},{"dropping-particle":"","family":"Mahamar","given":"Almahamoudou","non-dropping-particle":"","parse-names":false,"suffix":""},{"dropping-particle":"","family":"Sanogo","given":"Koualy","non-dropping-particle":"","parse-names":false,"suffix":""},{"dropping-particle":"","family":"Sidibe","given":"Youssoufa","non-dropping-particle":"","parse-names":false,"suffix":""},{"dropping-particle":"","family":"Diarra","given":"Kalifa","non-dropping-particle":"","parse-names":false,"suffix":""},{"dropping-particle":"","family":"Samassekou","given":"Mamoudou","non-dropping-particle":"","parse-names":false,"suffix":""},{"dropping-particle":"","family":"Attaher","given":"Oumar","non-dropping-particle":"","parse-names":false,"suffix":""},{"dropping-particle":"","family":"Tapily","given":"Amadou","non-dropping-particle":"","parse-names":false,"suffix":""},{"dropping-particle":"","family":"Diallo","given":"Makonon","non-dropping-particle":"","parse-names":false,"suffix":""},{"dropping-particle":"","family":"Dicko","given":"Oumar Mohamed","non-dropping-particle":"","parse-names":false,"suffix":""},{"dropping-particle":"","family":"Kaya","given":"Mahamadou","non-dropping-particle":"","parse-names":false,"suffix":""},{"dropping-particle":"","family":"Maguiraga","given":"Seydina Oumar","non-dropping-particle":"","parse-names":false,"suffix":""},{"dropping-particle":"","family":"Sankare","given":"Yaya","non-dropping-particle":"","parse-names":false,"suffix":""},{"dropping-particle":"","family":"Yalcouye","given":"Hama","non-dropping-particle":"","parse-names":false,"suffix":""},{"dropping-particle":"","family":"Diarra","given":"Soumaila","non-dropping-particle":"","parse-names":false,"suffix":""},{"dropping-particle":"","family":"Niambele","given":"Sidi Mohamed","non-dropping-particle":"","parse-names":false,"suffix":""},{"dropping-particle":"","family":"Thera","given":"Ismaila","non-dropping-particle":"","parse-names":false,"suffix":""},{"dropping-particle":"","family":"Sagara","given":"Issaka","non-dropping-particle":"","parse-names":false,"suffix":""},{"dropping-particle":"","family":"Sylla","given":"Mala","non-dropping-particle":"","parse-names":false,"suffix":""},{"dropping-particle":"","family":"Dolo","given":"Amagana","non-dropping-particle":"","parse-names":false,"suffix":""},{"dropping-particle":"","family":"Misidai","given":"Nsajigwa","non-dropping-particle":"","parse-names":false,"suffix":""},{"dropping-particle":"","family":"Simando","given":"Sylvester","non-dropping-particle":"","parse-names":false,"suffix":""},{"dropping-particle":"","family":"Msami","given":"Hania","non-dropping-particle":"","parse-names":false,"suffix":""},{"dropping-particle":"","family":"Juma","given":"Omary","non-dropping-particle":"","parse-names":false,"suffix":""},{"dropping-particle":"","family":"Gutapaka","given":"Nicolaus","non-dropping-particle":"","parse-names":false,"suffix":""},{"dropping-particle":"","family":"Paul","given":"Rose","non-dropping-particle":"","parse-names":false,"suffix":""},{"dropping-particle":"","family":"Mswata","given":"Sarah","non-dropping-particle":"","parse-names":false,"suffix":""},{"dropping-particle":"","family":"Sasamalo","given":"Ibrahim","non-dropping-particle":"","parse-names":false,"suffix":""},{"dropping-particle":"","family":"Johaness","given":"Kasmir","non-dropping-particle":"","parse-names":false,"suffix":""},{"dropping-particle":"","family":"Sultan","given":"Mwantumu","non-dropping-particle":"","parse-names":false,"suffix":""},{"dropping-particle":"","family":"Alexander","given":"Annastazia","non-dropping-particle":"","parse-names":false,"suffix":""},{"dropping-particle":"","family":"Kimaro","given":"Isaac","non-dropping-particle":"","parse-names":false,"suffix":""},{"dropping-particle":"","family":"Lwanga","given":"Kauye","non-dropping-particle":"","parse-names":false,"suffix":""},{"dropping-particle":"","family":"Mtungwe","given":"Mwajuma","non-dropping-particle":"","parse-names":false,"suffix":""},{"dropping-particle":"","family":"Khamis","given":"Kassim","non-dropping-particle":"","parse-names":false,"suffix":""},{"dropping-particle":"","family":"Rugarabam","given":"Lighton","non-dropping-particle":"","parse-names":false,"suffix":""},{"dropping-particle":"","family":"Kalinga","given":"Wilmina","non-dropping-particle":"","parse-names":false,"suffix":""},{"dropping-particle":"","family":"Mohammed","given":"Mohammed","non-dropping-particle":"","parse-names":false,"suffix":""},{"dropping-particle":"","family":"Kamange","given":"Janeth","non-dropping-particle":"","parse-names":false,"suffix":""},{"dropping-particle":"","family":"Msangi","given":"Jubilate","non-dropping-particle":"","parse-names":false,"suffix":""},{"dropping-particle":"","family":"Mwaijande","given":"Batuli","non-dropping-particle":"","parse-names":false,"suffix":""},{"dropping-particle":"","family":"Mtaka","given":"Ivanny","non-dropping-particle":"","parse-names":false,"suffix":""},{"dropping-particle":"","family":"Mhapa","given":"Matilda","non-dropping-particle":"","parse-names":false,"suffix":""},{"dropping-particle":"","family":"Mlaganile","given":"Tarsis","non-dropping-particle":"","parse-names":false,"suffix":""},{"dropping-particle":"","family":"Mbaga","given":"Thabit","non-dropping-particle":"","parse-names":false,"suffix":""},{"dropping-particle":"","family":"Yerbanga","given":"Rakiswende Serge","non-dropping-particle":"","parse-names":false,"suffix":""},{"dropping-particle":"","family":"Samtouma","given":"Wendkouni","non-dropping-particle":"","parse-names":false,"suffix":""},{"dropping-particle":"","family":"Sienou","given":"Abdoul Aziz","non-dropping-particle":"","parse-names":false,"suffix":""},{"dropping-particle":"","family":"Kabre","given":"Zachari","non-dropping-particle":"","parse-names":false,"suffix":""},{"dropping-particle":"","family":"Ouedraogo","given":"Wendinpui Jedida Muriel","non-dropping-particle":"","parse-names":false,"suffix":""},{"dropping-particle":"","family":"Yarbanga","given":"G. Armel Bienvenu","non-dropping-particle":"","parse-names":false,"suffix":""},{"dropping-particle":"","family":"Zongo","given":"Issaka","non-dropping-particle":"","parse-names":false,"suffix":""},{"dropping-particle":"","family":"Savadogo","given":"Hamade","non-dropping-particle":"","parse-names":false,"suffix":""},{"dropping-particle":"","family":"Sanon","given":"Joseph","non-dropping-particle":"","parse-names":false,"suffix":""},{"dropping-particle":"","family":"Compaore","given":"Judicael","non-dropping-particle":"","parse-names":false,"suffix":""},{"dropping-particle":"","family":"Kere","given":"Idrissa","non-dropping-particle":"","parse-names":false,"suffix":""},{"dropping-particle":"","family":"Yoni","given":"Ferdinand Lionel","non-dropping-particle":"","parse-names":false,"suffix":""},{"dropping-particle":"","family":"Sanre","given":"Tewende Martine","non-dropping-particle":"","parse-names":false,"suffix":""},{"dropping-particle":"","family":"Ouattara","given":"Seydou Bienvenu","non-dropping-particle":"","parse-names":false,"suffix":""},{"dropping-particle":"","family":"Provstgaard-Morys","given":"Samuel","non-dropping-particle":"","parse-names":false,"suffix":""},{"dropping-particle":"","family":"Woods","given":"Danielle","non-dropping-particle":"","parse-names":false,"suffix":""},{"dropping-particle":"","family":"Snow","given":"Robert W.","non-dropping-particle":"","parse-names":false,"suffix":""},{"dropping-particle":"","family":"Amek","given":"Nyaguara","non-dropping-particle":"","parse-names":false,"suffix":""},{"dropping-particle":"","family":"Ngetsa","given":"Caroline J.","non-dropping-particle":"","parse-names":false,"suffix":""},{"dropping-particle":"","family":"Ochola-Oyier","given":"Lynette Isabella","non-dropping-particle":"","parse-names":false,"suffix":""},{"dropping-particle":"","family":"Musyoki","given":"Jennifer","non-dropping-particle":"","parse-names":false,"suffix":""},{"dropping-particle":"","family":"Munene","given":"Marianne","non-dropping-particle":"","parse-names":false,"suffix":""},{"dropping-particle":"","family":"Mumba","given":"Noni","non-dropping-particle":"","parse-names":false,"suffix":""},{"dropping-particle":"","family":"Adetifa","given":"Uche Jane","non-dropping-particle":"","parse-names":false,"suffix":""},{"dropping-particle":"","family":"Muiruri","given":"Charles Mwangi","non-dropping-particle":"","parse-names":false,"suffix":""},{"dropping-particle":"","family":"Mwawaka","given":"Jimmy Shangala","non-dropping-particle":"","parse-names":false,"suffix":""},{"dropping-particle":"","family":"Mwaganyuma","given":"Mwatasa Hussein","non-dropping-particle":"","parse-names":false,"suffix":""},{"dropping-particle":"","family":"Ndichu","given":"Martha Njeri","non-dropping-particle":"","parse-names":false,"suffix":""},{"dropping-particle":"","family":"Weya","given":"Joseph Ochieng","non-dropping-particle":"","parse-names":false,"suffix":""},{"dropping-particle":"","family":"Njogu","given":"Kelvin","non-dropping-particle":"","parse-names":false,"suffix":""},{"dropping-particle":"","family":"Grant","given":"Jane","non-dropping-particle":"","parse-names":false,"suffix":""},{"dropping-particle":"","family":"Webster","given":"Jayne","non-dropping-particle":"","parse-names":false,"suffix":""},{"dropping-particle":"","family":"Lakhkar","given":"Anand","non-dropping-particle":"","parse-names":false,"suffix":""},{"dropping-particle":"","family":"Ido","given":"N. Félix André","non-dropping-particle":"","parse-names":false,"suffix":""},{"dropping-particle":"","family":"Traore","given":"Ousmane","non-dropping-particle":"","parse-names":false,"suffix":""},{"dropping-particle":"","family":"Tahita","given":"Marc Christian","non-dropping-particle":"","parse-names":false,"suffix":""},{"dropping-particle":"","family":"Bonko","given":"Massa dit Achille","non-dropping-particle":"","parse-names":false,"suffix":""},{"dropping-particle":"","family":"Rouamba","given":"Toussaint","non-dropping-particle":"","parse-names":false,"suffix":""},{"dropping-particle":"","family":"Ouedraogo","given":"D. Florence","non-dropping-particle":"","parse-names":false,"suffix":""},{"dropping-particle":"","family":"Soma","given":"Rachidatou","non-dropping-particle":"","parse-names":false,"suffix":""},{"dropping-particle":"","family":"Millogo","given":"Aida","non-dropping-particle":"","parse-names":false,"suffix":""},{"dropping-particle":"","family":"Ouedraogo","given":"Edouard","non-dropping-particle":"","parse-names":false,"suffix":""},{"dropping-particle":"","family":"Sorgho","given":"Faizatou","non-dropping-particle":"","parse-names":false,"suffix":""},{"dropping-particle":"","family":"Konate","given":"Fabé","non-dropping-particle":"","parse-names":false,"suffix":""},{"dropping-particle":"","family":"Valea","given":"Innocent","non-dropping-particle":"","parse-names":false,"suffix":""}],"container-title":"The Lancet","id":"ITEM-2","issue":"10426","issued":{"date-parts":[["2024"]]},"page":"533-544","title":"Safety and efficacy of malaria vaccine candidate R21/Matrix-M in African children: a multicentre, double-blind, randomised, phase 3 trial","type":"article-journal","volume":"403"},"uris":["http://www.mendeley.com/documents/?uuid=a7eacb3f-07fb-4b15-a376-b182b4b4a78b"]}],"mendeley":{"formattedCitation":"(5,7)","plainTextFormattedCitation":"(5,7)","previouslyFormattedCitation":"(5,7)"},"properties":{"noteIndex":0},"schema":"https://github.com/citation-style-language/schema/raw/master/csl-citation.json"}</w:instrText>
      </w:r>
      <w:r>
        <w:rPr>
          <w:rFonts w:ascii="Times New Roman" w:hAnsi="Times New Roman" w:eastAsia="Times New Roman" w:cs="Times New Roman"/>
          <w:sz w:val="24"/>
          <w:szCs w:val="24"/>
        </w:rPr>
        <w:fldChar w:fldCharType="separate"/>
      </w:r>
      <w:r>
        <w:rPr>
          <w:rFonts w:ascii="Times New Roman" w:hAnsi="Times New Roman" w:eastAsia="Times New Roman" w:cs="Times New Roman"/>
          <w:sz w:val="24"/>
          <w:szCs w:val="24"/>
        </w:rPr>
        <w:t>(5,7)</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en-US"/>
        </w:rPr>
        <w:t>.</w:t>
      </w:r>
      <w:r>
        <w:rPr>
          <w:rFonts w:ascii="Times New Roman" w:hAnsi="Times New Roman" w:eastAsia="Times New Roman" w:cs="Times New Roman"/>
          <w:sz w:val="24"/>
          <w:szCs w:val="24"/>
        </w:rPr>
        <w:t xml:space="preserve">  </w:t>
      </w:r>
    </w:p>
    <w:p w14:paraId="4F98B1C0">
      <w:pPr>
        <w:spacing w:line="360" w:lineRule="auto"/>
        <w:rPr>
          <w:rFonts w:ascii="Times New Roman" w:hAnsi="Times New Roman" w:eastAsia="Times New Roman" w:cs="Times New Roman"/>
          <w:sz w:val="24"/>
          <w:szCs w:val="24"/>
        </w:rPr>
      </w:pPr>
    </w:p>
    <w:p w14:paraId="0F176CCF">
      <w:pPr>
        <w:spacing w:line="360" w:lineRule="auto"/>
        <w:rPr>
          <w:rFonts w:hint="default" w:ascii="Times New Roman" w:hAnsi="Times New Roman" w:eastAsia="Times New Roman" w:cs="Times New Roman"/>
          <w:sz w:val="24"/>
          <w:szCs w:val="24"/>
          <w:lang w:val="en-US"/>
        </w:rPr>
      </w:pPr>
      <w:r>
        <w:rPr>
          <w:rFonts w:ascii="Times New Roman" w:hAnsi="Times New Roman" w:eastAsia="Times New Roman" w:cs="Times New Roman"/>
          <w:sz w:val="24"/>
          <w:szCs w:val="24"/>
        </w:rPr>
        <w:t>The introduction of a malaria vaccine offers a promising new intervention that could significantly reduce malaria-related illness and deaths among children. However, the success of any vaccination program is contingent on community acceptance and willingness to vaccinate</w:t>
      </w:r>
      <w:r>
        <w:rPr>
          <w:rFonts w:ascii="Times New Roman" w:hAnsi="Times New Roman" w:eastAsia="Times New Roman" w:cs="Times New Roman"/>
          <w:sz w:val="24"/>
          <w:szCs w:val="24"/>
        </w:rPr>
        <w:fldChar w:fldCharType="begin" w:fldLock="1"/>
      </w:r>
      <w:r>
        <w:rPr>
          <w:rFonts w:ascii="Times New Roman" w:hAnsi="Times New Roman" w:eastAsia="Times New Roman" w:cs="Times New Roman"/>
          <w:sz w:val="24"/>
          <w:szCs w:val="24"/>
        </w:rPr>
        <w:instrText xml:space="preserve">ADDIN CSL_CITATION {"citationItems":[{"id":"ITEM-1","itemData":{"DOI":"10.1016/j.chom.2018.06.008","ISSN":"19346069","PMID":"30001524","abstract":"The development of highly effective and durable vaccines against the human malaria parasites Plasmodium falciparum and P. vivax remains a key priority. Decades of endeavor have taught that achieving this goal will be challenging; however, recent innovation in malaria vaccine research and a diverse pipeline of novel vaccine candidates for clinical assessment provides optimism. With first-generation pre-erythrocytic vaccines aiming for licensure in the coming years, it is important to reflect on how next-generation approaches can improve on their success. Here we review the latest vaccine approaches that seek to prevent malaria infection, disease, and transmission and highlight some of the major underlying immunological and molecular mechanisms of protection. The synthesis of rational antigen selection, immunogen design, and immunization strategies to induce quantitatively and qualitatively improved immune effector mechanisms offers promise for achieving sustained high-level protection. Development of highly effective vaccines against human malaria remains a public health priority. In this Review, Draper et al. describe the latest vaccine approaches to prevent malaria alongside immunological and molecular mechanisms of protection. Rational antigen selection, immunogen design, and novel immunization strategies offer promise for achieving high-level protection.","author":[{"dropping-particle":"","family":"Draper","given":"Simon J.","non-dropping-particle":"","parse-names":false,"suffix":""},{"dropping-particle":"","family":"Sack","given":"Brandon K.","non-dropping-particle":"","parse-names":false,"suffix":""},{"dropping-particle":"","family":"King","given":"C. Richter","non-dropping-particle":"","parse-names":false,"suffix":""},{"dropping-particle":"","family":"Nielsen","given":"Carolyn M.","non-dropping-particle":"","parse-names":false,"suffix":""},{"dropping-particle":"","family":"Rayner","given":"Julian C.","non-dropping-particle":"","parse-names":false,"suffix":""},{"dropping-particle":"","family":"Higgins","given":"Matthew K.","non-dropping-particle":"","parse-names":false,"suffix":""},{"dropping-particle":"","family":"Long","given":"Carole A.","non-dropping-particle":"","parse-names":false,"suffix":""},{"dropping-particle":"","family":"Seder","given":"Robert A.","non-dropping-particle":"","parse-names":false,"suffix":""}],"container-title":"Cell Host and Microbe","id":"ITEM-1","issue":"1","issued":{"date-parts":[["2018"]]},"page":"43-56","publisher":"The Authors","title":"Malaria Vaccines: Recent Advances and New Horizons","type":"article-journal","volume":"24"},"uris":["http://www.mendeley.com/documents/?uuid=70117b17-6a11-4ff5-a3e9-03196f4eab61"]}],"mendeley":{"formattedCitation":"(8)","plainTextFormattedCitation":"(8)","previouslyFormattedCitation":"(8)"},"properties":{"noteIndex":0},"schema":"https://github.com/citation-style-language/schema/raw/master/csl-citation.json"}</w:instrText>
      </w:r>
      <w:r>
        <w:rPr>
          <w:rFonts w:ascii="Times New Roman" w:hAnsi="Times New Roman" w:eastAsia="Times New Roman" w:cs="Times New Roman"/>
          <w:sz w:val="24"/>
          <w:szCs w:val="24"/>
        </w:rPr>
        <w:fldChar w:fldCharType="separate"/>
      </w:r>
      <w:r>
        <w:rPr>
          <w:rFonts w:ascii="Times New Roman" w:hAnsi="Times New Roman" w:eastAsia="Times New Roman" w:cs="Times New Roman"/>
          <w:sz w:val="24"/>
          <w:szCs w:val="24"/>
        </w:rPr>
        <w:t>(8)</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en-US"/>
        </w:rPr>
        <w:t>.</w:t>
      </w:r>
      <w:r>
        <w:rPr>
          <w:rFonts w:ascii="Times New Roman" w:hAnsi="Times New Roman" w:eastAsia="Times New Roman" w:cs="Times New Roman"/>
          <w:sz w:val="24"/>
          <w:szCs w:val="24"/>
        </w:rPr>
        <w:t xml:space="preserve"> Several factors could influence the acceptance of a malaria vaccine in Ethiopia, including concerns about vaccine safety, cultural beliefs, misinformation, and trust in the healthcare system</w:t>
      </w:r>
      <w:r>
        <w:rPr>
          <w:rFonts w:ascii="Times New Roman" w:hAnsi="Times New Roman" w:eastAsia="Times New Roman" w:cs="Times New Roman"/>
          <w:sz w:val="24"/>
          <w:szCs w:val="24"/>
        </w:rPr>
        <w:fldChar w:fldCharType="begin" w:fldLock="1"/>
      </w:r>
      <w:r>
        <w:rPr>
          <w:rFonts w:ascii="Times New Roman" w:hAnsi="Times New Roman" w:eastAsia="Times New Roman" w:cs="Times New Roman"/>
          <w:sz w:val="24"/>
          <w:szCs w:val="24"/>
        </w:rPr>
        <w:instrText xml:space="preserve">ADDIN CSL_CITATION {"citationItems":[{"id":"ITEM-1","itemData":{"DOI":"10.1186/s12936-024-04914-1","ISSN":"14752875","PMID":"38664783","abstract":"Background: There are giant steps taken in the introduction of the novel malaria vaccine poised towards reducing mortality and morbidity associated with malaria. Objectives: This study aimed to determine the knowledge of malaria vaccine and factors militating against willingness to accept the vaccine among mothers presenting in nine hospitals in Enugu metropolis. Methods: This was a cross-sectional study carried out among 491 mothers who presented with their children in nine hospitals in Enugu metropolis, South-East Nigeria. A pre-tested and interviewer-administered questionnaire was used in this study. Results: A majority of the respondents, 72.1% were aware of malaria vaccine. A majority of the respondents, 83.1% were willing to receive malaria vaccine. Similarly, a majority of the mothers, 92.9%, were willing to vaccinate baby with the malaria vaccine, while 81.1% were willing to vaccinate self and baby with the malaria vaccine. The subjects who belong to the low socio-economic class were five times less likely to vaccinate self and baby with malaria vaccine when compared with those who were in the high socio-economic class (AOR = 0.2, 95% CI 0.1–0.5). Mothers who had good knowledge of malaria vaccination were 3.3 times more likely to vaccinate self and baby with malaria vaccine when compared with those who had poor knowledge of malaria vaccination (AOR = 3.3, 95% CI 1–6–6.8). Conclusion: Although the study documented a high vaccine acceptance among the mothers, there exists a poor knowledge of the malaria vaccine among them.","author":[{"dropping-particle":"","family":"Chinawa","given":"Awoere T.","non-dropping-particle":"","parse-names":false,"suffix":""},{"dropping-particle":"","family":"Ossai","given":"Edmund N.","non-dropping-particle":"","parse-names":false,"suffix":""},{"dropping-particle":"","family":"Onukwuli","given":"Vivian O.","non-dropping-particle":"","parse-names":false,"suffix":""},{"dropping-particle":"","family":"Nduagubam","given":"Obinna C.","non-dropping-particle":"","parse-names":false,"suffix":""},{"dropping-particle":"","family":"Uwaezuoke","given":"Ndubuisi A.","non-dropping-particle":"","parse-names":false,"suffix":""},{"dropping-particle":"","family":"Okafor","given":"Chinyere N.","non-dropping-particle":"","parse-names":false,"suffix":""},{"dropping-particle":"","family":"Chinawa","given":"Josephat M.","non-dropping-particle":"","parse-names":false,"suffix":""}],"container-title":"Malaria Journal","id":"ITEM-1","issue":"1","issued":{"date-parts":[["2024"]]},"page":"1-10","publisher":"BioMed Central","title":"Willingness to accept malaria vaccines amongst women presenting at outpatient and immunization clinics in Enugu state, Southeast Nigeria","type":"article-journal","volume":"23"},"uris":["http://www.mendeley.com/documents/?uuid=16075087-2773-48c1-90e7-0eb5156fcc94"]}],"mendeley":{"formattedCitation":"(6)","plainTextFormattedCitation":"(6)","previouslyFormattedCitation":"(6)"},"properties":{"noteIndex":0},"schema":"https://github.com/citation-style-language/schema/raw/master/csl-citation.json"}</w:instrText>
      </w:r>
      <w:r>
        <w:rPr>
          <w:rFonts w:ascii="Times New Roman" w:hAnsi="Times New Roman" w:eastAsia="Times New Roman" w:cs="Times New Roman"/>
          <w:sz w:val="24"/>
          <w:szCs w:val="24"/>
        </w:rPr>
        <w:fldChar w:fldCharType="separate"/>
      </w:r>
      <w:r>
        <w:rPr>
          <w:rFonts w:ascii="Times New Roman" w:hAnsi="Times New Roman" w:eastAsia="Times New Roman" w:cs="Times New Roman"/>
          <w:sz w:val="24"/>
          <w:szCs w:val="24"/>
        </w:rPr>
        <w:t>(6)</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en-US"/>
        </w:rPr>
        <w:t>.</w:t>
      </w:r>
    </w:p>
    <w:p w14:paraId="580790EA">
      <w:pPr>
        <w:spacing w:line="360" w:lineRule="auto"/>
        <w:rPr>
          <w:rFonts w:ascii="Times New Roman" w:hAnsi="Times New Roman" w:eastAsia="Times New Roman" w:cs="Times New Roman"/>
          <w:sz w:val="24"/>
          <w:szCs w:val="24"/>
        </w:rPr>
      </w:pPr>
    </w:p>
    <w:p w14:paraId="4A765C7B">
      <w:pPr>
        <w:spacing w:line="360" w:lineRule="auto"/>
        <w:rPr>
          <w:rFonts w:hint="default" w:ascii="Times New Roman" w:hAnsi="Times New Roman" w:eastAsia="Times New Roman" w:cs="Times New Roman"/>
          <w:sz w:val="24"/>
          <w:szCs w:val="24"/>
          <w:lang w:val="en-US"/>
        </w:rPr>
      </w:pPr>
      <w:r>
        <w:rPr>
          <w:rFonts w:ascii="Times New Roman" w:hAnsi="Times New Roman" w:eastAsia="Times New Roman" w:cs="Times New Roman"/>
          <w:sz w:val="24"/>
          <w:szCs w:val="24"/>
        </w:rPr>
        <w:t>The Study conducted in Southwest Ethiopia,</w:t>
      </w:r>
      <w:r>
        <w:t xml:space="preserve"> </w:t>
      </w:r>
      <w:r>
        <w:rPr>
          <w:rFonts w:ascii="Times New Roman" w:hAnsi="Times New Roman" w:eastAsia="Times New Roman" w:cs="Times New Roman"/>
          <w:sz w:val="24"/>
          <w:szCs w:val="24"/>
        </w:rPr>
        <w:t xml:space="preserve">Woliata Sodo town </w:t>
      </w:r>
      <w:r>
        <w:rPr>
          <w:rFonts w:ascii="Times New Roman" w:hAnsi="Times New Roman" w:eastAsia="Calibri" w:cs="Times New Roman"/>
          <w:sz w:val="24"/>
          <w:szCs w:val="24"/>
        </w:rPr>
        <w:t>showed The willingness to accept a malaria vaccine for children among caregivers of children under the age of five was low in the study area and also factors that influence the acceptance of malaria vaccine such as; Attitude towards a vaccine, Awareness  of malaria risk and Understanding of vaccine benefits and safety   was not studied</w:t>
      </w:r>
      <w:r>
        <w:rPr>
          <w:rFonts w:ascii="Times New Roman" w:hAnsi="Times New Roman" w:eastAsia="Calibri" w:cs="Times New Roman"/>
          <w:sz w:val="24"/>
          <w:szCs w:val="24"/>
        </w:rPr>
        <w:fldChar w:fldCharType="begin" w:fldLock="1"/>
      </w:r>
      <w:r>
        <w:rPr>
          <w:rFonts w:ascii="Times New Roman" w:hAnsi="Times New Roman" w:eastAsia="Calibri" w:cs="Times New Roman"/>
          <w:sz w:val="24"/>
          <w:szCs w:val="24"/>
        </w:rPr>
        <w:instrText xml:space="preserve">ADDIN CSL_CITATION {"citationItems":[{"id":"ITEM-1","itemData":{"DOI":"10.1186/s12936-022-04164-z","ISSN":"14752875","PMID":"35549710","abstract":"Background: Malaria is widespread in Ethiopia and has been a major cause of illness and death in that country. Therefore, Ethiopia has been exerting enormous efforts towards eliminating malaria by 2030. In the context of comprehensive malaria control, the malaria vaccine is used for the prevention of Plasmodium falciparum malaria in children living in regions with moderate- to-high malaria transmission. Methods: A community-based cross-sectional study was conducted among caregivers of children under the age of five throughout the months of September 2021. A structured interviewer-administered questionnaire was designed for data collection, and binary logistic regression analysis was used. The final result of the association was determined based on an adjusted odds ratio (AOR) at a 95% confidence interval (CI) level, and p &lt; 0.05 indicated statistical significance. Results: A total of 406 caregivers of children under the age of 5 were interviewed. Overall, 131 (32.3%) respondents were willing to vaccinate their children. Marital status (AOR = 1.243; 95% CI 1.021–3.897), knowledge (AOR = 3.120; 95% CI 1.689–5.027), and previous experience with childhood vaccination (AOR = 2.673; 95% CI 1.759–4.101) were found to be significantly associated with willingness to accept a malaria vaccine for their children, at p &lt; 0.05. Conclusions and recommendations: The willingness to accept a malaria vaccine for children among caregivers of children under the age of five was low in the study area. Thus, health education and communication are crucial for alleviating poor knowledge about malaria vaccines.","author":[{"dropping-particle":"","family":"Asmare","given":"Getachew","non-dropping-particle":"","parse-names":false,"suffix":""}],"container-title":"Malaria Journal","id":"ITEM-1","issue":"1","issued":{"date-parts":[["2022"]]},"page":"1-8","publisher":"BioMed Central","title":"Willingness to accept malaria vaccine among caregivers of under-5 children in Southwest Ethiopia: a community based cross-sectional study","type":"article-journal","volume":"21"},"uris":["http://www.mendeley.com/documents/?uuid=64a0dbd3-6317-41c6-8070-7c9b302552fc"]}],"mendeley":{"formattedCitation":"(5)","plainTextFormattedCitation":"(5)","previouslyFormattedCitation":"(5)"},"properties":{"noteIndex":0},"schema":"https://github.com/citation-style-language/schema/raw/master/csl-citation.json"}</w:instrText>
      </w:r>
      <w:r>
        <w:rPr>
          <w:rFonts w:ascii="Times New Roman" w:hAnsi="Times New Roman" w:eastAsia="Calibri" w:cs="Times New Roman"/>
          <w:sz w:val="24"/>
          <w:szCs w:val="24"/>
        </w:rPr>
        <w:fldChar w:fldCharType="separate"/>
      </w:r>
      <w:r>
        <w:rPr>
          <w:rFonts w:ascii="Times New Roman" w:hAnsi="Times New Roman" w:eastAsia="Calibri" w:cs="Times New Roman"/>
          <w:sz w:val="24"/>
          <w:szCs w:val="24"/>
        </w:rPr>
        <w:t>(5)</w:t>
      </w:r>
      <w:r>
        <w:rPr>
          <w:rFonts w:ascii="Times New Roman" w:hAnsi="Times New Roman" w:eastAsia="Calibri" w:cs="Times New Roman"/>
          <w:sz w:val="24"/>
          <w:szCs w:val="24"/>
        </w:rPr>
        <w:fldChar w:fldCharType="end"/>
      </w:r>
      <w:r>
        <w:rPr>
          <w:rFonts w:hint="default" w:ascii="Times New Roman" w:hAnsi="Times New Roman" w:eastAsia="Calibri" w:cs="Times New Roman"/>
          <w:sz w:val="24"/>
          <w:szCs w:val="24"/>
          <w:lang w:val="en-US"/>
        </w:rPr>
        <w:t>.</w:t>
      </w:r>
      <w:r>
        <w:rPr>
          <w:rFonts w:ascii="Times New Roman" w:hAnsi="Times New Roman" w:eastAsia="Calibri" w:cs="Times New Roman"/>
          <w:sz w:val="24"/>
          <w:szCs w:val="24"/>
        </w:rPr>
        <w:t xml:space="preserve"> Thus, health education and communication are crucial for alleviating poor knowledge about malaria vaccines. </w:t>
      </w:r>
      <w:r>
        <w:rPr>
          <w:rFonts w:ascii="Times New Roman" w:hAnsi="Times New Roman" w:eastAsia="Times New Roman" w:cs="Times New Roman"/>
          <w:sz w:val="24"/>
          <w:szCs w:val="24"/>
        </w:rPr>
        <w:t xml:space="preserve">These concerns are especially pertinent in regions like Nekemte, where healthcare services have been disrupted by conflict, further complicating efforts to introduce new health interventions </w:t>
      </w:r>
      <w:r>
        <w:rPr>
          <w:rFonts w:ascii="Times New Roman" w:hAnsi="Times New Roman" w:eastAsia="Times New Roman" w:cs="Times New Roman"/>
          <w:sz w:val="24"/>
          <w:szCs w:val="24"/>
        </w:rPr>
        <w:fldChar w:fldCharType="begin" w:fldLock="1"/>
      </w:r>
      <w:r>
        <w:rPr>
          <w:rFonts w:ascii="Times New Roman" w:hAnsi="Times New Roman" w:eastAsia="Times New Roman" w:cs="Times New Roman"/>
          <w:sz w:val="24"/>
          <w:szCs w:val="24"/>
        </w:rPr>
        <w:instrText xml:space="preserve">ADDIN CSL_CITATION {"citationItems":[{"id":"ITEM-1","itemData":{"id":"ITEM-1","issued":{"date-parts":[["0"]]},"title":"Malaria Vaccine Introduction document 24 January 2024_Ethiopia_Comments","type":"article"},"uris":["http://www.mendeley.com/documents/?uuid=c1193e32-95e7-4746-9c3e-1d95359938ba"]}],"mendeley":{"formattedCitation":"(2)","plainTextFormattedCitation":"(2)","previouslyFormattedCitation":"(2)"},"properties":{"noteIndex":0},"schema":"https://github.com/citation-style-language/schema/raw/master/csl-citation.json"}</w:instrText>
      </w:r>
      <w:r>
        <w:rPr>
          <w:rFonts w:ascii="Times New Roman" w:hAnsi="Times New Roman" w:eastAsia="Times New Roman" w:cs="Times New Roman"/>
          <w:sz w:val="24"/>
          <w:szCs w:val="24"/>
        </w:rPr>
        <w:fldChar w:fldCharType="separate"/>
      </w:r>
      <w:r>
        <w:rPr>
          <w:rFonts w:ascii="Times New Roman" w:hAnsi="Times New Roman" w:eastAsia="Times New Roman" w:cs="Times New Roman"/>
          <w:sz w:val="24"/>
          <w:szCs w:val="24"/>
        </w:rPr>
        <w:t>(2)</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en-US"/>
        </w:rPr>
        <w:t>.</w:t>
      </w:r>
    </w:p>
    <w:p w14:paraId="517A120F">
      <w:pPr>
        <w:spacing w:line="360" w:lineRule="auto"/>
        <w:rPr>
          <w:rFonts w:ascii="Times New Roman" w:hAnsi="Times New Roman" w:eastAsia="Times New Roman" w:cs="Times New Roman"/>
          <w:sz w:val="24"/>
          <w:szCs w:val="24"/>
        </w:rPr>
      </w:pPr>
    </w:p>
    <w:p w14:paraId="1274A685">
      <w:pPr>
        <w:spacing w:before="240" w:after="240" w:line="360" w:lineRule="auto"/>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To date, there is limited data on the willingness of Ethiopian communities to accept a malaria vaccine. Without understanding community perspectives, the roll-out of a malaria vaccine in Ethiopia could face challenges that may limit its effectiveness. </w:t>
      </w:r>
      <w:bookmarkStart w:id="214" w:name="_Toc185190140"/>
    </w:p>
    <w:p w14:paraId="4A878D04">
      <w:pPr>
        <w:spacing w:before="100" w:beforeAutospacing="1" w:after="100" w:afterAutospacing="1" w:line="360" w:lineRule="auto"/>
        <w:contextualSpacing/>
        <w:jc w:val="both"/>
        <w:rPr>
          <w:rFonts w:ascii="Times New Roman" w:hAnsi="Times New Roman" w:cs="Times New Roman"/>
        </w:rPr>
      </w:pPr>
      <w:r>
        <w:rPr>
          <w:rFonts w:ascii="Times New Roman" w:hAnsi="Times New Roman" w:eastAsia="Times New Roman" w:cs="Times New Roman"/>
          <w:sz w:val="24"/>
          <w:szCs w:val="24"/>
        </w:rPr>
        <w:t>This study were explore the willingness of mothers attending public health immunization services in Nekemte to accept a malaria vaccine when it is introduced. Given that this region has been affected by conflict and outbreaks of malaria, it is crucial to understand how these factors may influence vaccine acceptance in this context. The findings were instrumental in guiding policymakers and health planners as they prepare for the potential introduction of a malaria vaccine in Ethiopia.</w:t>
      </w:r>
    </w:p>
    <w:bookmarkEnd w:id="213"/>
    <w:bookmarkEnd w:id="214"/>
    <w:p w14:paraId="4D22C9F2">
      <w:pPr>
        <w:pStyle w:val="3"/>
        <w:spacing w:line="360" w:lineRule="auto"/>
        <w:rPr>
          <w:rFonts w:ascii="Times New Roman" w:hAnsi="Times New Roman" w:eastAsia="Times New Roman" w:cs="Times New Roman"/>
          <w:color w:val="auto"/>
        </w:rPr>
      </w:pPr>
    </w:p>
    <w:p w14:paraId="62552FEF">
      <w:pPr>
        <w:pStyle w:val="3"/>
        <w:spacing w:line="360" w:lineRule="auto"/>
        <w:rPr>
          <w:rFonts w:ascii="Times New Roman" w:hAnsi="Times New Roman" w:eastAsia="Times New Roman" w:cs="Times New Roman"/>
          <w:color w:val="auto"/>
        </w:rPr>
      </w:pPr>
    </w:p>
    <w:p w14:paraId="4C4D3395"/>
    <w:p w14:paraId="2B19C16D"/>
    <w:p w14:paraId="34C09C7E"/>
    <w:p w14:paraId="14FC51DE"/>
    <w:p w14:paraId="6ABE4CE5"/>
    <w:p w14:paraId="4B540BA4"/>
    <w:p w14:paraId="05E65752">
      <w:pPr>
        <w:pStyle w:val="3"/>
        <w:spacing w:line="360" w:lineRule="auto"/>
        <w:rPr>
          <w:rFonts w:ascii="Times New Roman" w:hAnsi="Times New Roman" w:eastAsia="Times New Roman" w:cs="Times New Roman"/>
          <w:color w:val="auto"/>
        </w:rPr>
      </w:pPr>
      <w:bookmarkStart w:id="215" w:name="_Toc198635457"/>
      <w:r>
        <w:rPr>
          <w:rFonts w:ascii="Times New Roman" w:hAnsi="Times New Roman" w:eastAsia="Times New Roman" w:cs="Times New Roman"/>
          <w:color w:val="auto"/>
        </w:rPr>
        <w:t>1.3. Significance of Study</w:t>
      </w:r>
      <w:bookmarkEnd w:id="215"/>
      <w:bookmarkStart w:id="216" w:name="_Hlk198477429"/>
      <w:bookmarkStart w:id="217" w:name="_Toc197767184"/>
      <w:bookmarkStart w:id="218" w:name="_Toc197885189"/>
      <w:bookmarkStart w:id="219" w:name="_Toc197374347"/>
      <w:bookmarkStart w:id="220" w:name="_Toc187328310"/>
    </w:p>
    <w:p w14:paraId="468A6C09">
      <w:pPr>
        <w:pStyle w:val="3"/>
        <w:spacing w:line="360" w:lineRule="auto"/>
        <w:rPr>
          <w:rFonts w:ascii="Times New Roman" w:hAnsi="Times New Roman" w:eastAsia="Times New Roman" w:cs="Times New Roman"/>
          <w:color w:val="auto"/>
        </w:rPr>
      </w:pPr>
      <w:bookmarkStart w:id="221" w:name="_Toc198635458"/>
      <w:bookmarkStart w:id="222" w:name="_Toc198621990"/>
      <w:r>
        <w:rPr>
          <w:rFonts w:ascii="Times New Roman" w:hAnsi="Times New Roman" w:eastAsia="Times New Roman" w:cs="Times New Roman"/>
          <w:b w:val="0"/>
          <w:color w:val="auto"/>
          <w:sz w:val="24"/>
          <w:szCs w:val="24"/>
        </w:rPr>
        <w:t>This study is important as it was providing insights on the status of the mother’s willingness</w:t>
      </w:r>
      <w:r>
        <w:t xml:space="preserve"> </w:t>
      </w:r>
      <w:r>
        <w:rPr>
          <w:rFonts w:ascii="Times New Roman" w:hAnsi="Times New Roman" w:eastAsia="Times New Roman" w:cs="Times New Roman"/>
          <w:b w:val="0"/>
          <w:color w:val="auto"/>
          <w:sz w:val="24"/>
          <w:szCs w:val="24"/>
        </w:rPr>
        <w:t xml:space="preserve">to accept a malaria vaccine when it is introduced in Nekemte, and understanding the factors that influence a mother’s willingness to accept vaccine can help developing and implementing effective way to promoting vaccine uptake.  </w:t>
      </w:r>
      <w:bookmarkEnd w:id="216"/>
      <w:r>
        <w:rPr>
          <w:rFonts w:ascii="Times New Roman" w:hAnsi="Times New Roman" w:eastAsia="Times New Roman" w:cs="Times New Roman"/>
          <w:b w:val="0"/>
          <w:color w:val="auto"/>
          <w:sz w:val="24"/>
          <w:szCs w:val="24"/>
        </w:rPr>
        <w:t>The findings will crucial for policymakers and health -care planners as they prepare for the roll-out of a malaria vaccine in Ethiopia.</w:t>
      </w:r>
      <w:r>
        <w:rPr>
          <w:b w:val="0"/>
          <w:color w:val="auto"/>
        </w:rPr>
        <w:t xml:space="preserve"> </w:t>
      </w:r>
      <w:r>
        <w:rPr>
          <w:rFonts w:ascii="Times New Roman" w:hAnsi="Times New Roman" w:eastAsia="Times New Roman" w:cs="Times New Roman"/>
          <w:b w:val="0"/>
          <w:color w:val="auto"/>
          <w:sz w:val="24"/>
          <w:szCs w:val="24"/>
        </w:rPr>
        <w:t xml:space="preserve"> Findings from these studies can motivate stakeholders and community to prepare early for the adoption of a malaria vaccine</w:t>
      </w:r>
      <w:bookmarkEnd w:id="217"/>
      <w:bookmarkEnd w:id="218"/>
      <w:bookmarkEnd w:id="219"/>
      <w:bookmarkEnd w:id="220"/>
      <w:r>
        <w:rPr>
          <w:rFonts w:ascii="Times New Roman" w:hAnsi="Times New Roman" w:eastAsia="Times New Roman" w:cs="Times New Roman"/>
          <w:b w:val="0"/>
          <w:color w:val="auto"/>
          <w:sz w:val="24"/>
          <w:szCs w:val="24"/>
        </w:rPr>
        <w:t>.</w:t>
      </w:r>
      <w:bookmarkEnd w:id="221"/>
      <w:bookmarkEnd w:id="222"/>
      <w:r>
        <w:rPr>
          <w:rFonts w:ascii="Times New Roman" w:hAnsi="Times New Roman" w:eastAsia="Times New Roman" w:cs="Times New Roman"/>
          <w:color w:val="auto"/>
          <w:sz w:val="24"/>
          <w:szCs w:val="24"/>
        </w:rPr>
        <w:t xml:space="preserve"> </w:t>
      </w:r>
    </w:p>
    <w:p w14:paraId="101C2D24">
      <w:pPr>
        <w:spacing w:before="100" w:beforeAutospacing="1" w:after="100" w:afterAutospacing="1" w:line="360" w:lineRule="auto"/>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Studies can help health sectors</w:t>
      </w:r>
      <w:r>
        <w:rPr>
          <w:rStyle w:val="15"/>
          <w:rFonts w:hint="default"/>
          <w:lang w:val="en-US"/>
        </w:rPr>
        <w:t xml:space="preserve"> </w:t>
      </w:r>
      <w:r>
        <w:rPr>
          <w:rStyle w:val="15"/>
          <w:rFonts w:hint="default" w:ascii="Times New Roman" w:hAnsi="Times New Roman" w:cs="Times New Roman"/>
          <w:sz w:val="24"/>
          <w:szCs w:val="24"/>
          <w:lang w:val="en-US"/>
        </w:rPr>
        <w:t>to</w:t>
      </w:r>
      <w:r>
        <w:rPr>
          <w:rFonts w:ascii="Times New Roman" w:hAnsi="Times New Roman" w:eastAsia="Times New Roman" w:cs="Times New Roman"/>
          <w:sz w:val="24"/>
          <w:szCs w:val="24"/>
        </w:rPr>
        <w:t xml:space="preserve"> identify areas where health education and communication are needed about malaria vaccines. By understanding the key factors that influence vaccine acceptance, this research will address concerns and promote vaccine education and enhance community trust in the vaccine. </w:t>
      </w:r>
    </w:p>
    <w:p w14:paraId="50C74697">
      <w:pPr>
        <w:spacing w:before="100" w:beforeAutospacing="1" w:after="100" w:afterAutospacing="1" w:line="360" w:lineRule="auto"/>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Additionally, the results will support Ethiopia’s malaria elimination efforts by ensuring successful introduction of the malaria vaccine to the target population. </w:t>
      </w:r>
      <w:r>
        <w:rPr>
          <w:rFonts w:ascii="Times New Roman" w:hAnsi="Times New Roman" w:cs="Times New Roman"/>
          <w:sz w:val="24"/>
          <w:szCs w:val="24"/>
        </w:rPr>
        <w:t xml:space="preserve">For the sector of </w:t>
      </w:r>
      <w:r>
        <w:rPr>
          <w:rStyle w:val="23"/>
          <w:rFonts w:ascii="Times New Roman" w:hAnsi="Times New Roman" w:cs="Times New Roman"/>
          <w:b w:val="0"/>
          <w:sz w:val="24"/>
          <w:szCs w:val="24"/>
        </w:rPr>
        <w:t>academic and research a</w:t>
      </w:r>
      <w:r>
        <w:rPr>
          <w:rFonts w:ascii="Times New Roman" w:hAnsi="Times New Roman" w:cs="Times New Roman"/>
          <w:sz w:val="24"/>
          <w:szCs w:val="24"/>
        </w:rPr>
        <w:t xml:space="preserve">, this study will contribute to the growing body of literature on vaccine acceptance, particularly in the context of malaria, which may put a baseline information for future research and policy discussions. For the </w:t>
      </w:r>
      <w:r>
        <w:rPr>
          <w:rStyle w:val="23"/>
          <w:rFonts w:ascii="Times New Roman" w:hAnsi="Times New Roman" w:cs="Times New Roman"/>
          <w:b w:val="0"/>
          <w:sz w:val="24"/>
          <w:szCs w:val="24"/>
        </w:rPr>
        <w:t>source population</w:t>
      </w:r>
      <w:r>
        <w:rPr>
          <w:rFonts w:ascii="Times New Roman" w:hAnsi="Times New Roman" w:cs="Times New Roman"/>
          <w:sz w:val="24"/>
          <w:szCs w:val="24"/>
        </w:rPr>
        <w:t xml:space="preserve">, understanding the factors influencing vaccine acceptance will empower mothers with knowledge, ultimately leading to improved health outcomes for their children and the community at large. </w:t>
      </w:r>
    </w:p>
    <w:p w14:paraId="6049A8C6">
      <w:pPr>
        <w:keepNext/>
        <w:keepLines/>
        <w:spacing w:before="480" w:line="360" w:lineRule="auto"/>
        <w:contextualSpacing/>
        <w:jc w:val="center"/>
        <w:outlineLvl w:val="0"/>
        <w:rPr>
          <w:rFonts w:ascii="Times New Roman" w:hAnsi="Times New Roman" w:eastAsia="Times New Roman" w:cs="Times New Roman"/>
        </w:rPr>
      </w:pPr>
    </w:p>
    <w:p w14:paraId="4A9B63B2">
      <w:pPr>
        <w:pStyle w:val="2"/>
        <w:tabs>
          <w:tab w:val="left" w:pos="5370"/>
        </w:tabs>
      </w:pPr>
      <w:bookmarkStart w:id="223" w:name="_Toc181910653"/>
      <w:bookmarkStart w:id="224" w:name="_Toc185190141"/>
    </w:p>
    <w:p w14:paraId="1C20124E">
      <w:pPr>
        <w:pStyle w:val="2"/>
        <w:tabs>
          <w:tab w:val="left" w:pos="5370"/>
        </w:tabs>
      </w:pPr>
    </w:p>
    <w:p w14:paraId="1FFF82CB">
      <w:pPr>
        <w:pStyle w:val="2"/>
        <w:tabs>
          <w:tab w:val="left" w:pos="5370"/>
        </w:tabs>
      </w:pPr>
    </w:p>
    <w:p w14:paraId="3FB578D3">
      <w:pPr>
        <w:spacing w:line="360" w:lineRule="auto"/>
        <w:jc w:val="both"/>
      </w:pPr>
    </w:p>
    <w:p w14:paraId="46DD9A52">
      <w:pPr>
        <w:spacing w:line="360" w:lineRule="auto"/>
        <w:jc w:val="both"/>
      </w:pPr>
    </w:p>
    <w:p w14:paraId="12BA876C">
      <w:pPr>
        <w:spacing w:line="360" w:lineRule="auto"/>
        <w:jc w:val="both"/>
      </w:pPr>
    </w:p>
    <w:p w14:paraId="404311F6">
      <w:pPr>
        <w:pStyle w:val="2"/>
        <w:rPr>
          <w:rFonts w:ascii="Times New Roman" w:hAnsi="Times New Roman" w:eastAsia="Times New Roman" w:cs="Times New Roman"/>
        </w:rPr>
      </w:pPr>
      <w:bookmarkStart w:id="225" w:name="_Toc198635459"/>
      <w:r>
        <w:rPr>
          <w:rFonts w:ascii="Times New Roman" w:hAnsi="Times New Roman" w:eastAsia="Times New Roman" w:cs="Times New Roman"/>
        </w:rPr>
        <w:t xml:space="preserve">2 </w:t>
      </w:r>
      <w:r>
        <w:rPr>
          <w:rFonts w:ascii="Times New Roman" w:hAnsi="Times New Roman" w:cs="Times New Roman"/>
        </w:rPr>
        <w:t>LITERATURE REVIEW</w:t>
      </w:r>
      <w:bookmarkEnd w:id="225"/>
    </w:p>
    <w:p w14:paraId="754C57B5"/>
    <w:bookmarkEnd w:id="223"/>
    <w:bookmarkEnd w:id="224"/>
    <w:p w14:paraId="5A5FBE02">
      <w:pPr>
        <w:spacing w:line="360" w:lineRule="auto"/>
        <w:jc w:val="both"/>
        <w:rPr>
          <w:rFonts w:hint="default"/>
          <w:sz w:val="24"/>
          <w:szCs w:val="24"/>
          <w:lang w:val="en-US"/>
        </w:rPr>
      </w:pPr>
      <w:r>
        <w:rPr>
          <w:rFonts w:ascii="Times New Roman" w:hAnsi="Times New Roman" w:cs="Times New Roman"/>
          <w:sz w:val="24"/>
          <w:szCs w:val="24"/>
        </w:rPr>
        <w:t>Vaccine acceptance is a critical determinant of the success of immunization programs, particularly in combating diseases like malaria, which remain a major global health concern</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{"citationItems":[{"id":"ITEM-1","itemData":{"DOI":"10.1515/9781845459840-005","abstract":"This chapter intends to establish a conceptual framework and discuss theoretical issues related to understanding people's judgment of information quality and cognitive authority. In the first section, an overview of a proposed model of Judgment of Information Quality and Cognitive Authority is described. The following sections explore key concepts that constitute building blocks of this model. One of the goals of this study is to investigate judgment processes with respect to making choices among multiple information sources. Therefore, basic theory and research on judgment, decision, and choice are discussed in Section 3.2 as the starting point for general framework. Section 3.3 examines judgment of quality and authority in the context of an information retrieval framework. This section, in particular, discusses the relationships between IR interaction and relevance judgment, and relationships between relevance judgment and judgment of quality and authority. Furthermore, operational definitions for both information quality and cognitive authority are provided. Then, Section 3.4 introduces a study on judgment of information quality and cognitive authority in the Web conducted by the researcher (Rieh &amp; Belkin, 1998) which serves as an empirical base of the model. This study is included in this chapter because the results of the study had a number of implications which were used to establish a conceptual model. 3.1 Judgment of Information Quality and Cognitive Authority Model The model, presented in Figure 1, synthesizes theoretical issues related to the following research areas: a) judgment and decision making process in general; b) relevance judgment in information retrieval; c) judgment of information quality and cognitive","author":[{"dropping-particle":"","family":"Drori","given":"Israel","non-dropping-particle":"","parse-names":false,"suffix":""},{"dropping-particle":"","family":"Landau","given":"Dana","non-dropping-particle":"","parse-names":false,"suffix":""}],"container-title":"Vision and Change in Institutional Entrepreneurship","id":"ITEM-1","issued":{"date-parts":[["2022"]]},"page":"20-40","title":"Chapter 3. Conceptual Framework","type":"article-journal"},"uris":["http://www.mendeley.com/documents/?uuid=db5d8cf9-7c8a-49d1-8c4a-d78149674afd"]}],"mendeley":{"formattedCitation":"(9)","plainTextFormattedCitation":"(9)","previouslyFormattedCitation":"(9)"},"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(9)</w:t>
      </w:r>
      <w:r>
        <w:rPr>
          <w:rFonts w:ascii="Times New Roman" w:hAnsi="Times New Roman" w:cs="Times New Roman"/>
          <w:sz w:val="24"/>
          <w:szCs w:val="24"/>
        </w:rPr>
        <w:fldChar w:fldCharType="end"/>
      </w:r>
      <w:r>
        <w:rPr>
          <w:rFonts w:hint="default" w:ascii="Times New Roman" w:hAnsi="Times New Roman" w:cs="Times New Roman"/>
          <w:sz w:val="24"/>
          <w:szCs w:val="24"/>
          <w:lang w:val="en-US"/>
        </w:rPr>
        <w:t>.</w:t>
      </w:r>
      <w:r>
        <w:rPr>
          <w:rFonts w:ascii="Times New Roman" w:hAnsi="Times New Roman" w:cs="Times New Roman"/>
          <w:sz w:val="24"/>
          <w:szCs w:val="24"/>
        </w:rPr>
        <w:t xml:space="preserve"> Willingness to accept a malaria vaccine is influenced by various factors, including awareness, perceptions of vaccine safety and effectiveness, healthcare accessibility, and sociocultural beliefs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{"citationItems":[{"id":"ITEM-1","itemData":{"DOI":"10.1016/j.chom.2018.06.008","ISSN":"19346069","PMID":"30001524","abstract":"The development of highly effective and durable vaccines against the human malaria parasites Plasmodium falciparum and P. vivax remains a key priority. Decades of endeavor have taught that achieving this goal will be challenging; however, recent innovation in malaria vaccine research and a diverse pipeline of novel vaccine candidates for clinical assessment provides optimism. With first-generation pre-erythrocytic vaccines aiming for licensure in the coming years, it is important to reflect on how next-generation approaches can improve on their success. Here we review the latest vaccine approaches that seek to prevent malaria infection, disease, and transmission and highlight some of the major underlying immunological and molecular mechanisms of protection. The synthesis of rational antigen selection, immunogen design, and immunization strategies to induce quantitatively and qualitatively improved immune effector mechanisms offers promise for achieving sustained high-level protection. Development of highly effective vaccines against human malaria remains a public health priority. In this Review, Draper et al. describe the latest vaccine approaches to prevent malaria alongside immunological and molecular mechanisms of protection. Rational antigen selection, immunogen design, and novel immunization strategies offer promise for achieving high-level protection.","author":[{"dropping-particle":"","family":"Draper","given":"Simon J.","non-dropping-particle":"","parse-names":false,"suffix":""},{"dropping-particle":"","family":"Sack","given":"Brandon K.","non-dropping-particle":"","parse-names":false,"suffix":""},{"dropping-particle":"","family":"King","given":"C. Richter","non-dropping-particle":"","parse-names":false,"suffix":""},{"dropping-particle":"","family":"Nielsen","given":"Carolyn M.","non-dropping-particle":"","parse-names":false,"suffix":""},{"dropping-particle":"","family":"Rayner","given":"Julian C.","non-dropping-particle":"","parse-names":false,"suffix":""},{"dropping-particle":"","family":"Higgins","given":"Matthew K.","non-dropping-particle":"","parse-names":false,"suffix":""},{"dropping-particle":"","family":"Long","given":"Carole A.","non-dropping-particle":"","parse-names":false,"suffix":""},{"dropping-particle":"","family":"Seder","given":"Robert A.","non-dropping-particle":"","parse-names":false,"suffix":""}],"container-title":"Cell Host and Microbe","id":"ITEM-1","issue":"1","issued":{"date-parts":[["2018"]]},"page":"43-56","publisher":"The Authors","title":"Malaria Vaccines: Recent Advances and New Horizons","type":"article-journal","volume":"24"},"uris":["http://www.mendeley.com/documents/?uuid=70117b17-6a11-4ff5-a3e9-03196f4eab61"]}],"mendeley":{"formattedCitation":"(8)","plainTextFormattedCitation":"(8)","previouslyFormattedCitation":"(8)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fldChar w:fldCharType="end"/>
      </w:r>
      <w:r>
        <w:rPr>
          <w:rFonts w:hint="default" w:ascii="Times New Roman" w:hAnsi="Times New Roman" w:cs="Times New Roman"/>
          <w:sz w:val="24"/>
          <w:szCs w:val="24"/>
          <w:lang w:val="en-US"/>
        </w:rPr>
        <w:t>.</w:t>
      </w:r>
      <w:r>
        <w:rPr>
          <w:rFonts w:ascii="Times New Roman" w:hAnsi="Times New Roman" w:cs="Times New Roman"/>
          <w:sz w:val="24"/>
          <w:szCs w:val="24"/>
        </w:rPr>
        <w:t>Understanding these factors is essential to promote community acceptance and ensure widespread vaccine uptake. This is especially important in malaria-endemic countries like Ethiopia, where the burden of malaria disproportionately affects vulnerable populations. Exploring the willingness of mothers to accept a malaria vaccine and identifying the associated factors will provide valuable insights to guide policymakers and healthcare planners in facilitating successful vaccine implementation(7)</w:t>
      </w:r>
      <w:r>
        <w:rPr>
          <w:rFonts w:hint="default" w:ascii="Times New Roman" w:hAnsi="Times New Roman" w:cs="Times New Roman"/>
          <w:sz w:val="24"/>
          <w:szCs w:val="24"/>
          <w:lang w:val="en-US"/>
        </w:rPr>
        <w:t>.</w:t>
      </w:r>
    </w:p>
    <w:p w14:paraId="189D77AB">
      <w:pPr>
        <w:pStyle w:val="3"/>
        <w:spacing w:line="360" w:lineRule="auto"/>
        <w:jc w:val="both"/>
        <w:rPr>
          <w:rFonts w:ascii="Times New Roman" w:hAnsi="Times New Roman" w:cs="Times New Roman"/>
          <w:color w:val="auto"/>
        </w:rPr>
      </w:pPr>
      <w:bookmarkStart w:id="226" w:name="_Toc198621993"/>
      <w:bookmarkStart w:id="227" w:name="_Toc198635461"/>
      <w:bookmarkStart w:id="228" w:name="_Toc185190142"/>
      <w:bookmarkStart w:id="229" w:name="_Toc181910654"/>
      <w:r>
        <w:rPr>
          <w:rFonts w:ascii="Times New Roman" w:hAnsi="Times New Roman" w:cs="Times New Roman"/>
          <w:color w:val="auto"/>
        </w:rPr>
        <w:t>2.1. Willingness to accept malaria vaccine</w:t>
      </w:r>
      <w:bookmarkEnd w:id="226"/>
      <w:bookmarkEnd w:id="227"/>
      <w:bookmarkEnd w:id="228"/>
      <w:r>
        <w:rPr>
          <w:rFonts w:ascii="Times New Roman" w:hAnsi="Times New Roman" w:cs="Times New Roman"/>
          <w:color w:val="auto"/>
        </w:rPr>
        <w:t xml:space="preserve"> </w:t>
      </w:r>
      <w:bookmarkEnd w:id="229"/>
    </w:p>
    <w:p w14:paraId="090FE1A0">
      <w:pPr>
        <w:pStyle w:val="3"/>
        <w:spacing w:before="0" w:line="360" w:lineRule="auto"/>
        <w:rPr>
          <w:rFonts w:hint="default" w:ascii="Times New Roman" w:hAnsi="Times New Roman" w:cs="Times New Roman"/>
          <w:b w:val="0"/>
          <w:bCs w:val="0"/>
          <w:color w:val="auto"/>
          <w:sz w:val="24"/>
          <w:szCs w:val="24"/>
          <w:lang w:val="en-US"/>
        </w:rPr>
      </w:pPr>
      <w:bookmarkStart w:id="230" w:name="_Toc198635462"/>
      <w:bookmarkStart w:id="231" w:name="_Toc198621994"/>
      <w:r>
        <w:rPr>
          <w:rFonts w:ascii="Times New Roman" w:hAnsi="Times New Roman" w:cs="Times New Roman"/>
          <w:b w:val="0"/>
          <w:bCs w:val="0"/>
          <w:color w:val="auto"/>
          <w:sz w:val="24"/>
          <w:szCs w:val="24"/>
        </w:rPr>
        <w:t>the success of malaria vaccination programs depends not only on the vaccine's efficacy but also on its acceptance, awareness, and WTP among target populations. Vaccine acceptance and hesitancy are critical factors influencing acceptance   Vaccine acceptance is driven by determinants such as perceived disease risk, vaccine benefits, trust in healthcare providers, and sociocultural beliefs (10). In contrast, vaccine hesitancy defined by the WHO as a “delay in acceptance or refusal of vaccines despite the availability of vaccination services”—remains a significant barrier to achieving high vaccination coverage(11)</w:t>
      </w:r>
      <w:bookmarkEnd w:id="230"/>
      <w:bookmarkEnd w:id="231"/>
      <w:r>
        <w:rPr>
          <w:rFonts w:hint="default" w:ascii="Times New Roman" w:hAnsi="Times New Roman" w:cs="Times New Roman"/>
          <w:b w:val="0"/>
          <w:bCs w:val="0"/>
          <w:color w:val="auto"/>
          <w:sz w:val="24"/>
          <w:szCs w:val="24"/>
          <w:lang w:val="en-US"/>
        </w:rPr>
        <w:t>.</w:t>
      </w:r>
    </w:p>
    <w:p w14:paraId="3315C687"/>
    <w:p w14:paraId="0F7FE2B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Willingness to accept   vaccine will support the creation and application of efficient strategies to encourage the use of malaria vaccines and support the nation's recent malaria eradication initiative.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{"citationItems":[{"id":"ITEM-1","itemData":{"DOI":"10.1515/9781845459840-005","abstract":"This chapter intends to establish a conceptual framework and discuss theoretical issues related to understanding people's judgment of information quality and cognitive authority. In the first section, an overview of a proposed model of Judgment of Information Quality and Cognitive Authority is described. The following sections explore key concepts that constitute building blocks of this model. One of the goals of this study is to investigate judgment processes with respect to making choices among multiple information sources. Therefore, basic theory and research on judgment, decision, and choice are discussed in Section 3.2 as the starting point for general framework. Section 3.3 examines judgment of quality and authority in the context of an information retrieval framework. This section, in particular, discusses the relationships between IR interaction and relevance judgment, and relationships between relevance judgment and judgment of quality and authority. Furthermore, operational definitions for both information quality and cognitive authority are provided. Then, Section 3.4 introduces a study on judgment of information quality and cognitive authority in the Web conducted by the researcher (Rieh &amp; Belkin, 1998) which serves as an empirical base of the model. This study is included in this chapter because the results of the study had a number of implications which were used to establish a conceptual model. 3.1 Judgment of Information Quality and Cognitive Authority Model The model, presented in Figure 1, synthesizes theoretical issues related to the following research areas: a) judgment and decision making process in general; b) relevance judgment in information retrieval; c) judgment of information quality and cognitive","author":[{"dropping-particle":"","family":"Drori","given":"Israel","non-dropping-particle":"","parse-names":false,"suffix":""},{"dropping-particle":"","family":"Landau","given":"Dana","non-dropping-particle":"","parse-names":false,"suffix":""}],"container-title":"Vision and Change in Institutional Entrepreneurship","id":"ITEM-1","issued":{"date-parts":[["2022"]]},"page":"20-40","title":"Chapter 3. Conceptual Framework","type":"article-journal"},"uris":["http://www.mendeley.com/documents/?uuid=db5d8cf9-7c8a-49d1-8c4a-d78149674afd"]}],"mendeley":{"formattedCitation":"(9)","plainTextFormattedCitation":"(9)","previouslyFormattedCitation":"(9)"},"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(9)</w:t>
      </w:r>
      <w:r>
        <w:rPr>
          <w:rFonts w:ascii="Times New Roman" w:hAnsi="Times New Roman" w:cs="Times New Roman"/>
          <w:sz w:val="24"/>
          <w:szCs w:val="24"/>
        </w:rPr>
        <w:fldChar w:fldCharType="end"/>
      </w:r>
      <w:r>
        <w:rPr>
          <w:rFonts w:ascii="Times New Roman" w:hAnsi="Times New Roman" w:cs="Times New Roman"/>
          <w:sz w:val="24"/>
          <w:szCs w:val="24"/>
        </w:rPr>
        <w:t xml:space="preserve"> While different studies have assessed malaria vaccine awareness and acceptance in parts of Africa including Ghana, Malawi, Kenya and Nigeria, findings reveal varied levels of awareness and willingness to accept the vaccine, influenced by factors such as education, socioeconomic status and concerns about vaccine safety(10)</w:t>
      </w:r>
      <w:r>
        <w:rPr>
          <w:rFonts w:hint="default"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eastAsia="Times New Roman" w:cs="Times New Roman"/>
          <w:sz w:val="24"/>
          <w:szCs w:val="24"/>
        </w:rPr>
        <w:t>About half of the world's population was at risk of catching malaria in 2019. The WHO African Region shoulders the heaviest malarial burden globally, comprising 95% of fatalities and 94% of cases in 2022</w:t>
      </w:r>
      <w:r>
        <w:rPr>
          <w:rFonts w:ascii="Times New Roman" w:hAnsi="Times New Roman" w:eastAsia="Times New Roman" w:cs="Times New Roman"/>
          <w:sz w:val="24"/>
          <w:szCs w:val="24"/>
        </w:rPr>
        <w:fldChar w:fldCharType="begin" w:fldLock="1"/>
      </w:r>
      <w:r>
        <w:rPr>
          <w:rFonts w:ascii="Times New Roman" w:hAnsi="Times New Roman" w:eastAsia="Times New Roman" w:cs="Times New Roman"/>
          <w:sz w:val="24"/>
          <w:szCs w:val="24"/>
        </w:rPr>
        <w:instrText xml:space="preserve">ADDIN CSL_CITATION {"citationItems":[{"id":"ITEM-1","itemData":{"DOI":"10.1186/s41182-023-00516-w","ISSN":"13494147","abstract":"Background: The world has made great strides towards beating malaria, although about half of the world population is still exposed to the risk of contracting malaria. Developing an effective malaria vaccine was a huge challenge for medical science. In 2021 the World Health Organization (WHO) approved the first malaria vaccine, RTS,S/AS01 vaccine (Mosquirix™), for widespread use. Main abstract body: This review highlights the history of development, and the different approaches and types of malaria vaccines, and the literature to date. It covers the developmental stages of RTS,S/AS01 and recommends steps for its deployment. The review explores other potential vaccine candidates and their status, and suggests options for their further development. It also recommends future roles for vaccines in eradicating malaria. Questions remain on how RTS,S vaccine will work in widespread use and how it can best be utilized to benefit vulnerable communities. Conclusion: Malaria vaccines have been in development for almost 60 years. The RTS,S/AS01 vaccine has now been approved, but cannot be a stand-alone solution. Development should continue on promising candidates such as R21, PfSPZ and P. vivax vaccines. Multi-component vaccines may be a useful addition to other malaria control techniques in achieving eradication of malaria.","author":[{"dropping-particle":"","family":"El-Moamly","given":"Amal A.","non-dropping-particle":"","parse-names":false,"suffix":""},{"dropping-particle":"","family":"El-Sweify","given":"Mohamed A.","non-dropping-particle":"","parse-names":false,"suffix":""}],"container-title":"Tropical Medicine and Health","id":"ITEM-1","issue":"1","issued":{"date-parts":[["2023"]]},"publisher":"BioMed Central","title":"Malaria vaccines: the 60-year journey of hope and final success—lessons learned and future prospects","type":"article-journal","volume":"51"},"uris":["http://www.mendeley.com/documents/?uuid=b681e329-039c-475e-aa23-1f9562897e76"]}],"mendeley":{"formattedCitation":"(11)","plainTextFormattedCitation":"(11)","previouslyFormattedCitation":"(11)"},"properties":{"noteIndex":0},"schema":"https://github.com/citation-style-language/schema/raw/master/csl-citation.json"}</w:instrText>
      </w:r>
      <w:r>
        <w:rPr>
          <w:rFonts w:ascii="Times New Roman" w:hAnsi="Times New Roman" w:eastAsia="Times New Roman" w:cs="Times New Roman"/>
          <w:sz w:val="24"/>
          <w:szCs w:val="24"/>
        </w:rPr>
        <w:fldChar w:fldCharType="separate"/>
      </w:r>
      <w:r>
        <w:rPr>
          <w:rFonts w:ascii="Times New Roman" w:hAnsi="Times New Roman" w:eastAsia="Times New Roman" w:cs="Times New Roman"/>
          <w:sz w:val="24"/>
          <w:szCs w:val="24"/>
        </w:rPr>
        <w:t>(11)</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en-US"/>
        </w:rPr>
        <w:t>.</w:t>
      </w:r>
      <w:r>
        <w:rPr>
          <w:rFonts w:ascii="Times New Roman" w:hAnsi="Times New Roman" w:eastAsia="Times New Roman" w:cs="Times New Roman"/>
          <w:sz w:val="24"/>
          <w:szCs w:val="24"/>
        </w:rPr>
        <w:t xml:space="preserve"> Nearly half a million African children die from malaria every year, making children under five especially vulnerable</w:t>
      </w:r>
      <w:r>
        <w:rPr>
          <w:rFonts w:ascii="Times New Roman" w:hAnsi="Times New Roman" w:eastAsia="Times New Roman" w:cs="Times New Roman"/>
          <w:b/>
          <w:sz w:val="24"/>
          <w:szCs w:val="24"/>
        </w:rPr>
        <w:fldChar w:fldCharType="begin" w:fldLock="1"/>
      </w:r>
      <w:r>
        <w:rPr>
          <w:rFonts w:ascii="Times New Roman" w:hAnsi="Times New Roman" w:eastAsia="Times New Roman" w:cs="Times New Roman"/>
          <w:b/>
          <w:sz w:val="24"/>
          <w:szCs w:val="24"/>
        </w:rPr>
        <w:instrText xml:space="preserve">ADDIN CSL_CITATION {"citationItems":[{"id":"ITEM-1","itemData":{"DOI":"10.1136/bmjgh-2024-015445","ISSN":"20597908","author":[{"dropping-particle":"","family":"Duga","given":"Alemayehu Lelisa","non-dropping-particle":"","parse-names":false,"suffix":""},{"dropping-particle":"","family":"Ngongo","given":"Ngashi","non-dropping-particle":"","parse-names":false,"suffix":""},{"dropping-particle":"","family":"Fallah","given":"Mosoka Papa","non-dropping-particle":"","parse-names":false,"suffix":""},{"dropping-particle":"","family":"Figueras","given":"Albert","non-dropping-particle":"","parse-names":false,"suffix":""},{"dropping-particle":"","family":"Kilowe","given":"Carlos","non-dropping-particle":"","parse-names":false,"suffix":""},{"dropping-particle":"","family":"Murtala","given":"Jibril","non-dropping-particle":"","parse-names":false,"suffix":""},{"dropping-particle":"","family":"Kayumba","given":"Kizito","non-dropping-particle":"","parse-names":false,"suffix":""},{"dropping-particle":"","family":"Angasa","given":"Tedi","non-dropping-particle":"","parse-names":false,"suffix":""},{"dropping-particle":"","family":"Kuba","given":"Aminu","non-dropping-particle":"","parse-names":false,"suffix":""},{"dropping-particle":"","family":"Kabwe","given":"Patrick Chanda","non-dropping-particle":"","parse-names":false,"suffix":""},{"dropping-particle":"","family":"Dereje","given":"Nebiyu","non-dropping-particle":"","parse-names":false,"suffix":""},{"dropping-particle":"","family":"Raji","given":"Tajudeen","non-dropping-particle":"","parse-names":false,"suffix":""},{"dropping-particle":"","family":"Ndembi","given":"Nicaise","non-dropping-particle":"","parse-names":false,"suffix":""},{"dropping-particle":"","family":"Kaseya","given":"Jean","non-dropping-particle":"","parse-names":false,"suffix":""}],"container-title":"BMJ Global Health","id":"ITEM-1","issue":"10","issued":{"date-parts":[["2024"]]},"page":"1-4","title":"Malaria vaccine rollout begins in Africa: the need to strengthen regulatory and safety surveillance systems in Africa","type":"article-journal","volume":"9"},"uris":["http://www.mendeley.com/documents/?uuid=316f1983-4b73-4853-96d9-8c98adef03a8"]}],"mendeley":{"formattedCitation":"(10)","plainTextFormattedCitation":"(10)","previouslyFormattedCitation":"(10)"},"properties":{"noteIndex":0},"schema":"https://github.com/citation-style-language/schema/raw/master/csl-citation.json"}</w:instrText>
      </w:r>
      <w:r>
        <w:rPr>
          <w:rFonts w:ascii="Times New Roman" w:hAnsi="Times New Roman" w:eastAsia="Times New Roman" w:cs="Times New Roman"/>
          <w:b/>
          <w:sz w:val="24"/>
          <w:szCs w:val="24"/>
        </w:rPr>
        <w:fldChar w:fldCharType="separate"/>
      </w:r>
      <w:r>
        <w:rPr>
          <w:rFonts w:ascii="Times New Roman" w:hAnsi="Times New Roman" w:eastAsia="Times New Roman" w:cs="Times New Roman"/>
          <w:sz w:val="24"/>
          <w:szCs w:val="24"/>
        </w:rPr>
        <w:t>(10)</w:t>
      </w:r>
      <w:r>
        <w:rPr>
          <w:rFonts w:ascii="Times New Roman" w:hAnsi="Times New Roman" w:eastAsia="Times New Roman" w:cs="Times New Roman"/>
          <w:b/>
          <w:sz w:val="24"/>
          <w:szCs w:val="24"/>
        </w:rPr>
        <w:fldChar w:fldCharType="end"/>
      </w:r>
      <w:r>
        <w:rPr>
          <w:rFonts w:hint="default" w:ascii="Times New Roman" w:hAnsi="Times New Roman" w:eastAsia="Times New Roman" w:cs="Times New Roman"/>
          <w:b/>
          <w:sz w:val="24"/>
          <w:szCs w:val="24"/>
          <w:lang w:val="en-US"/>
        </w:rPr>
        <w:t>.</w:t>
      </w:r>
      <w:r>
        <w:rPr>
          <w:rFonts w:ascii="Times New Roman" w:hAnsi="Times New Roman" w:cs="Times New Roman"/>
          <w:b/>
          <w:sz w:val="24"/>
          <w:szCs w:val="24"/>
        </w:rPr>
        <w:t xml:space="preserve"> </w:t>
      </w:r>
      <w:r>
        <w:rPr>
          <w:rFonts w:ascii="Times New Roman" w:hAnsi="Times New Roman" w:cs="Times New Roman"/>
          <w:sz w:val="24"/>
          <w:szCs w:val="24"/>
        </w:rPr>
        <w:t xml:space="preserve">Sub-Saharan Africa took the burden of the disease, with over 90% of cases and fatalities occurring there each year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{"citationItems":[{"id":"ITEM-1","itemData":{"DOI":"10.1515/9781845459840-005","abstract":"This chapter intends to establish a conceptual framework and discuss theoretical issues related to understanding people's judgment of information quality and cognitive authority. In the first section, an overview of a proposed model of Judgment of Information Quality and Cognitive Authority is described. The following sections explore key concepts that constitute building blocks of this model. One of the goals of this study is to investigate judgment processes with respect to making choices among multiple information sources. Therefore, basic theory and research on judgment, decision, and choice are discussed in Section 3.2 as the starting point for general framework. Section 3.3 examines judgment of quality and authority in the context of an information retrieval framework. This section, in particular, discusses the relationships between IR interaction and relevance judgment, and relationships between relevance judgment and judgment of quality and authority. Furthermore, operational definitions for both information quality and cognitive authority are provided. Then, Section 3.4 introduces a study on judgment of information quality and cognitive authority in the Web conducted by the researcher (Rieh &amp; Belkin, 1998) which serves as an empirical base of the model. This study is included in this chapter because the results of the study had a number of implications which were used to establish a conceptual model. 3.1 Judgment of Information Quality and Cognitive Authority Model The model, presented in Figure 1, synthesizes theoretical issues related to the following research areas: a) judgment and decision making process in general; b) relevance judgment in information retrieval; c) judgment of information quality and cognitive","author":[{"dropping-particle":"","family":"Drori","given":"Israel","non-dropping-particle":"","parse-names":false,"suffix":""},{"dropping-particle":"","family":"Landau","given":"Dana","non-dropping-particle":"","parse-names":false,"suffix":""}],"container-title":"Vision and Change in Institutional Entrepreneurship","id":"ITEM-1","issued":{"date-parts":[["2022"]]},"page":"20-40","title":"Chapter 3. Conceptual Framework","type":"article-journal"},"uris":["http://www.mendeley.com/documents/?uuid=db5d8cf9-7c8a-49d1-8c4a-d78149674afd"]}],"mendeley":{"formattedCitation":"(9)","plainTextFormattedCitation":"(9)","previouslyFormattedCitation":"(9)"},"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(9)</w:t>
      </w:r>
      <w:r>
        <w:rPr>
          <w:rFonts w:ascii="Times New Roman" w:hAnsi="Times New Roman" w:cs="Times New Roman"/>
          <w:sz w:val="24"/>
          <w:szCs w:val="24"/>
        </w:rPr>
        <w:fldChar w:fldCharType="end"/>
      </w:r>
      <w:r>
        <w:rPr>
          <w:rFonts w:hint="default" w:ascii="Times New Roman" w:hAnsi="Times New Roman" w:cs="Times New Roman"/>
          <w:sz w:val="24"/>
          <w:szCs w:val="24"/>
          <w:lang w:val="en-US"/>
        </w:rPr>
        <w:t>.</w:t>
      </w:r>
      <w:r>
        <w:rPr>
          <w:rFonts w:ascii="Times New Roman" w:hAnsi="Times New Roman" w:cs="Times New Roman"/>
          <w:sz w:val="24"/>
          <w:szCs w:val="24"/>
        </w:rPr>
        <w:t xml:space="preserve"> </w:t>
      </w:r>
    </w:p>
    <w:p w14:paraId="10122B6A">
      <w:pPr>
        <w:spacing w:line="360" w:lineRule="auto"/>
        <w:jc w:val="both"/>
        <w:rPr>
          <w:rFonts w:ascii="Times New Roman" w:hAnsi="Times New Roman" w:cs="Times New Roman"/>
          <w:sz w:val="24"/>
          <w:szCs w:val="24"/>
        </w:rPr>
      </w:pPr>
    </w:p>
    <w:p w14:paraId="454200DA">
      <w:pPr>
        <w:spacing w:line="360" w:lineRule="auto"/>
        <w:jc w:val="both"/>
        <w:rPr>
          <w:rFonts w:ascii="Times New Roman" w:hAnsi="Times New Roman" w:eastAsia="Times New Roman" w:cs="Times New Roman"/>
          <w:sz w:val="24"/>
          <w:szCs w:val="24"/>
        </w:rPr>
      </w:pPr>
      <w:r>
        <w:rPr>
          <w:rFonts w:ascii="Times New Roman" w:hAnsi="Times New Roman" w:cs="Times New Roman"/>
          <w:sz w:val="24"/>
          <w:szCs w:val="24"/>
        </w:rPr>
        <w:t>Recent advances in control efforts have introduced many advances, including highly effective therapies, such as the artemisin in combination therapy, and rapid diagnostic tests. Malaria incidence has decreased as a result of increased use of insecticide-treated bed nets, different vector control strategies, and preventive intermittent chemotherapy courses given to susceptible people. But lately, this decline has slowed, and the incidence might be rising once more</w:t>
      </w:r>
      <w:r>
        <w:rPr>
          <w:rFonts w:ascii="Times New Roman" w:hAnsi="Times New Roman" w:eastAsia="Arial" w:cs="Times New Roman"/>
          <w:sz w:val="24"/>
          <w:szCs w:val="24"/>
          <w:lang w:val="en-GB"/>
        </w:rPr>
        <w:fldChar w:fldCharType="begin" w:fldLock="1"/>
      </w:r>
      <w:r>
        <w:rPr>
          <w:rFonts w:ascii="Times New Roman" w:hAnsi="Times New Roman" w:eastAsia="Arial" w:cs="Times New Roman"/>
          <w:sz w:val="24"/>
          <w:szCs w:val="24"/>
          <w:lang w:val="en-GB"/>
        </w:rPr>
        <w:instrText xml:space="preserve">ADDIN CSL_CITATION {"citationItems":[{"id":"ITEM-1","itemData":{"ISBN":"07947410","abstract":"AJOL Abstract: Background: Ninety percent of the world's malaria cases occur in sub-Saharan Africa. Because of challenges with ongoing malaria control strategies there is need for newer strategies such as malaria vaccine. Nigeria's immunization program has suffered series of setback in recent times due to misperception that marred its acceptability. Malaria vaccine trials have already commenced in some countries. The aim of this study was to assess the perception and acceptability of malaria vaccines among maternal and child health clinic attendees.Methodology: This was a descriptive cross-sectional study. A semi-structured pre-tested interviewer-administered questionnaire was used for data collection from maternal and child health clinic attendees in Calabar, Nigeria. Respondents were selected using systematic random sampling. Data was collected on socio-demographic characteristics, sources of information regarding malaria vaccine and perception and acceptability of malaria vaccine.Results: Majority of respondents, 90.5%, were females, 93% were married and 77.5% were educated up to tertiary level. Civil servants constituted 35.1% of respondents. Majority, 157(60%) of respondents had heard about malaria vaccine prior to the study. Eighty -four percent of respondents indicated that they believe malaria vaccine is necessary for malaria control. Fifty- three percent of respondents agreed that they would allow their children to be volunteers for malaria vaccine trial. Eighty- six percent of respondents would recommend that malaria vaccine be made part of the country's National Programme on Immunization.Conclusion: Majority of respondents had good perception of malaria vaccine. However, there is need for more advocacy and health education so as to debunk all myths and misperceptions","author":[{"dropping-particle":"","family":"Etokidem","given":"A J","non-dropping-particle":"","parse-names":false,"suffix":""},{"dropping-particle":"","family":"Ndifon","given":"W O","non-dropping-particle":"","parse-names":false,"suffix":""},{"dropping-particle":"","family":"Asibong","given":"U E","non-dropping-particle":"","parse-names":false,"suffix":""}],"container-title":"Journal of Community Medicine and Primary Health Care","id":"ITEM-1","issue":"1","issued":{"date-parts":[["2016"]]},"page":"51-58","title":"Perception and acceptability of malaria vaccine among maternal and child health clinic attendees at the University of Calabar Teaching Hospital, Calabar, Nigeria","type":"article-journal","volume":"27"},"uris":["http://www.mendeley.com/documents/?uuid=f6daa82b-ccc3-46c5-ab92-34de0b944c40"]}],"mendeley":{"formattedCitation":"(12)","plainTextFormattedCitation":"(12)","previouslyFormattedCitation":"(12)"},"properties":{"noteIndex":0},"schema":"https://github.com/citation-style-language/schema/raw/master/csl-citation.json"}</w:instrText>
      </w:r>
      <w:r>
        <w:rPr>
          <w:rFonts w:ascii="Times New Roman" w:hAnsi="Times New Roman" w:eastAsia="Arial" w:cs="Times New Roman"/>
          <w:sz w:val="24"/>
          <w:szCs w:val="24"/>
          <w:lang w:val="en-GB"/>
        </w:rPr>
        <w:fldChar w:fldCharType="separate"/>
      </w:r>
      <w:r>
        <w:rPr>
          <w:rFonts w:ascii="Times New Roman" w:hAnsi="Times New Roman" w:eastAsia="Arial" w:cs="Times New Roman"/>
          <w:sz w:val="24"/>
          <w:szCs w:val="24"/>
          <w:lang w:val="en-GB"/>
        </w:rPr>
        <w:t>(12)</w:t>
      </w:r>
      <w:r>
        <w:rPr>
          <w:rFonts w:ascii="Times New Roman" w:hAnsi="Times New Roman" w:eastAsia="Arial" w:cs="Times New Roman"/>
          <w:sz w:val="24"/>
          <w:szCs w:val="24"/>
          <w:lang w:val="en-GB"/>
        </w:rPr>
        <w:fldChar w:fldCharType="end"/>
      </w:r>
      <w:r>
        <w:rPr>
          <w:rFonts w:hint="default" w:ascii="Times New Roman" w:hAnsi="Times New Roman" w:eastAsia="Arial" w:cs="Times New Roman"/>
          <w:sz w:val="24"/>
          <w:szCs w:val="24"/>
          <w:lang w:val="en-US"/>
        </w:rPr>
        <w:t>.</w:t>
      </w:r>
      <w:r>
        <w:rPr>
          <w:rFonts w:ascii="Times New Roman" w:hAnsi="Times New Roman" w:eastAsia="Times New Roman" w:cs="Times New Roman"/>
          <w:sz w:val="24"/>
          <w:szCs w:val="24"/>
        </w:rPr>
        <w:t>The malaria vaccine is used to prevent Plasmodium falciparum malaria in children residing in areas with moderate-to-high malaria transmission in the framework of comprehensive malaria contro</w:t>
      </w:r>
      <w:r>
        <w:rPr>
          <w:rFonts w:ascii="Times New Roman" w:hAnsi="Times New Roman" w:eastAsia="Times New Roman" w:cs="Times New Roman"/>
          <w:sz w:val="24"/>
          <w:szCs w:val="24"/>
        </w:rPr>
        <w:fldChar w:fldCharType="begin" w:fldLock="1"/>
      </w:r>
      <w:r>
        <w:rPr>
          <w:rFonts w:ascii="Times New Roman" w:hAnsi="Times New Roman" w:eastAsia="Times New Roman" w:cs="Times New Roman"/>
          <w:sz w:val="24"/>
          <w:szCs w:val="24"/>
        </w:rPr>
        <w:instrText xml:space="preserve">ADDIN CSL_CITATION {"citationItems":[{"id":"ITEM-1","itemData":{"author":[{"dropping-particle":"","family":"Faso","given":"Burkina","non-dropping-particle":"","parse-names":false,"suffix":""},{"dropping-particle":"","family":"Leone","given":"Sierra","non-dropping-particle":"","parse-names":false,"suffix":""}],"container-title":"Https://Www.Mvi-Workshop-With-Oms.Org/","id":"ITEM-1","issue":"June","issued":{"date-parts":[["2024"]]},"page":"1-5","title":"Malaria Vaccine Introduction Workshop - Peer-learning workshop","type":"article-journal"},"uris":["http://www.mendeley.com/documents/?uuid=ac57a0a7-ed60-47df-a553-bb71bbb16539"]}],"mendeley":{"formattedCitation":"(13)","plainTextFormattedCitation":"(13)","previouslyFormattedCitation":"(13)"},"properties":{"noteIndex":0},"schema":"https://github.com/citation-style-language/schema/raw/master/csl-citation.json"}</w:instrText>
      </w:r>
      <w:r>
        <w:rPr>
          <w:rFonts w:ascii="Times New Roman" w:hAnsi="Times New Roman" w:eastAsia="Times New Roman" w:cs="Times New Roman"/>
          <w:sz w:val="24"/>
          <w:szCs w:val="24"/>
        </w:rPr>
        <w:fldChar w:fldCharType="separate"/>
      </w:r>
      <w:r>
        <w:rPr>
          <w:rFonts w:ascii="Times New Roman" w:hAnsi="Times New Roman" w:eastAsia="Times New Roman" w:cs="Times New Roman"/>
          <w:sz w:val="24"/>
          <w:szCs w:val="24"/>
        </w:rPr>
        <w:t>(13)</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en-US"/>
        </w:rPr>
        <w:t>.</w:t>
      </w:r>
      <w:r>
        <w:rPr>
          <w:rFonts w:ascii="Times New Roman" w:hAnsi="Times New Roman" w:eastAsia="Times New Roman" w:cs="Times New Roman"/>
          <w:sz w:val="24"/>
          <w:szCs w:val="24"/>
        </w:rPr>
        <w:t xml:space="preserve"> </w:t>
      </w:r>
    </w:p>
    <w:p w14:paraId="008F1769">
      <w:pPr>
        <w:spacing w:line="360" w:lineRule="auto"/>
        <w:jc w:val="both"/>
        <w:rPr>
          <w:rFonts w:ascii="Times New Roman" w:hAnsi="Times New Roman" w:cs="Times New Roman"/>
          <w:sz w:val="24"/>
          <w:szCs w:val="24"/>
        </w:rPr>
      </w:pPr>
    </w:p>
    <w:p w14:paraId="70D196C3">
      <w:pPr>
        <w:spacing w:line="360" w:lineRule="auto"/>
        <w:jc w:val="both"/>
        <w:rPr>
          <w:rFonts w:hint="default" w:ascii="Times New Roman" w:hAnsi="Times New Roman" w:cs="Times New Roman"/>
          <w:sz w:val="24"/>
          <w:szCs w:val="24"/>
          <w:lang w:val="en-US"/>
        </w:rPr>
      </w:pPr>
      <w:r>
        <w:rPr>
          <w:rFonts w:ascii="Times New Roman" w:hAnsi="Times New Roman" w:eastAsia="Times New Roman" w:cs="Times New Roman"/>
          <w:sz w:val="24"/>
          <w:szCs w:val="24"/>
        </w:rPr>
        <w:t>To prevent and control the disease, the World Health Organization suggests indoor residual spraying (IRS), insecticide-treated nets, larval control, preventative chemotherapy, and early diagnosis and treatment. The effectiveness of malaria prevention and control in the nation is influenced by a number of factors, including rising parasite resistance to antimalarial medications, low income, poor IRS compliance, unfair health care distribution, inadequate health service infrastructure, and high population movement</w:t>
      </w:r>
      <w:r>
        <w:rPr>
          <w:rFonts w:ascii="Times New Roman" w:hAnsi="Times New Roman" w:eastAsia="Times New Roman" w:cs="Times New Roman"/>
          <w:sz w:val="24"/>
          <w:szCs w:val="24"/>
        </w:rPr>
        <w:fldChar w:fldCharType="begin" w:fldLock="1"/>
      </w:r>
      <w:r>
        <w:rPr>
          <w:rFonts w:ascii="Times New Roman" w:hAnsi="Times New Roman" w:eastAsia="Times New Roman" w:cs="Times New Roman"/>
          <w:sz w:val="24"/>
          <w:szCs w:val="24"/>
        </w:rPr>
        <w:instrText xml:space="preserve">ADDIN CSL_CITATION {"citationItems":[{"id":"ITEM-1","itemData":{"DOI":"10.1186/s41182-023-00516-w","ISSN":"13494147","abstract":"Background: The world has made great strides towards beating malaria, although about half of the world population is still exposed to the risk of contracting malaria. Developing an effective malaria vaccine was a huge challenge for medical science. In 2021 the World Health Organization (WHO) approved the first malaria vaccine, RTS,S/AS01 vaccine (Mosquirix™), for widespread use. Main abstract body: This review highlights the history of development, and the different approaches and types of malaria vaccines, and the literature to date. It covers the developmental stages of RTS,S/AS01 and recommends steps for its deployment. The review explores other potential vaccine candidates and their status, and suggests options for their further development. It also recommends future roles for vaccines in eradicating malaria. Questions remain on how RTS,S vaccine will work in widespread use and how it can best be utilized to benefit vulnerable communities. Conclusion: Malaria vaccines have been in development for almost 60 years. The RTS,S/AS01 vaccine has now been approved, but cannot be a stand-alone solution. Development should continue on promising candidates such as R21, PfSPZ and P. vivax vaccines. Multi-component vaccines may be a useful addition to other malaria control techniques in achieving eradication of malaria.","author":[{"dropping-particle":"","family":"El-Moamly","given":"Amal A.","non-dropping-particle":"","parse-names":false,"suffix":""},{"dropping-particle":"","family":"El-Sweify","given":"Mohamed A.","non-dropping-particle":"","parse-names":false,"suffix":""}],"container-title":"Tropical Medicine and Health","id":"ITEM-1","issue":"1","issued":{"date-parts":[["2023"]]},"publisher":"BioMed Central","title":"Malaria vaccines: the 60-year journey of hope and final success—lessons learned and future prospects","type":"article-journal","volume":"51"},"uris":["http://www.mendeley.com/documents/?uuid=b681e329-039c-475e-aa23-1f9562897e76"]},{"id":"ITEM-2","itemData":{"author":[{"dropping-particle":"","family":"Faso","given":"Burkina","non-dropping-particle":"","parse-names":false,"suffix":""},{"dropping-particle":"","family":"Leone","given":"Sierra","non-dropping-particle":"","parse-names":false,"suffix":""}],"container-title":"Https://Www.Mvi-Workshop-With-Oms.Org/","id":"ITEM-2","issue":"June","issued":{"date-parts":[["2024"]]},"page":"1-5","title":"Malaria Vaccine Introduction Workshop - Peer-learning workshop","type":"article-journal"},"uris":["http://www.mendeley.com/documents/?uuid=ac57a0a7-ed60-47df-a553-bb71bbb16539"]}],"mendeley":{"formattedCitation":"(11,13)","plainTextFormattedCitation":"(11,13)","previouslyFormattedCitation":"(11,13)"},"properties":{"noteIndex":0},"schema":"https://github.com/citation-style-language/schema/raw/master/csl-citation.json"}</w:instrText>
      </w:r>
      <w:r>
        <w:rPr>
          <w:rFonts w:ascii="Times New Roman" w:hAnsi="Times New Roman" w:eastAsia="Times New Roman" w:cs="Times New Roman"/>
          <w:sz w:val="24"/>
          <w:szCs w:val="24"/>
        </w:rPr>
        <w:fldChar w:fldCharType="separate"/>
      </w:r>
      <w:r>
        <w:rPr>
          <w:rFonts w:ascii="Times New Roman" w:hAnsi="Times New Roman" w:eastAsia="Times New Roman" w:cs="Times New Roman"/>
          <w:sz w:val="24"/>
          <w:szCs w:val="24"/>
        </w:rPr>
        <w:t>(11,13)</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en-US"/>
        </w:rPr>
        <w:t>.</w:t>
      </w:r>
      <w:r>
        <w:rPr>
          <w:rFonts w:ascii="Times New Roman" w:hAnsi="Times New Roman" w:eastAsia="Times New Roman" w:cs="Times New Roman"/>
          <w:sz w:val="24"/>
          <w:szCs w:val="24"/>
        </w:rPr>
        <w:t xml:space="preserve"> The United Nations Development Programme, World Bank, and WHO-Tropical Diseases Research program, in cooperation with professionals from the pharmaceutical industry, have investigated alternative, cutting-edge methods of controlling malaria, including the use of vaccinations, in response to the shortcomings of the current methods. </w:t>
      </w:r>
      <w:r>
        <w:rPr>
          <w:rFonts w:ascii="Times New Roman" w:hAnsi="Times New Roman" w:cs="Times New Roman"/>
          <w:sz w:val="24"/>
          <w:szCs w:val="24"/>
        </w:rPr>
        <w:t>The world has made significant progress in combating malaria, but creating a vaccine that works has proven to be a formidable obstacle for medical science</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{"citationItems":[{"id":"ITEM-1","itemData":{"DOI":"10.1186/s12936-024-04921-2","ISSN":"14752875","PMID":"38734664","abstract":"Background: The newly developed malaria vaccine called “R21/Matrix-M malaria vaccine” showed a high safety and efficacy level, and Ghana is the first country to approve this new vaccine. The present study aimed to evaluate the rate of vaccine hesitancy (VH) towards the newly developed malaria vaccine among parents who currently have children who are not eligible for the vaccine but may be eligible in the near future. Additionally, the study aimed to identify the factors that could potentially influence VH. Methods: A cross-sectional survey using both online-based questionnaires and face-to-face interviews was conducted in Ghana from June to August 2023. The survey specifically targeted parents of ineligible children for vaccination, including those aged less than 5 months or between 3 and 12 years. The Parent Attitudes about Childhood Vaccination (PACV) scale was used to assess parental VH. Results: A total of 765 people participated in this study. Their median age was 36.0 years with an interquartile range of 31.0–41.0 years, 67.7% were females, 41.8% completed their tertiary education, 63.3% were married, 81.6% worked in non-healthcare sectors, and 59.7% reported that their monthly income was insufficient. About one-third (34.5%) of the parents were hesitant to give their children the R21/Matrix-M malaria vaccine. The following predictors were associated with VH: working in the healthcare sector (adjusted odds ratio (AOR) = 0.50; 95% confidence interval (CI) 0.30–0.80; p = 0.005), having the other parent working in the healthcare sector (AOR = 0.54; 95% CI 0.30–0.94; p = 0.034), and not taking scheduled routine vaccinations (AOR = 1.90; 95% CI 1.27–2.84; p = 0.002). Conclusions: Addressing VH is crucial for optimizing R21/Matrix-M vaccine coverage in Ghana's malaria control strategy. By tackling VH issues, Ghana can effectively safeguard children's health in malaria-prone areas.","author":[{"dropping-particle":"","family":"Hussein","given":"Mohamed Fakhry","non-dropping-particle":"","parse-names":false,"suffix":""},{"dropping-particle":"","family":"Kyei-Arthur","given":"Frank","non-dropping-particle":"","parse-names":false,"suffix":""},{"dropping-particle":"","family":"Saleeb","given":"Marina","non-dropping-particle":"","parse-names":false,"suffix":""},{"dropping-particle":"","family":"Kyei-Gyamfi","given":"Sylvester","non-dropping-particle":"","parse-names":false,"suffix":""},{"dropping-particle":"","family":"Abutima","given":"Theophilus","non-dropping-particle":"","parse-names":false,"suffix":""},{"dropping-particle":"","family":"Sakada","given":"Ignatius Great","non-dropping-particle":"","parse-names":false,"suffix":""},{"dropping-particle":"","family":"Ghazy","given":"Ramy Mohamed","non-dropping-particle":"","parse-names":false,"suffix":""}],"container-title":"Malaria Journal","id":"ITEM-1","issue":"1","issued":{"date-parts":[["2024"]]},"page":"1-14","publisher":"BioMed Central","title":"Hesitancy towards R21/Matrix-M malaria vaccine among Ghanaian parents and attitudes towards immunizing non-eligible children: a cross-sectional survey","type":"article-journal","volume":"23"},"uris":["http://www.mendeley.com/documents/?uuid=9440a017-ad2e-4ff7-985c-3f9b6c1a62dd"]}],"mendeley":{"formattedCitation":"(14)","plainTextFormattedCitation":"(14)","previouslyFormattedCitation":"(14)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(14)</w:t>
      </w:r>
      <w:r>
        <w:rPr>
          <w:rFonts w:ascii="Times New Roman" w:hAnsi="Times New Roman" w:cs="Times New Roman"/>
          <w:sz w:val="24"/>
          <w:szCs w:val="24"/>
        </w:rPr>
        <w:fldChar w:fldCharType="end"/>
      </w:r>
      <w:r>
        <w:rPr>
          <w:rFonts w:hint="default" w:ascii="Times New Roman" w:hAnsi="Times New Roman" w:cs="Times New Roman"/>
          <w:sz w:val="24"/>
          <w:szCs w:val="24"/>
          <w:lang w:val="en-US"/>
        </w:rPr>
        <w:t>.</w:t>
      </w:r>
    </w:p>
    <w:p w14:paraId="3C0BF25D">
      <w:pPr>
        <w:spacing w:line="360" w:lineRule="auto"/>
        <w:jc w:val="both"/>
        <w:rPr>
          <w:rFonts w:ascii="Times New Roman" w:hAnsi="Times New Roman" w:cs="Times New Roman"/>
          <w:sz w:val="24"/>
          <w:szCs w:val="24"/>
        </w:rPr>
      </w:pPr>
    </w:p>
    <w:p w14:paraId="1A416540">
      <w:pPr>
        <w:spacing w:line="360" w:lineRule="auto"/>
        <w:jc w:val="both"/>
        <w:rPr>
          <w:rFonts w:ascii="Times New Roman" w:hAnsi="Times New Roman" w:eastAsia="Times New Roman" w:cs="Times New Roman"/>
          <w:sz w:val="24"/>
          <w:szCs w:val="24"/>
        </w:rPr>
      </w:pPr>
      <w:r>
        <w:rPr>
          <w:rFonts w:ascii="Times New Roman" w:hAnsi="Times New Roman" w:cs="Times New Roman"/>
          <w:sz w:val="24"/>
          <w:szCs w:val="24"/>
        </w:rPr>
        <w:t xml:space="preserve"> The long-awaited childhood vaccine is a gift to the world and a scientific and pediatric health breakthrough. We are one step closer to a world free of malaria thanks to this groundbreaking vaccine for a parasite. Tens of thousands of young lives could be saved annually and African lives could be permanently changed by using this vaccine in conjunction with currently available preventative measures</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{"citationItems":[{"id":"ITEM-1","itemData":{"DOI":"10.1016/S0140-6736(23)02511-4","ISSN":"1474547X","PMID":"38310910","abstract":"Background: Recently, we found that a new malaria vaccine, R21/Matrix-M, had over 75% efficacy against clinical malaria with seasonal administration in a phase 2b trial in Burkina Faso. Here, we report on safety and efficacy of the vaccine in a phase 3 trial enrolling over 4800 children across four countries followed for up to 18 months at seasonal sites and 12 months at standard sites. Methods: We did a double-blind, randomised, phase 3 trial of the R21/Matrix-M malaria vaccine across five sites in four African countries with differing malaria transmission intensities and seasonality. Children (aged 5–36 months) were enrolled and randomly assigned (2:1) to receive 5 μg R21 plus 50 μg Matrix-M or a control vaccine (licensed rabies vaccine [Abhayrab]). Participants, their families, investigators, laboratory teams, and the local study team were masked to treatment. Vaccines were administered as three doses, 4 weeks apart, with a booster administered 12 months after the third dose. Half of the children were recruited at two sites with seasonal malaria transmission and the remainder at standard sites with perennial malaria transmission using age-based immunisation. The primary objective was protective efficacy of R21/Matrix-M from 14 days after third vaccination to 12 months after completion of the primary series at seasonal and standard sites separately as co-primary endpoints. Vaccine efficacy against multiple malaria episodes and severe malaria, as well as safety and immunogenicity, were also assessed. This trial is registered on ClinicalTrials.gov, NCT04704830, and is ongoing. Findings: From April 26, 2021, to Jan 12, 2022, 5477 children consented to be screened, of whom 1705 were randomly assigned to control vaccine and 3434 to R21/Matrix-M; 4878 participants received the first dose of vaccine. 3103 participants in the R21/Matrix-M group and 1541 participants in the control group were included in the modified per-protocol analysis (2412 [51·9%] male and 2232 [48·1%] female). R21/Matrix-M vaccine was well tolerated, with injection site pain (301 [18·6%] of 1615 participants) and fever (754 [46·7%] of 1615 participants) as the most frequent adverse events. Number of adverse events of special interest and serious adverse events did not significantly differ between the vaccine groups. There were no treatment-related deaths. 12-month vaccine efficacy was 75% (95% CI 71–79; p&lt;0·0001) at the seasonal sites and 68% (61–74; p&lt;0·0001) at the standard sites for t…","author":[{"dropping-particle":"","family":"Datoo","given":"Mehreen S.","non-dropping-particle":"","parse-names":false,"suffix":""},{"dropping-particle":"","family":"Dicko","given":"Alassane","non-dropping-particle":"","parse-names":false,"suffix":""},{"dropping-particle":"","family":"Tinto","given":"Halidou","non-dropping-particle":"","parse-names":false,"suffix":""},{"dropping-particle":"","family":"Ouédraogo","given":"Jean Bosco","non-dropping-particle":"","parse-names":false,"suffix":""},{"dropping-particle":"","family":"Hamaluba","given":"Mainga","non-dropping-particle":"","parse-names":false,"suffix":""},{"dropping-particle":"","family":"Olotu","given":"Ally","non-dropping-particle":"","parse-names":false,"suffix":""},{"dropping-particle":"","family":"Beaumont","given":"Emma","non-dropping-particle":"","parse-names":false,"suffix":""},{"dropping-particle":"","family":"Ramos Lopez","given":"Fernando","non-dropping-particle":"","parse-names":false,"suffix":""},{"dropping-particle":"","family":"Natama","given":"Hamtandi Magloire","non-dropping-particle":"","parse-names":false,"suffix":""},{"dropping-particle":"","family":"Weston","given":"Sophie","non-dropping-particle":"","parse-names":false,"suffix":""},{"dropping-particle":"","family":"Chemba","given":"Mwajuma","non-dropping-particle":"","parse-names":false,"suffix":""},{"dropping-particle":"","family":"Compaore","given":"Yves Daniel","non-dropping-particle":"","parse-names":false,"suffix":""},{"dropping-particle":"","family":"Issiaka","given":"Djibrilla","non-dropping-particle":"","parse-names":false,"suffix":""},{"dropping-particle":"","family":"Salou","given":"Diallo","non-dropping-particle":"","parse-names":false,"suffix":""},{"dropping-particle":"","family":"Some","given":"Athanase M.","non-dropping-particle":"","parse-names":false,"suffix":""},{"dropping-particle":"","family":"Omenda","given":"Sharon","non-dropping-particle":"","parse-names":false,"suffix":""},{"dropping-particle":"","family":"Lawrie","given":"Alison","non-dropping-particle":"","parse-names":false,"suffix":""},{"dropping-particle":"","family":"Bejon","given":"Philip","non-dropping-particle":"","parse-names":false,"suffix":""},{"dropping-particle":"","family":"Rao","given":"Harish","non-dropping-particle":"","parse-names":false,"suffix":""},{"dropping-particle":"","family":"Chandramohan","given":"Daniel","non-dropping-particle":"","parse-names":false,"suffix":""},{"dropping-particle":"","family":"Roberts","given":"Rachel","non-dropping-particle":"","parse-names":false,"suffix":""},{"dropping-particle":"","family":"Bharati","given":"Sandesh","non-dropping-particle":"","parse-names":false,"suffix":""},{"dropping-particle":"","family":"Stockdale","given":"Lisa","non-dropping-particle":"","parse-names":false,"suffix":""},{"dropping-particle":"","family":"Gairola","given":"Sunil","non-dropping-particle":"","parse-names":false,"suffix":""},{"dropping-particle":"","family":"Greenwood","given":"Brian M.","non-dropping-particle":"","parse-names":false,"suffix":""},{"dropping-particle":"","family":"Ewer","given":"Katie J.","non-dropping-particle":"","parse-names":false,"suffix":""},{"dropping-particle":"","family":"Bradley","given":"John","non-dropping-particle":"","parse-names":false,"suffix":""},{"dropping-particle":"","family":"Kulkarni","given":"Prasad S.","non-dropping-particle":"","parse-names":false,"suffix":""},{"dropping-particle":"","family":"Shaligram","given":"Umesh","non-dropping-particle":"","parse-names":false,"suffix":""},{"dropping-particle":"","family":"Hill","given":"Adrian V.S.","non-dropping-particle":"","parse-names":false,"suffix":""},{"dropping-particle":"","family":"Mahamar","given":"Almahamoudou","non-dropping-particle":"","parse-names":false,"suffix":""},{"dropping-particle":"","family":"Sanogo","given":"Koualy","non-dropping-particle":"","parse-names":false,"suffix":""},{"dropping-particle":"","family":"Sidibe","given":"Youssoufa","non-dropping-particle":"","parse-names":false,"suffix":""},{"dropping-particle":"","family":"Diarra","given":"Kalifa","non-dropping-particle":"","parse-names":false,"suffix":""},{"dropping-particle":"","family":"Samassekou","given":"Mamoudou","non-dropping-particle":"","parse-names":false,"suffix":""},{"dropping-particle":"","family":"Attaher","given":"Oumar","non-dropping-particle":"","parse-names":false,"suffix":""},{"dropping-particle":"","family":"Tapily","given":"Amadou","non-dropping-particle":"","parse-names":false,"suffix":""},{"dropping-particle":"","family":"Diallo","given":"Makonon","non-dropping-particle":"","parse-names":false,"suffix":""},{"dropping-particle":"","family":"Dicko","given":"Oumar Mohamed","non-dropping-particle":"","parse-names":false,"suffix":""},{"dropping-particle":"","family":"Kaya","given":"Mahamadou","non-dropping-particle":"","parse-names":false,"suffix":""},{"dropping-particle":"","family":"Maguiraga","given":"Seydina Oumar","non-dropping-particle":"","parse-names":false,"suffix":""},{"dropping-particle":"","family":"Sankare","given":"Yaya","non-dropping-particle":"","parse-names":false,"suffix":""},{"dropping-particle":"","family":"Yalcouye","given":"Hama","non-dropping-particle":"","parse-names":false,"suffix":""},{"dropping-particle":"","family":"Diarra","given":"Soumaila","non-dropping-particle":"","parse-names":false,"suffix":""},{"dropping-particle":"","family":"Niambele","given":"Sidi Mohamed","non-dropping-particle":"","parse-names":false,"suffix":""},{"dropping-particle":"","family":"Thera","given":"Ismaila","non-dropping-particle":"","parse-names":false,"suffix":""},{"dropping-particle":"","family":"Sagara","given":"Issaka","non-dropping-particle":"","parse-names":false,"suffix":""},{"dropping-particle":"","family":"Sylla","given":"Mala","non-dropping-particle":"","parse-names":false,"suffix":""},{"dropping-particle":"","family":"Dolo","given":"Amagana","non-dropping-particle":"","parse-names":false,"suffix":""},{"dropping-particle":"","family":"Misidai","given":"Nsajigwa","non-dropping-particle":"","parse-names":false,"suffix":""},{"dropping-particle":"","family":"Simando","given":"Sylvester","non-dropping-particle":"","parse-names":false,"suffix":""},{"dropping-particle":"","family":"Msami","given":"Hania","non-dropping-particle":"","parse-names":false,"suffix":""},{"dropping-particle":"","family":"Juma","given":"Omary","non-dropping-particle":"","parse-names":false,"suffix":""},{"dropping-particle":"","family":"Gutapaka","given":"Nicolaus","non-dropping-particle":"","parse-names":false,"suffix":""},{"dropping-particle":"","family":"Paul","given":"Rose","non-dropping-particle":"","parse-names":false,"suffix":""},{"dropping-particle":"","family":"Mswata","given":"Sarah","non-dropping-particle":"","parse-names":false,"suffix":""},{"dropping-particle":"","family":"Sasamalo","given":"Ibrahim","non-dropping-particle":"","parse-names":false,"suffix":""},{"dropping-particle":"","family":"Johaness","given":"Kasmir","non-dropping-particle":"","parse-names":false,"suffix":""},{"dropping-particle":"","family":"Sultan","given":"Mwantumu","non-dropping-particle":"","parse-names":false,"suffix":""},{"dropping-particle":"","family":"Alexander","given":"Annastazia","non-dropping-particle":"","parse-names":false,"suffix":""},{"dropping-particle":"","family":"Kimaro","given":"Isaac","non-dropping-particle":"","parse-names":false,"suffix":""},{"dropping-particle":"","family":"Lwanga","given":"Kauye","non-dropping-particle":"","parse-names":false,"suffix":""},{"dropping-particle":"","family":"Mtungwe","given":"Mwajuma","non-dropping-particle":"","parse-names":false,"suffix":""},{"dropping-particle":"","family":"Khamis","given":"Kassim","non-dropping-particle":"","parse-names":false,"suffix":""},{"dropping-particle":"","family":"Rugarabam","given":"Lighton","non-dropping-particle":"","parse-names":false,"suffix":""},{"dropping-particle":"","family":"Kalinga","given":"Wilmina","non-dropping-particle":"","parse-names":false,"suffix":""},{"dropping-particle":"","family":"Mohammed","given":"Mohammed","non-dropping-particle":"","parse-names":false,"suffix":""},{"dropping-particle":"","family":"Kamange","given":"Janeth","non-dropping-particle":"","parse-names":false,"suffix":""},{"dropping-particle":"","family":"Msangi","given":"Jubilate","non-dropping-particle":"","parse-names":false,"suffix":""},{"dropping-particle":"","family":"Mwaijande","given":"Batuli","non-dropping-particle":"","parse-names":false,"suffix":""},{"dropping-particle":"","family":"Mtaka","given":"Ivanny","non-dropping-particle":"","parse-names":false,"suffix":""},{"dropping-particle":"","family":"Mhapa","given":"Matilda","non-dropping-particle":"","parse-names":false,"suffix":""},{"dropping-particle":"","family":"Mlaganile","given":"Tarsis","non-dropping-particle":"","parse-names":false,"suffix":""},{"dropping-particle":"","family":"Mbaga","given":"Thabit","non-dropping-particle":"","parse-names":false,"suffix":""},{"dropping-particle":"","family":"Yerbanga","given":"Rakiswende Serge","non-dropping-particle":"","parse-names":false,"suffix":""},{"dropping-particle":"","family":"Samtouma","given":"Wendkouni","non-dropping-particle":"","parse-names":false,"suffix":""},{"dropping-particle":"","family":"Sienou","given":"Abdoul Aziz","non-dropping-particle":"","parse-names":false,"suffix":""},{"dropping-particle":"","family":"Kabre","given":"Zachari","non-dropping-particle":"","parse-names":false,"suffix":""},{"dropping-particle":"","family":"Ouedraogo","given":"Wendinpui Jedida Muriel","non-dropping-particle":"","parse-names":false,"suffix":""},{"dropping-particle":"","family":"Yarbanga","given":"G. Armel Bienvenu","non-dropping-particle":"","parse-names":false,"suffix":""},{"dropping-particle":"","family":"Zongo","given":"Issaka","non-dropping-particle":"","parse-names":false,"suffix":""},{"dropping-particle":"","family":"Savadogo","given":"Hamade","non-dropping-particle":"","parse-names":false,"suffix":""},{"dropping-particle":"","family":"Sanon","given":"Joseph","non-dropping-particle":"","parse-names":false,"suffix":""},{"dropping-particle":"","family":"Compaore","given":"Judicael","non-dropping-particle":"","parse-names":false,"suffix":""},{"dropping-particle":"","family":"Kere","given":"Idrissa","non-dropping-particle":"","parse-names":false,"suffix":""},{"dropping-particle":"","family":"Yoni","given":"Ferdinand Lionel","non-dropping-particle":"","parse-names":false,"suffix":""},{"dropping-particle":"","family":"Sanre","given":"Tewende Martine","non-dropping-particle":"","parse-names":false,"suffix":""},{"dropping-particle":"","family":"Ouattara","given":"Seydou Bienvenu","non-dropping-particle":"","parse-names":false,"suffix":""},{"dropping-particle":"","family":"Provstgaard-Morys","given":"Samuel","non-dropping-particle":"","parse-names":false,"suffix":""},{"dropping-particle":"","family":"Woods","given":"Danielle","non-dropping-particle":"","parse-names":false,"suffix":""},{"dropping-particle":"","family":"Snow","given":"Robert W.","non-dropping-particle":"","parse-names":false,"suffix":""},{"dropping-particle":"","family":"Amek","given":"Nyaguara","non-dropping-particle":"","parse-names":false,"suffix":""},{"dropping-particle":"","family":"Ngetsa","given":"Caroline J.","non-dropping-particle":"","parse-names":false,"suffix":""},{"dropping-particle":"","family":"Ochola-Oyier","given":"Lynette Isabella","non-dropping-particle":"","parse-names":false,"suffix":""},{"dropping-particle":"","family":"Musyoki","given":"Jennifer","non-dropping-particle":"","parse-names":false,"suffix":""},{"dropping-particle":"","family":"Munene","given":"Marianne","non-dropping-particle":"","parse-names":false,"suffix":""},{"dropping-particle":"","family":"Mumba","given":"Noni","non-dropping-particle":"","parse-names":false,"suffix":""},{"dropping-particle":"","family":"Adetifa","given":"Uche Jane","non-dropping-particle":"","parse-names":false,"suffix":""},{"dropping-particle":"","family":"Muiruri","given":"Charles Mwangi","non-dropping-particle":"","parse-names":false,"suffix":""},{"dropping-particle":"","family":"Mwawaka","given":"Jimmy Shangala","non-dropping-particle":"","parse-names":false,"suffix":""},{"dropping-particle":"","family":"Mwaganyuma","given":"Mwatasa Hussein","non-dropping-particle":"","parse-names":false,"suffix":""},{"dropping-particle":"","family":"Ndichu","given":"Martha Njeri","non-dropping-particle":"","parse-names":false,"suffix":""},{"dropping-particle":"","family":"Weya","given":"Joseph Ochieng","non-dropping-particle":"","parse-names":false,"suffix":""},{"dropping-particle":"","family":"Njogu","given":"Kelvin","non-dropping-particle":"","parse-names":false,"suffix":""},{"dropping-particle":"","family":"Grant","given":"Jane","non-dropping-particle":"","parse-names":false,"suffix":""},{"dropping-particle":"","family":"Webster","given":"Jayne","non-dropping-particle":"","parse-names":false,"suffix":""},{"dropping-particle":"","family":"Lakhkar","given":"Anand","non-dropping-particle":"","parse-names":false,"suffix":""},{"dropping-particle":"","family":"Ido","given":"N. Félix André","non-dropping-particle":"","parse-names":false,"suffix":""},{"dropping-particle":"","family":"Traore","given":"Ousmane","non-dropping-particle":"","parse-names":false,"suffix":""},{"dropping-particle":"","family":"Tahita","given":"Marc Christian","non-dropping-particle":"","parse-names":false,"suffix":""},{"dropping-particle":"","family":"Bonko","given":"Massa dit Achille","non-dropping-particle":"","parse-names":false,"suffix":""},{"dropping-particle":"","family":"Rouamba","given":"Toussaint","non-dropping-particle":"","parse-names":false,"suffix":""},{"dropping-particle":"","family":"Ouedraogo","given":"D. Florence","non-dropping-particle":"","parse-names":false,"suffix":""},{"dropping-particle":"","family":"Soma","given":"Rachidatou","non-dropping-particle":"","parse-names":false,"suffix":""},{"dropping-particle":"","family":"Millogo","given":"Aida","non-dropping-particle":"","parse-names":false,"suffix":""},{"dropping-particle":"","family":"Ouedraogo","given":"Edouard","non-dropping-particle":"","parse-names":false,"suffix":""},{"dropping-particle":"","family":"Sorgho","given":"Faizatou","non-dropping-particle":"","parse-names":false,"suffix":""},{"dropping-particle":"","family":"Konate","given":"Fabé","non-dropping-particle":"","parse-names":false,"suffix":""},{"dropping-particle":"","family":"Valea","given":"Innocent","non-dropping-particle":"","parse-names":false,"suffix":""}],"container-title":"The Lancet","id":"ITEM-1","issue":"10426","issued":{"date-parts":[["2024"]]},"page":"533-544","title":"Safety and efficacy of malaria vaccine candidate R21/Matrix-M in African children: a multicentre, double-blind, randomised, phase 3 trial","type":"article-journal","volume":"403"},"uris":["http://www.mendeley.com/documents/?uuid=a7eacb3f-07fb-4b15-a376-b182b4b4a78b"]},{"id":"ITEM-2","itemData":{"DOI":"10.1016/j.chom.2018.06.008","ISSN":"19346069","PMID":"30001524","abstract":"The development of highly effective and durable vaccines against the human malaria parasites Plasmodium falciparum and P. vivax remains a key priority. Decades of endeavor have taught that achieving this goal will be challenging; however, recent innovation in malaria vaccine research and a diverse pipeline of novel vaccine candidates for clinical assessment provides optimism. With first-generation pre-erythrocytic vaccines aiming for licensure in the coming years, it is important to reflect on how next-generation approaches can improve on their success. Here we review the latest vaccine approaches that seek to prevent malaria infection, disease, and transmission and highlight some of the major underlying immunological and molecular mechanisms of protection. The synthesis of rational antigen selection, immunogen design, and immunization strategies to induce quantitatively and qualitatively improved immune effector mechanisms offers promise for achieving sustained high-level protection. Development of highly effective vaccines against human malaria remains a public health priority. In this Review, Draper et al. describe the latest vaccine approaches to prevent malaria alongside immunological and molecular mechanisms of protection. Rational antigen selection, immunogen design, and novel immunization strategies offer promise for achieving high-level protection.","author":[{"dropping-particle":"","family":"Draper","given":"Simon J.","non-dropping-particle":"","parse-names":false,"suffix":""},{"dropping-particle":"","family":"Sack","given":"Brandon K.","non-dropping-particle":"","parse-names":false,"suffix":""},{"dropping-particle":"","family":"King","given":"C. Richter","non-dropping-particle":"","parse-names":false,"suffix":""},{"dropping-particle":"","family":"Nielsen","given":"Carolyn M.","non-dropping-particle":"","parse-names":false,"suffix":""},{"dropping-particle":"","family":"Rayner","given":"Julian C.","non-dropping-particle":"","parse-names":false,"suffix":""},{"dropping-particle":"","family":"Higgins","given":"Matthew K.","non-dropping-particle":"","parse-names":false,"suffix":""},{"dropping-particle":"","family":"Long","given":"Carole A.","non-dropping-particle":"","parse-names":false,"suffix":""},{"dropping-particle":"","family":"Seder","given":"Robert A.","non-dropping-particle":"","parse-names":false,"suffix":""}],"container-title":"Cell Host and Microbe","id":"ITEM-2","issue":"1","issued":{"date-parts":[["2018"]]},"page":"43-56","publisher":"The Authors","title":"Malaria Vaccines: Recent Advances and New Horizons","type":"article-journal","volume":"24"},"uris":["http://www.mendeley.com/documents/?uuid=70117b17-6a11-4ff5-a3e9-03196f4eab61"]}],"mendeley":{"formattedCitation":"(7,8)","plainTextFormattedCitation":"(7,8)","previouslyFormattedCitation":"(7,8)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(7,8)</w:t>
      </w:r>
      <w:r>
        <w:rPr>
          <w:rFonts w:ascii="Times New Roman" w:hAnsi="Times New Roman" w:cs="Times New Roman"/>
          <w:sz w:val="24"/>
          <w:szCs w:val="24"/>
        </w:rPr>
        <w:fldChar w:fldCharType="end"/>
      </w:r>
      <w:r>
        <w:rPr>
          <w:rFonts w:hint="default" w:ascii="Times New Roman" w:hAnsi="Times New Roman" w:cs="Times New Roman"/>
          <w:sz w:val="24"/>
          <w:szCs w:val="24"/>
          <w:lang w:val="en-US"/>
        </w:rPr>
        <w:t>.</w:t>
      </w:r>
      <w:r>
        <w:rPr>
          <w:rFonts w:ascii="Times New Roman" w:hAnsi="Times New Roman" w:eastAsia="Times New Roman" w:cs="Times New Roman"/>
          <w:sz w:val="24"/>
          <w:szCs w:val="24"/>
        </w:rPr>
        <w:t xml:space="preserve"> </w:t>
      </w:r>
    </w:p>
    <w:p w14:paraId="31F93869">
      <w:pPr>
        <w:spacing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 Ghana, Kenya, and Malawi, a malaria vaccine is being tested as an additional preventative measure. The first approved protein-based recombinant malaria vaccine in the world that guards against P. falciparum is called RTS, S/AS01 (RTS, S) (MosquirixTM).</w:t>
      </w:r>
      <w:r>
        <w:rPr>
          <w:rFonts w:ascii="Times New Roman" w:hAnsi="Times New Roman" w:eastAsia="Times New Roman" w:cs="Times New Roman"/>
          <w:sz w:val="24"/>
          <w:szCs w:val="24"/>
        </w:rPr>
        <w:fldChar w:fldCharType="begin" w:fldLock="1"/>
      </w:r>
      <w:r>
        <w:rPr>
          <w:rFonts w:ascii="Times New Roman" w:hAnsi="Times New Roman" w:eastAsia="Times New Roman" w:cs="Times New Roman"/>
          <w:sz w:val="24"/>
          <w:szCs w:val="24"/>
        </w:rPr>
        <w:instrText xml:space="preserve">ADDIN CSL_CITATION {"citationItems":[{"id":"ITEM-1","itemData":{"ISBN":"07947410","abstract":"AJOL Abstract: Background: Ninety percent of the world's malaria cases occur in sub-Saharan Africa. Because of challenges with ongoing malaria control strategies there is need for newer strategies such as malaria vaccine. Nigeria's immunization program has suffered series of setback in recent times due to misperception that marred its acceptability. Malaria vaccine trials have already commenced in some countries. The aim of this study was to assess the perception and acceptability of malaria vaccines among maternal and child health clinic attendees.Methodology: This was a descriptive cross-sectional study. A semi-structured pre-tested interviewer-administered questionnaire was used for data collection from maternal and child health clinic attendees in Calabar, Nigeria. Respondents were selected using systematic random sampling. Data was collected on socio-demographic characteristics, sources of information regarding malaria vaccine and perception and acceptability of malaria vaccine.Results: Majority of respondents, 90.5%, were females, 93% were married and 77.5% were educated up to tertiary level. Civil servants constituted 35.1% of respondents. Majority, 157(60%) of respondents had heard about malaria vaccine prior to the study. Eighty -four percent of respondents indicated that they believe malaria vaccine is necessary for malaria control. Fifty- three percent of respondents agreed that they would allow their children to be volunteers for malaria vaccine trial. Eighty- six percent of respondents would recommend that malaria vaccine be made part of the country's National Programme on Immunization.Conclusion: Majority of respondents had good perception of malaria vaccine. However, there is need for more advocacy and health education so as to debunk all myths and misperceptions","author":[{"dropping-particle":"","family":"Etokidem","given":"A J","non-dropping-particle":"","parse-names":false,"suffix":""},{"dropping-particle":"","family":"Ndifon","given":"W O","non-dropping-particle":"","parse-names":false,"suffix":""},{"dropping-particle":"","family":"Asibong","given":"U E","non-dropping-particle":"","parse-names":false,"suffix":""}],"container-title":"Journal of Community Medicine and Primary Health Care","id":"ITEM-1","issue":"1","issued":{"date-parts":[["2016"]]},"page":"51-58","title":"Perception and acceptability of malaria vaccine among maternal and child health clinic attendees at the University of Calabar Teaching Hospital, Calabar, Nigeria","type":"article-journal","volume":"27"},"uris":["http://www.mendeley.com/documents/?uuid=f6daa82b-ccc3-46c5-ab92-34de0b944c40"]}],"mendeley":{"formattedCitation":"(12)","plainTextFormattedCitation":"(12)","previouslyFormattedCitation":"(12)"},"properties":{"noteIndex":0},"schema":"https://github.com/citation-style-language/schema/raw/master/csl-citation.json"}</w:instrText>
      </w:r>
      <w:r>
        <w:rPr>
          <w:rFonts w:ascii="Times New Roman" w:hAnsi="Times New Roman" w:eastAsia="Times New Roman" w:cs="Times New Roman"/>
          <w:sz w:val="24"/>
          <w:szCs w:val="24"/>
        </w:rPr>
        <w:fldChar w:fldCharType="separate"/>
      </w:r>
      <w:r>
        <w:rPr>
          <w:rFonts w:ascii="Times New Roman" w:hAnsi="Times New Roman" w:eastAsia="Times New Roman" w:cs="Times New Roman"/>
          <w:sz w:val="24"/>
          <w:szCs w:val="24"/>
        </w:rPr>
        <w:t>(12)</w:t>
      </w:r>
      <w:r>
        <w:rPr>
          <w:rFonts w:ascii="Times New Roman" w:hAnsi="Times New Roman" w:eastAsia="Times New Roman" w:cs="Times New Roman"/>
          <w:sz w:val="24"/>
          <w:szCs w:val="24"/>
        </w:rPr>
        <w:fldChar w:fldCharType="end"/>
      </w:r>
      <w:r>
        <w:rPr>
          <w:rFonts w:ascii="Times New Roman" w:hAnsi="Times New Roman" w:eastAsia="Times New Roman" w:cs="Times New Roman"/>
          <w:sz w:val="24"/>
          <w:szCs w:val="24"/>
        </w:rPr>
        <w:t xml:space="preserve"> The WHO advises using the RTS,S/AS01 malaria vaccine to prevent P. falciparum malaria in children residing in areas with moderate-to-high transmission rates as part of comprehensive malaria control. To lessen the incidence and burden of malaria, children should begin receiving the RTS,S/AS01 vaccine at the age of five months on a four-dose schedule</w:t>
      </w:r>
      <w:r>
        <w:rPr>
          <w:rFonts w:ascii="Times New Roman" w:hAnsi="Times New Roman" w:eastAsia="Times New Roman" w:cs="Times New Roman"/>
          <w:sz w:val="24"/>
          <w:szCs w:val="24"/>
        </w:rPr>
        <w:fldChar w:fldCharType="begin" w:fldLock="1"/>
      </w:r>
      <w:r>
        <w:rPr>
          <w:rFonts w:ascii="Times New Roman" w:hAnsi="Times New Roman" w:eastAsia="Times New Roman" w:cs="Times New Roman"/>
          <w:sz w:val="24"/>
          <w:szCs w:val="24"/>
        </w:rPr>
        <w:instrText xml:space="preserve">ADDIN CSL_CITATION {"citationItems":[{"id":"ITEM-1","itemData":{"DOI":"10.1186/s41182-023-00516-w","ISSN":"13494147","abstract":"Background: The world has made great strides towards beating malaria, although about half of the world population is still exposed to the risk of contracting malaria. Developing an effective malaria vaccine was a huge challenge for medical science. In 2021 the World Health Organization (WHO) approved the first malaria vaccine, RTS,S/AS01 vaccine (Mosquirix™), for widespread use. Main abstract body: This review highlights the history of development, and the different approaches and types of malaria vaccines, and the literature to date. It covers the developmental stages of RTS,S/AS01 and recommends steps for its deployment. The review explores other potential vaccine candidates and their status, and suggests options for their further development. It also recommends future roles for vaccines in eradicating malaria. Questions remain on how RTS,S vaccine will work in widespread use and how it can best be utilized to benefit vulnerable communities. Conclusion: Malaria vaccines have been in development for almost 60 years. The RTS,S/AS01 vaccine has now been approved, but cannot be a stand-alone solution. Development should continue on promising candidates such as R21, PfSPZ and P. vivax vaccines. Multi-component vaccines may be a useful addition to other malaria control techniques in achieving eradication of malaria.","author":[{"dropping-particle":"","family":"El-Moamly","given":"Amal A.","non-dropping-particle":"","parse-names":false,"suffix":""},{"dropping-particle":"","family":"El-Sweify","given":"Mohamed A.","non-dropping-particle":"","parse-names":false,"suffix":""}],"container-title":"Tropical Medicine and Health","id":"ITEM-1","issue":"1","issued":{"date-parts":[["2023"]]},"publisher":"BioMed Central","title":"Malaria vaccines: the 60-year journey of hope and final success—lessons learned and future prospects","type":"article-journal","volume":"51"},"uris":["http://www.mendeley.com/documents/?uuid=b681e329-039c-475e-aa23-1f9562897e76"]}],"mendeley":{"formattedCitation":"(11)","plainTextFormattedCitation":"(11)","previouslyFormattedCitation":"(11)"},"properties":{"noteIndex":0},"schema":"https://github.com/citation-style-language/schema/raw/master/csl-citation.json"}</w:instrText>
      </w:r>
      <w:r>
        <w:rPr>
          <w:rFonts w:ascii="Times New Roman" w:hAnsi="Times New Roman" w:eastAsia="Times New Roman" w:cs="Times New Roman"/>
          <w:sz w:val="24"/>
          <w:szCs w:val="24"/>
        </w:rPr>
        <w:fldChar w:fldCharType="separate"/>
      </w:r>
      <w:r>
        <w:rPr>
          <w:rFonts w:ascii="Times New Roman" w:hAnsi="Times New Roman" w:eastAsia="Times New Roman" w:cs="Times New Roman"/>
          <w:sz w:val="24"/>
          <w:szCs w:val="24"/>
        </w:rPr>
        <w:t>(11)</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en-US"/>
        </w:rPr>
        <w:t>.</w:t>
      </w:r>
      <w:r>
        <w:t xml:space="preserve"> </w:t>
      </w:r>
      <w:r>
        <w:rPr>
          <w:rFonts w:ascii="Times New Roman" w:hAnsi="Times New Roman" w:eastAsia="Times New Roman" w:cs="Times New Roman"/>
          <w:sz w:val="24"/>
          <w:szCs w:val="24"/>
        </w:rPr>
        <w:t>Four doses of the RTS,S/AS01 vaccine are administered to children older than five months at six, seven, nine, and eighteen months following the third dose, in addition to other preventive and control packages, significantly lowers the morbidity and mortality of malaria has become less common as a result of prevention and treatment efforts, but a vaccine is still necessary to eradicate the disease worldwide because it stops the protozoan from invading</w:t>
      </w:r>
      <w:r>
        <w:rPr>
          <w:rFonts w:ascii="Times New Roman" w:hAnsi="Times New Roman" w:eastAsia="Times New Roman" w:cs="Times New Roman"/>
          <w:sz w:val="24"/>
          <w:szCs w:val="24"/>
        </w:rPr>
        <w:fldChar w:fldCharType="begin" w:fldLock="1"/>
      </w:r>
      <w:r>
        <w:rPr>
          <w:rFonts w:ascii="Times New Roman" w:hAnsi="Times New Roman" w:eastAsia="Times New Roman" w:cs="Times New Roman"/>
          <w:sz w:val="24"/>
          <w:szCs w:val="24"/>
        </w:rPr>
        <w:instrText xml:space="preserve">ADDIN CSL_CITATION {"citationItems":[{"id":"ITEM-1","itemData":{"DOI":"10.1080/21645515.2021.1938492","ISSN":"2164554X","PMID":"34191678","abstract":"Young adults are the future vaccine decision-makers as parents or health-care professionals. To understand their attitudes and behaviors toward vaccination, we conducted a cross-sectional survey of 2079 students attending the University of Antwerp, Belgium and the University of Pisa, Italy. Principal component analysis was used to investigate associations between survey responses and the intent to vaccinate. Vaccination knowledge, attitudes, and behaviors among university students in Italy and Belgium were high. However, only one-half of respondents displayed an intent to vaccinate. High levels of knowledge, positive attitudes, and confidence in vaccines were positively associated with age, higher level of study, being a medical student, a recent vaccination experience, and not knowing trusted persons who did not believe in vaccines. Country of origin was highly correlated with the survey responses and was clustered with lifestyle, family, and data source variables, suggesting a strong modifying effect of culture and family attitudes on how vaccines are perceived in this age-group. Recent meningococcal vaccination campaigns and public discussions around mandatory vaccination in Italy may have influenced these results. We show that the intent to vaccinate was correlated with two main clusters of variables linked to culture (country, family, lifestyle), and to scholarship (knowledge, attitudes, data source) that together influence the behavior of students with respect to vaccination. Our study reinforces previous findings that knowledge about vaccines is key to shaping attitudes and behaviors, but also shows that cultural and lifestyle factors are another platform that could be leveraged in promoting vaccination among young people.","author":[{"dropping-particle":"","family":"Ilogu","given":"Laura Chinenye","non-dropping-particle":"","parse-names":false,"suffix":""},{"dropping-particle":"","family":"Lugovska","given":"Olga","non-dropping-particle":"","parse-names":false,"suffix":""},{"dropping-particle":"","family":"Vojtek","given":"Ivo","non-dropping-particle":"","parse-names":false,"suffix":""},{"dropping-particle":"","family":"Prugnola","given":"Anna","non-dropping-particle":"","parse-names":false,"suffix":""},{"dropping-particle":"","family":"Callegaro","given":"Andrea","non-dropping-particle":"","parse-names":false,"suffix":""},{"dropping-particle":"","family":"Mazzilli","given":"Sara","non-dropping-particle":"","parse-names":false,"suffix":""},{"dropping-particle":"","family":"Damme","given":"Pierre","non-dropping-particle":"Van","parse-names":false,"suffix":""}],"container-title":"Human Vaccines and Immunotherapeutics","id":"ITEM-1","issue":"1","issued":{"date-parts":[["2022"]]},"page":"1-9","publisher":"Taylor &amp; Francis","title":"The intent of students to vaccinate is influenced by cultural factors, peer network, and knowledge about vaccines","type":"article-journal","volume":"18"},"uris":["http://www.mendeley.com/documents/?uuid=aec3bfb3-b3a5-4b96-ab47-1c5ff994e3e7"]}],"mendeley":{"formattedCitation":"(15)","plainTextFormattedCitation":"(15)","previouslyFormattedCitation":"(15)"},"properties":{"noteIndex":0},"schema":"https://github.com/citation-style-language/schema/raw/master/csl-citation.json"}</w:instrText>
      </w:r>
      <w:r>
        <w:rPr>
          <w:rFonts w:ascii="Times New Roman" w:hAnsi="Times New Roman" w:eastAsia="Times New Roman" w:cs="Times New Roman"/>
          <w:sz w:val="24"/>
          <w:szCs w:val="24"/>
        </w:rPr>
        <w:fldChar w:fldCharType="separate"/>
      </w:r>
      <w:r>
        <w:rPr>
          <w:rFonts w:ascii="Times New Roman" w:hAnsi="Times New Roman" w:eastAsia="Times New Roman" w:cs="Times New Roman"/>
          <w:sz w:val="24"/>
          <w:szCs w:val="24"/>
        </w:rPr>
        <w:t>(15)</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en-US"/>
        </w:rPr>
        <w:t>.</w:t>
      </w:r>
      <w:r>
        <w:rPr>
          <w:rFonts w:ascii="Times New Roman" w:hAnsi="Times New Roman" w:eastAsia="Times New Roman" w:cs="Times New Roman"/>
          <w:sz w:val="24"/>
          <w:szCs w:val="24"/>
        </w:rPr>
        <w:t xml:space="preserve"> </w:t>
      </w:r>
    </w:p>
    <w:p w14:paraId="66EBDC71">
      <w:pPr>
        <w:spacing w:line="360" w:lineRule="auto"/>
        <w:jc w:val="both"/>
        <w:rPr>
          <w:rFonts w:ascii="Times New Roman" w:hAnsi="Times New Roman" w:eastAsia="Times New Roman" w:cs="Times New Roman"/>
          <w:sz w:val="24"/>
          <w:szCs w:val="24"/>
        </w:rPr>
      </w:pPr>
    </w:p>
    <w:p w14:paraId="1B965637">
      <w:pPr>
        <w:spacing w:line="360" w:lineRule="auto"/>
        <w:jc w:val="both"/>
        <w:rPr>
          <w:rFonts w:ascii="Times New Roman" w:hAnsi="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cs="Times New Roman"/>
          <w:sz w:val="24"/>
          <w:szCs w:val="24"/>
        </w:rPr>
        <w:t>A novel vaccine against malaria, known as the"R21/Matrix-M malaria vaccine", has proven to be highly effective and safe. With an efficacy rate of 70–80%, the new vaccine has been found to be more effective than its predecessor after a large phase III trial.(16) The R21/Matrix-M malaria vaccine was approved by the Ghana Food and Drugs Authority in 2023, making Ghana the first nation to do so</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{"citationItems":[{"id":"ITEM-1","itemData":{"abstract":"A retrospective study was conducted to investigate the epidemiology of malaria in Aden. Data of patients examined for malaria in all governmental health institutions in Aden Governorate, during 2005 were collected and analysed. The total examined patients were 46 201 and the identified positive malaria cases were 2450. The incidence rate of malaria infection was 412 per 10 000 people. Malaria species were mostly due to Plasmodium falciparum (96.4%), while P. vivax was 3.6%. The predominant malaria infections occurred in winter (November-March), showing a seasonal variation that coincides with the increased movement of people, especially workers from other governorates to Aden. Most malaria cases were observed in Sheikh-Othman District (52%) followed by Khormaksar District (14.5%) and Al-Mansoora District (10.7%). A significant increase was noted in the number of cases among children less than 10 years and people aged 10-49 years as a whole and in both genders. The difference between male and female patients was not significant (P0.05). Results show that the continued presence of malaria in Aden poses a significant health problem, especially in the presence of malaria vector.","author":[{"dropping-particle":"","family":"Koné","given":"D.","non-dropping-particle":"","parse-names":false,"suffix":""},{"dropping-particle":"","family":"Coulibaly","given":"D.","non-dropping-particle":"","parse-names":false,"suffix":""},{"dropping-particle":"","family":"Doumbo","given":"O.","non-dropping-particle":"","parse-names":false,"suffix":""},{"dropping-particle":"","family":"Fall","given":"I.","non-dropping-particle":"","parse-names":false,"suffix":""},{"dropping-particle":"","family":"Kibuchi","given":"E.","non-dropping-particle":"","parse-names":false,"suffix":""},{"dropping-particle":"","family":"Mitto","given":"B.","non-dropping-particle":"","parse-names":false,"suffix":""},{"dropping-particle":"","family":"Sang","given":"G.","non-dropping-particle":"","parse-names":false,"suffix":""},{"dropping-particle":"","family":"Kyalo","given":"D.","non-dropping-particle":"","parse-names":false,"suffix":""},{"dropping-particle":"","family":"Snow","given":"R. W.","non-dropping-particle":"","parse-names":false,"suffix":""},{"dropping-particle":"","family":"Noor","given":"A. M.","non-dropping-particle":"","parse-names":false,"suffix":""}],"container-title":"Programme National de Lutte contre le Paludisme (PNLP)","id":"ITEM-1","issue":"February","issued":{"date-parts":[["2015"]]},"page":"1-88","title":"An Epidemiological Profile of Malaria in Ethiopia","type":"article-journal"},"uris":["http://www.mendeley.com/documents/?uuid=ddf2667b-3fa3-41bf-af75-8997500bb968"]}],"mendeley":{"formattedCitation":"(17)","plainTextFormattedCitation":"(17)","previouslyFormattedCitation":"(17)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(17)</w:t>
      </w:r>
      <w:r>
        <w:rPr>
          <w:rFonts w:ascii="Times New Roman" w:hAnsi="Times New Roman" w:cs="Times New Roman"/>
          <w:sz w:val="24"/>
          <w:szCs w:val="24"/>
        </w:rPr>
        <w:fldChar w:fldCharType="end"/>
      </w:r>
      <w:r>
        <w:rPr>
          <w:rFonts w:hint="default" w:ascii="Times New Roman" w:hAnsi="Times New Roman" w:cs="Times New Roman"/>
          <w:sz w:val="24"/>
          <w:szCs w:val="24"/>
          <w:lang w:val="en-US"/>
        </w:rPr>
        <w:t>.</w:t>
      </w:r>
      <w:r>
        <w:rPr>
          <w:rFonts w:ascii="Times New Roman" w:hAnsi="Times New Roman" w:cs="Times New Roman"/>
          <w:sz w:val="24"/>
          <w:szCs w:val="24"/>
        </w:rPr>
        <w:t xml:space="preserve"> The two vaccines have been prequalified by WHO and the availability of two recommended malaria vaccines will resolve supply constraints.</w:t>
      </w:r>
    </w:p>
    <w:p w14:paraId="46C571DC">
      <w:pPr>
        <w:spacing w:line="360" w:lineRule="auto"/>
        <w:jc w:val="both"/>
        <w:rPr>
          <w:rFonts w:ascii="Times New Roman" w:hAnsi="Times New Roman" w:cs="Times New Roman"/>
          <w:sz w:val="24"/>
          <w:szCs w:val="24"/>
        </w:rPr>
      </w:pPr>
    </w:p>
    <w:p w14:paraId="7EA13CFC">
      <w:pPr>
        <w:spacing w:line="360" w:lineRule="auto"/>
        <w:jc w:val="both"/>
        <w:rPr>
          <w:rFonts w:hint="default" w:ascii="Times New Roman" w:hAnsi="Times New Roman" w:cs="Times New Roman"/>
          <w:sz w:val="24"/>
          <w:szCs w:val="24"/>
          <w:lang w:val="en-US"/>
        </w:rPr>
      </w:pPr>
      <w:r>
        <w:rPr>
          <w:rFonts w:ascii="Times New Roman" w:hAnsi="Times New Roman" w:eastAsia="Times New Roman" w:cs="Times New Roman"/>
          <w:sz w:val="24"/>
          <w:szCs w:val="24"/>
        </w:rPr>
        <w:t xml:space="preserve"> </w:t>
      </w:r>
      <w:r>
        <w:rPr>
          <w:rFonts w:ascii="Times New Roman" w:hAnsi="Times New Roman" w:cs="Times New Roman"/>
          <w:sz w:val="24"/>
          <w:szCs w:val="24"/>
        </w:rPr>
        <w:t>Demand for malaria vaccines on the part of Governments in malaria- endemic countries is high</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{"citationItems":[{"id":"ITEM-1","itemData":{"DOI":"10.1111/hex.13862","ISSN":"13697625","PMID":"37661603","abstract":"Background: Malaria exists as an endemic in many countries including Bangladesh and the malaria vaccine is not yet available here. The study aimed to assess the level of knowledge and acceptance of the malaria vaccination among the parents of children under the age of five in Bangladesh's malaria-endemic areas and the sociodemographic, behavioural, and household factors associated with the acceptance and knowledge of the malaria vaccine. Methods: From January to March 2022, a cross-sectional study was conducted in all five malaria-endemic districts of Bangladesh, involving 405 parents of children under the age of 5 who met the inclusion criteria. Multiple logistic regression was used to analyze the factor affecting parents' acceptance and knowledge of malaria vaccination in children under five and other variables. Results: Majority (54%) of the respondents were mothers. Almost half (49%) of the respondents were aged between 26 and 35 years old and around 90% were from rural areas. A small portion (20%) of the participants were housewives and 46% of them completed primary education. Overall, 70% of the study participants reported that they would accept malaria vaccination independently. About one-fourth (25%) heard about the malaria vaccine and 48% of them mentioned health professionals as the source of information. Knowledge of malaria vaccination was found associated with residence, income, and family size. Acceptance and knowledge were both associated with residence, education, occupation, income, and family size. In a multivariable analysis, housing structure, house wall, house window, knowledge of malaria, testing for malaria, and being diagnosed with malaria were all associated with knowledge of and acceptance of getting vaccinated against malaria. Conclusions: The present study highlights the necessity of creating awareness of malaria vaccines in epidemic areas of Bangladesh. This study offers crucial data to develop a policy for a novel malaria vaccine, supporting its adoption in Bangladesh. Public Contribution: This study was based on interviews. The interviewees were recruited as public representatives from the malaria-endemic area to assist us in building an understanding of knowledge and acceptance of the malaria vaccine among parents of under-five children in Bangladesh.","author":[{"dropping-particle":"","family":"Amin","given":"Mohammad Ashraful","non-dropping-particle":"","parse-names":false,"suffix":""},{"dropping-particle":"","family":"Afrin","given":"Sadia","non-dropping-particle":"","parse-names":false,"suffix":""},{"dropping-particle":"","family":"Bonna","given":"Atia S.","non-dropping-particle":"","parse-names":false,"suffix":""},{"dropping-particle":"","family":"Rozars","given":"Md Faisal K.","non-dropping-particle":"","parse-names":false,"suffix":""},{"dropping-particle":"","family":"Nabi","given":"Mohammad Hayatun","non-dropping-particle":"","parse-names":false,"suffix":""},{"dropping-particle":"","family":"Hawlader","given":"Mohammad Delwer H.","non-dropping-particle":"","parse-names":false,"suffix":""}],"container-title":"Health Expectations","id":"ITEM-1","issue":"6","issued":{"date-parts":[["2023"]]},"page":"2630-2643","title":"Knowledge and acceptance of malaria vaccine among parents of under-five children of malaria endemic areas in Bangladesh: A cross-sectional study","type":"article-journal","volume":"26"},"uris":["http://www.mendeley.com/documents/?uuid=64eee03f-7780-4447-9d22-077a1590a561"]}],"mendeley":{"formattedCitation":"(3)","plainTextFormattedCitation":"(3)","previouslyFormattedCitation":"(3)"},"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fldChar w:fldCharType="end"/>
      </w:r>
      <w:r>
        <w:rPr>
          <w:rFonts w:hint="default" w:ascii="Times New Roman" w:hAnsi="Times New Roman" w:cs="Times New Roman"/>
          <w:sz w:val="24"/>
          <w:szCs w:val="24"/>
          <w:lang w:val="en-US"/>
        </w:rPr>
        <w:t xml:space="preserve">. </w:t>
      </w:r>
      <w:r>
        <w:rPr>
          <w:rFonts w:ascii="Times New Roman" w:hAnsi="Times New Roman" w:cs="Times New Roman"/>
          <w:sz w:val="24"/>
          <w:szCs w:val="24"/>
        </w:rPr>
        <w:t xml:space="preserve">Since Gavi, the Vaccine Alliance, launched a funding period in the middle of 2022, Support for the introduction of a malaria vaccine has been authorized for 23 countries.21 January 2024 saw Cameroon emerge as the first non-MVIP country to start malaria vaccine implementation, followed by Burkina Faso in February 2024, Benin, Liberia and Sierraleone in April 2024, and most recently, Cotedivoire and South Sudan in July 2024. Many more countries plan to launch the vaccine against malaria in 2024.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{"citationItems":[{"id":"ITEM-1","itemData":{"author":[{"dropping-particle":"","family":"Ministry of Health and Medical Services of Solomon Islands","given":"","non-dropping-particle":"","parse-names":false,"suffix":""}],"container-title":"Jornal of Integrated Care (JICA)","id":"ITEM-1","issue":"May","issued":{"date-parts":[["2021"]]},"page":"1-16","title":"Malaria Prevention and Control Ministry of Health and Medical Services, Solomon Islands Healthy Village Facilitator's Guide","type":"article-journal"},"uris":["http://www.mendeley.com/documents/?uuid=473c6954-e02d-483c-90a6-c012e1fdc8d7"]}],"mendeley":{"formattedCitation":"(18)","plainTextFormattedCitation":"(18)","previouslyFormattedCitation":"(18)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(18)</w:t>
      </w:r>
      <w:r>
        <w:rPr>
          <w:rFonts w:ascii="Times New Roman" w:hAnsi="Times New Roman" w:cs="Times New Roman"/>
          <w:sz w:val="24"/>
          <w:szCs w:val="24"/>
        </w:rPr>
        <w:fldChar w:fldCharType="end"/>
      </w:r>
      <w:r>
        <w:rPr>
          <w:rFonts w:ascii="Times New Roman" w:hAnsi="Times New Roman" w:cs="Times New Roman"/>
          <w:sz w:val="24"/>
          <w:szCs w:val="24"/>
        </w:rPr>
        <w:t>WHO, in collaboration with partners, is organizing a series of peer-learning workshops in 2024 to support countries in their planning for malaria vaccine introduction</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{"citationItems":[{"id":"ITEM-1","itemData":{"DOI":"10.1111/hex.13862","ISSN":"13697625","PMID":"37661603","abstract":"Background: Malaria exists as an endemic in many countries including Bangladesh and the malaria vaccine is not yet available here. The study aimed to assess the level of knowledge and acceptance of the malaria vaccination among the parents of children under the age of five in Bangladesh's malaria-endemic areas and the sociodemographic, behavioural, and household factors associated with the acceptance and knowledge of the malaria vaccine. Methods: From January to March 2022, a cross-sectional study was conducted in all five malaria-endemic districts of Bangladesh, involving 405 parents of children under the age of 5 who met the inclusion criteria. Multiple logistic regression was used to analyze the factor affecting parents' acceptance and knowledge of malaria vaccination in children under five and other variables. Results: Majority (54%) of the respondents were mothers. Almost half (49%) of the respondents were aged between 26 and 35 years old and around 90% were from rural areas. A small portion (20%) of the participants were housewives and 46% of them completed primary education. Overall, 70% of the study participants reported that they would accept malaria vaccination independently. About one-fourth (25%) heard about the malaria vaccine and 48% of them mentioned health professionals as the source of information. Knowledge of malaria vaccination was found associated with residence, income, and family size. Acceptance and knowledge were both associated with residence, education, occupation, income, and family size. In a multivariable analysis, housing structure, house wall, house window, knowledge of malaria, testing for malaria, and being diagnosed with malaria were all associated with knowledge of and acceptance of getting vaccinated against malaria. Conclusions: The present study highlights the necessity of creating awareness of malaria vaccines in epidemic areas of Bangladesh. This study offers crucial data to develop a policy for a novel malaria vaccine, supporting its adoption in Bangladesh. Public Contribution: This study was based on interviews. The interviewees were recruited as public representatives from the malaria-endemic area to assist us in building an understanding of knowledge and acceptance of the malaria vaccine among parents of under-five children in Bangladesh.","author":[{"dropping-particle":"","family":"Amin","given":"Mohammad Ashraful","non-dropping-particle":"","parse-names":false,"suffix":""},{"dropping-particle":"","family":"Afrin","given":"Sadia","non-dropping-particle":"","parse-names":false,"suffix":""},{"dropping-particle":"","family":"Bonna","given":"Atia S.","non-dropping-particle":"","parse-names":false,"suffix":""},{"dropping-particle":"","family":"Rozars","given":"Md Faisal K.","non-dropping-particle":"","parse-names":false,"suffix":""},{"dropping-particle":"","family":"Nabi","given":"Mohammad Hayatun","non-dropping-particle":"","parse-names":false,"suffix":""},{"dropping-particle":"","family":"Hawlader","given":"Mohammad Delwer H.","non-dropping-particle":"","parse-names":false,"suffix":""}],"container-title":"Health Expectations","id":"ITEM-1","issue":"6","issued":{"date-parts":[["2023"]]},"page":"2630-2643","title":"Knowledge and acceptance of malaria vaccine among parents of under-five children of malaria endemic areas in Bangladesh: A cross-sectional study","type":"article-journal","volume":"26"},"uris":["http://www.mendeley.com/documents/?uuid=64eee03f-7780-4447-9d22-077a1590a561"]}],"mendeley":{"formattedCitation":"(3)","plainTextFormattedCitation":"(3)","previouslyFormattedCitation":"(3)"},"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fldChar w:fldCharType="end"/>
      </w:r>
      <w:r>
        <w:rPr>
          <w:rFonts w:hint="default" w:ascii="Times New Roman" w:hAnsi="Times New Roman" w:cs="Times New Roman"/>
          <w:sz w:val="24"/>
          <w:szCs w:val="24"/>
          <w:lang w:val="en-US"/>
        </w:rPr>
        <w:t>.</w:t>
      </w:r>
    </w:p>
    <w:p w14:paraId="2963D09E">
      <w:pPr>
        <w:spacing w:line="360" w:lineRule="auto"/>
        <w:jc w:val="both"/>
        <w:rPr>
          <w:rFonts w:ascii="Times New Roman" w:hAnsi="Times New Roman" w:cs="Times New Roman"/>
          <w:sz w:val="24"/>
          <w:szCs w:val="24"/>
        </w:rPr>
      </w:pPr>
    </w:p>
    <w:p w14:paraId="158CEFB9">
      <w:pPr>
        <w:spacing w:line="360" w:lineRule="auto"/>
        <w:jc w:val="both"/>
        <w:rPr>
          <w:rFonts w:hint="default" w:ascii="Times New Roman" w:hAnsi="Times New Roman" w:cs="Times New Roman"/>
          <w:sz w:val="24"/>
          <w:szCs w:val="24"/>
          <w:lang w:val="en-US"/>
        </w:rPr>
      </w:pPr>
      <w:r>
        <w:t xml:space="preserve"> </w:t>
      </w:r>
      <w:r>
        <w:rPr>
          <w:rFonts w:ascii="Times New Roman" w:hAnsi="Times New Roman" w:cs="Times New Roman"/>
          <w:sz w:val="24"/>
          <w:szCs w:val="24"/>
        </w:rPr>
        <w:t>In Ethiopia, malaria is irregular and   mainly seasonal in the periphery of the highlands and of comparatively longer transmission time in valleys, river basins, and lowland regions.. Approximately 69.0% of the Most people reside in Ethiopian regions where malaria is endemic, which are primarily found below 2,000 meters in elevation</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{"citationItems":[{"id":"ITEM-1","itemData":{"id":"ITEM-1","issued":{"date-parts":[["0"]]},"title":"Malaria Vaccine Introduction document 24 January 2024_Ethiopia_Comments","type":"article"},"uris":["http://www.mendeley.com/documents/?uuid=c1193e32-95e7-4746-9c3e-1d95359938ba"]}],"mendeley":{"formattedCitation":"(2)","plainTextFormattedCitation":"(2)","previouslyFormattedCitation":"(2)"},"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r>
        <w:rPr>
          <w:rFonts w:hint="default" w:ascii="Times New Roman" w:hAnsi="Times New Roman" w:cs="Times New Roman"/>
          <w:sz w:val="24"/>
          <w:szCs w:val="24"/>
          <w:lang w:val="en-US"/>
        </w:rPr>
        <w:t>.</w:t>
      </w:r>
      <w:r>
        <w:rPr>
          <w:rFonts w:ascii="Times New Roman" w:hAnsi="Times New Roman" w:cs="Times New Roman"/>
          <w:sz w:val="24"/>
          <w:szCs w:val="24"/>
        </w:rPr>
        <w:t xml:space="preserve"> The nation intends to eradicate malaria by 2030, taking into account the progress made thus far and the momentum being generated globally in the fight against the disease</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{"citationItems":[{"id":"ITEM-1","itemData":{"DOI":"10.1186/s12936-024-04914-1","ISSN":"14752875","PMID":"38664783","abstract":"Background: There are giant steps taken in the introduction of the novel malaria vaccine poised towards reducing mortality and morbidity associated with malaria. Objectives: This study aimed to determine the knowledge of malaria vaccine and factors militating against willingness to accept the vaccine among mothers presenting in nine hospitals in Enugu metropolis. Methods: This was a cross-sectional study carried out among 491 mothers who presented with their children in nine hospitals in Enugu metropolis, South-East Nigeria. A pre-tested and interviewer-administered questionnaire was used in this study. Results: A majority of the respondents, 72.1% were aware of malaria vaccine. A majority of the respondents, 83.1% were willing to receive malaria vaccine. Similarly, a majority of the mothers, 92.9%, were willing to vaccinate baby with the malaria vaccine, while 81.1% were willing to vaccinate self and baby with the malaria vaccine. The subjects who belong to the low socio-economic class were five times less likely to vaccinate self and baby with malaria vaccine when compared with those who were in the high socio-economic class (AOR = 0.2, 95% CI 0.1–0.5). Mothers who had good knowledge of malaria vaccination were 3.3 times more likely to vaccinate self and baby with malaria vaccine when compared with those who had poor knowledge of malaria vaccination (AOR = 3.3, 95% CI 1–6–6.8). Conclusion: Although the study documented a high vaccine acceptance among the mothers, there exists a poor knowledge of the malaria vaccine among them.","author":[{"dropping-particle":"","family":"Chinawa","given":"Awoere T.","non-dropping-particle":"","parse-names":false,"suffix":""},{"dropping-particle":"","family":"Ossai","given":"Edmund N.","non-dropping-particle":"","parse-names":false,"suffix":""},{"dropping-particle":"","family":"Onukwuli","given":"Vivian O.","non-dropping-particle":"","parse-names":false,"suffix":""},{"dropping-particle":"","family":"Nduagubam","given":"Obinna C.","non-dropping-particle":"","parse-names":false,"suffix":""},{"dropping-particle":"","family":"Uwaezuoke","given":"Ndubuisi A.","non-dropping-particle":"","parse-names":false,"suffix":""},{"dropping-particle":"","family":"Okafor","given":"Chinyere N.","non-dropping-particle":"","parse-names":false,"suffix":""},{"dropping-particle":"","family":"Chinawa","given":"Josephat M.","non-dropping-particle":"","parse-names":false,"suffix":""}],"container-title":"Malaria Journal","id":"ITEM-1","issue":"1","issued":{"date-parts":[["2024"]]},"page":"1-10","publisher":"BioMed Central","title":"Willingness to accept malaria vaccines amongst women presenting at outpatient and immunization clinics in Enugu state, Southeast Nigeria","type":"article-journal","volume":"23"},"uris":["http://www.mendeley.com/documents/?uuid=16075087-2773-48c1-90e7-0eb5156fcc94"]}],"mendeley":{"formattedCitation":"(6)","plainTextFormattedCitation":"(6)","previouslyFormattedCitation":"(6)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(6)</w:t>
      </w:r>
      <w:r>
        <w:rPr>
          <w:rFonts w:ascii="Times New Roman" w:hAnsi="Times New Roman" w:cs="Times New Roman"/>
          <w:sz w:val="24"/>
          <w:szCs w:val="24"/>
        </w:rPr>
        <w:fldChar w:fldCharType="end"/>
      </w:r>
      <w:r>
        <w:rPr>
          <w:rFonts w:hint="default" w:ascii="Times New Roman" w:hAnsi="Times New Roman" w:cs="Times New Roman"/>
          <w:sz w:val="24"/>
          <w:szCs w:val="24"/>
          <w:lang w:val="en-US"/>
        </w:rPr>
        <w:t>.</w:t>
      </w:r>
      <w:r>
        <w:rPr>
          <w:rFonts w:ascii="Times New Roman" w:hAnsi="Times New Roman" w:cs="Times New Roman"/>
          <w:sz w:val="24"/>
          <w:szCs w:val="24"/>
        </w:rPr>
        <w:t xml:space="preserve"> As a result, implementation manuals and a national malaria elimination road-map were created, and sub-national level elimination launched in March 2017. However, malaria cases have been increasing after 2019 due to many reasons like conflict, climatic factors, and biomedical factors</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{"citationItems":[{"id":"ITEM-1","itemData":{"ISBN":"07947410","abstract":"AJOL Abstract: Background: Ninety percent of the world's malaria cases occur in sub-Saharan Africa. Because of challenges with ongoing malaria control strategies there is need for newer strategies such as malaria vaccine. Nigeria's immunization program has suffered series of setback in recent times due to misperception that marred its acceptability. Malaria vaccine trials have already commenced in some countries. The aim of this study was to assess the perception and acceptability of malaria vaccines among maternal and child health clinic attendees.Methodology: This was a descriptive cross-sectional study. A semi-structured pre-tested interviewer-administered questionnaire was used for data collection from maternal and child health clinic attendees in Calabar, Nigeria. Respondents were selected using systematic random sampling. Data was collected on socio-demographic characteristics, sources of information regarding malaria vaccine and perception and acceptability of malaria vaccine.Results: Majority of respondents, 90.5%, were females, 93% were married and 77.5% were educated up to tertiary level. Civil servants constituted 35.1% of respondents. Majority, 157(60%) of respondents had heard about malaria vaccine prior to the study. Eighty -four percent of respondents indicated that they believe malaria vaccine is necessary for malaria control. Fifty- three percent of respondents agreed that they would allow their children to be volunteers for malaria vaccine trial. Eighty- six percent of respondents would recommend that malaria vaccine be made part of the country's National Programme on Immunization.Conclusion: Majority of respondents had good perception of malaria vaccine. However, there is need for more advocacy and health education so as to debunk all myths and misperceptions","author":[{"dropping-particle":"","family":"Etokidem","given":"A J","non-dropping-particle":"","parse-names":false,"suffix":""},{"dropping-particle":"","family":"Ndifon","given":"W O","non-dropping-particle":"","parse-names":false,"suffix":""},{"dropping-particle":"","family":"Asibong","given":"U E","non-dropping-particle":"","parse-names":false,"suffix":""}],"container-title":"Journal of Community Medicine and Primary Health Care","id":"ITEM-1","issue":"1","issued":{"date-parts":[["2016"]]},"page":"51-58","title":"Perception and acceptability of malaria vaccine among maternal and child health clinic attendees at the University of Calabar Teaching Hospital, Calabar, Nigeria","type":"article-journal","volume":"27"},"uris":["http://www.mendeley.com/documents/?uuid=f6daa82b-ccc3-46c5-ab92-34de0b944c40"]}],"mendeley":{"formattedCitation":"(12)","plainTextFormattedCitation":"(12)","previouslyFormattedCitation":"(12)"},"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(12)</w:t>
      </w:r>
      <w:r>
        <w:rPr>
          <w:rFonts w:ascii="Times New Roman" w:hAnsi="Times New Roman" w:cs="Times New Roman"/>
          <w:sz w:val="24"/>
          <w:szCs w:val="24"/>
        </w:rPr>
        <w:fldChar w:fldCharType="end"/>
      </w:r>
      <w:r>
        <w:rPr>
          <w:rFonts w:hint="default" w:ascii="Times New Roman" w:hAnsi="Times New Roman" w:cs="Times New Roman"/>
          <w:sz w:val="24"/>
          <w:szCs w:val="24"/>
          <w:lang w:val="en-US"/>
        </w:rPr>
        <w:t>.</w:t>
      </w:r>
    </w:p>
    <w:p w14:paraId="7A420B93">
      <w:pPr>
        <w:spacing w:line="360" w:lineRule="auto"/>
        <w:jc w:val="both"/>
        <w:rPr>
          <w:rFonts w:ascii="Times New Roman" w:hAnsi="Times New Roman" w:cs="Times New Roman"/>
          <w:sz w:val="24"/>
          <w:szCs w:val="24"/>
        </w:rPr>
      </w:pPr>
    </w:p>
    <w:p w14:paraId="407C5117">
      <w:pPr>
        <w:spacing w:line="360" w:lineRule="auto"/>
        <w:jc w:val="both"/>
        <w:rPr>
          <w:rStyle w:val="23"/>
          <w:rFonts w:hint="default" w:ascii="Times New Roman" w:hAnsi="Times New Roman" w:cs="Times New Roman"/>
          <w:b w:val="0"/>
          <w:bCs w:val="0"/>
          <w:sz w:val="24"/>
          <w:szCs w:val="24"/>
          <w:lang w:val="en-US"/>
        </w:rPr>
      </w:pPr>
      <w:r>
        <w:rPr>
          <w:rFonts w:ascii="Times New Roman" w:hAnsi="Times New Roman" w:cs="Times New Roman"/>
          <w:sz w:val="24"/>
          <w:szCs w:val="24"/>
        </w:rPr>
        <w:t xml:space="preserve">The national incidence of malaria per 1,000 vulnerable people in 2022/23 was 47.2, which is an increase by 62.7% from 2021/22.  Based on the DHIS2 report, the proportion of P. falciparum reported were 73.2%, 71.4%, and 71.3% for 2020, 2021, and 2022 respectively.  </w:t>
      </w:r>
      <w:r>
        <w:rPr>
          <w:rFonts w:ascii="Times New Roman" w:hAnsi="Times New Roman" w:eastAsia="Times New Roman" w:cs="Times New Roman"/>
          <w:sz w:val="24"/>
          <w:szCs w:val="24"/>
        </w:rPr>
        <w:t xml:space="preserve">This percentage differs </w:t>
      </w:r>
      <w:r>
        <w:rPr>
          <w:rFonts w:ascii="Times New Roman" w:hAnsi="Times New Roman" w:cs="Times New Roman"/>
          <w:sz w:val="24"/>
          <w:szCs w:val="24"/>
        </w:rPr>
        <w:t>from region to region</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DOI":"10.1186/s12936-016-1209-6","ISSN":"1475-2875","author":[{"dropping-particle":"","family":"Mtenga","given":"Sally","non-dropping-particle":"","parse-names":false,"suffix":""},{"dropping-particle":"","family":"Kimweri","given":"Angela","non-dropping-particle":"","parse-names":false,"suffix":""},{"dropping-particle":"","family":"Romore","given":"Idda","non-dropping-particle":"","parse-names":false,"suffix":""},{"dropping-particle":"","family":"Ali","given":"Ali","non-dropping-particle":"","parse-names":false,"suffix":""},{"dropping-particle":"","family":"Exavery","given":"Amon","non-dropping-particle":"","parse-names":false,"suffix":""},{"dropping-particle":"","family":"Sicuri","given":"Elisa","non-dropping-particle":"","parse-names":false,"suffix":""},{"dropping-particle":"","family":"Tanner","given":"Marcel","non-dropping-particle":"","parse-names":false,"suffix":""},{"dropping-particle":"","family":"Abdulla","given":"Salim","non-dropping-particle":"","parse-names":false,"suffix":""},{"dropping-particle":"","family":"Lusingu","given":"John","non-dropping-particle":"","parse-names":false,"suffix":""},{"dropping-particle":"","family":"Kafuruki","given":"Shubi","non-dropping-particle":"","parse-names":false,"suffix":""}],"container-title":"Malaria Journal","id":"ITEM-1","issue":"1","issued":{"date-parts":[["2016","12","5"]]},"page":"189","title":"Stakeholders’ opinions and questions regarding the anticipated malaria vaccine in Tanzania","type":"article-journal","volume":"15"},"uris":["http://www.mendeley.com/documents/?uuid=931ff60f-c293-3a70-992c-b96583772286"]}],"mendeley":{"formattedCitation":"(19)","plainTextFormattedCitation":"(19)","previouslyFormattedCitation":"(19)"},"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(19)</w:t>
      </w:r>
      <w:r>
        <w:rPr>
          <w:rFonts w:ascii="Times New Roman" w:hAnsi="Times New Roman" w:cs="Times New Roman"/>
          <w:sz w:val="24"/>
          <w:szCs w:val="24"/>
        </w:rPr>
        <w:fldChar w:fldCharType="end"/>
      </w:r>
      <w:r>
        <w:rPr>
          <w:rFonts w:hint="default" w:ascii="Times New Roman" w:hAnsi="Times New Roman" w:cs="Times New Roman"/>
          <w:sz w:val="24"/>
          <w:szCs w:val="24"/>
          <w:lang w:val="en-US"/>
        </w:rPr>
        <w:t>.</w:t>
      </w:r>
      <w:r>
        <w:rPr>
          <w:rFonts w:ascii="Times New Roman" w:hAnsi="Times New Roman" w:cs="Times New Roman"/>
          <w:sz w:val="24"/>
          <w:szCs w:val="24"/>
        </w:rPr>
        <w:t xml:space="preserve"> In 2022, the greatest Falciparum percentage was reported from Benishangul Gumuz region, which is Gambella, came in second with 91%  with 89% proportion and the smallest percentage was reported from Addis Ababa (35%). The following figure shows the epidemiological stratification of malaria in Ethiopia. High malaria transmission occurs in the western lowlands and river basins in Afar and Somali regions, Ethiopia has been working very hard to eradicate malaria by 2030.</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{"citationItems":[{"id":"ITEM-1","itemData":{"author":[{"dropping-particle":"","family":"Ministry of Health and Medical Services of Solomon Islands","given":"","non-dropping-particle":"","parse-names":false,"suffix":""}],"container-title":"Jornal of Integrated Care (JICA)","id":"ITEM-1","issue":"May","issued":{"date-parts":[["2021"]]},"page":"1-16","title":"Malaria Prevention and Control Ministry of Health and Medical Services, Solomon Islands Healthy Village Facilitator's Guide","type":"article-journal"},"uris":["http://www.mendeley.com/documents/?uuid=473c6954-e02d-483c-90a6-c012e1fdc8d7"]},{"id":"ITEM-2","itemData":{"DOI":"10.1186/s12936-016-1209-6","ISSN":"1475-2875","author":[{"dropping-particle":"","family":"Mtenga","given":"Sally","non-dropping-particle":"","parse-names":false,"suffix":""},{"dropping-particle":"","family":"Kimweri","given":"Angela","non-dropping-particle":"","parse-names":false,"suffix":""},{"dropping-particle":"","family":"Romore","given":"Idda","non-dropping-particle":"","parse-names":false,"suffix":""},{"dropping-particle":"","family":"Ali","given":"Ali","non-dropping-particle":"","parse-names":false,"suffix":""},{"dropping-particle":"","family":"Exavery","given":"Amon","non-dropping-particle":"","parse-names":false,"suffix":""},{"dropping-particle":"","family":"Sicuri","given":"Elisa","non-dropping-particle":"","parse-names":false,"suffix":""},{"dropping-particle":"","family":"Tanner","given":"Marcel","non-dropping-particle":"","parse-names":false,"suffix":""},{"dropping-particle":"","family":"Abdulla","given":"Salim","non-dropping-particle":"","parse-names":false,"suffix":""},{"dropping-particle":"","family":"Lusingu","given":"John","non-dropping-particle":"","parse-names":false,"suffix":""},{"dropping-particle":"","family":"Kafuruki","given":"Shubi","non-dropping-particle":"","parse-names":false,"suffix":""}],"container-title":"Malaria Journal","id":"ITEM-2","issue":"1","issued":{"date-parts":[["2016","12","5"]]},"page":"189","title":"Stakeholders’ opinions and questions regarding the anticipated malaria vaccine in Tanzania","type":"article-journal","volume":"15"},"uris":["http://www.mendeley.com/documents/?uuid=931ff60f-c293-3a70-992c-b96583772286"]}],"mendeley":{"formattedCitation":"(18,19)","plainTextFormattedCitation":"(18,19)","previouslyFormattedCitation":"(18,19)"},"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(18,19)</w:t>
      </w:r>
      <w:r>
        <w:rPr>
          <w:rFonts w:ascii="Times New Roman" w:hAnsi="Times New Roman" w:cs="Times New Roman"/>
          <w:sz w:val="24"/>
          <w:szCs w:val="24"/>
        </w:rPr>
        <w:fldChar w:fldCharType="end"/>
      </w:r>
      <w:r>
        <w:rPr>
          <w:rFonts w:hint="default" w:ascii="Times New Roman" w:hAnsi="Times New Roman" w:cs="Times New Roman"/>
          <w:sz w:val="24"/>
          <w:szCs w:val="24"/>
          <w:lang w:val="en-US"/>
        </w:rPr>
        <w:t>.</w:t>
      </w:r>
    </w:p>
    <w:p w14:paraId="018A6559">
      <w:pPr>
        <w:spacing w:before="200" w:line="360" w:lineRule="auto"/>
        <w:jc w:val="both"/>
        <w:rPr>
          <w:rFonts w:ascii="Times New Roman" w:hAnsi="Times New Roman" w:cs="Times New Roman"/>
          <w:sz w:val="26"/>
          <w:szCs w:val="26"/>
        </w:rPr>
      </w:pPr>
      <w:r>
        <w:rPr>
          <w:rStyle w:val="23"/>
          <w:sz w:val="26"/>
          <w:szCs w:val="26"/>
        </w:rPr>
        <w:t>2.2</w:t>
      </w:r>
      <w:r>
        <w:rPr>
          <w:rStyle w:val="38"/>
        </w:rPr>
        <w:t>. Factors Associated with Willingness to Accept Malaria Vaccine</w:t>
      </w:r>
    </w:p>
    <w:p w14:paraId="1FB75E26">
      <w:pPr>
        <w:pStyle w:val="48"/>
      </w:pPr>
      <w:bookmarkStart w:id="232" w:name="_Toc198635463"/>
      <w:r>
        <w:rPr>
          <w:rStyle w:val="23"/>
          <w:rFonts w:ascii="Times New Roman" w:hAnsi="Times New Roman"/>
          <w:b/>
          <w:bCs/>
          <w:color w:val="auto"/>
        </w:rPr>
        <w:t>1. Socio-Demographic Factors</w:t>
      </w:r>
      <w:bookmarkEnd w:id="232"/>
      <w:r>
        <w:rPr>
          <w:rFonts w:eastAsiaTheme="minorEastAsia" w:cstheme="minorBidi"/>
          <w:b w:val="0"/>
          <w:bCs w:val="0"/>
          <w:color w:val="1B1B1B"/>
          <w:sz w:val="28"/>
          <w:szCs w:val="28"/>
          <w:shd w:val="clear" w:color="auto" w:fill="FFFFFF"/>
        </w:rPr>
        <w:t xml:space="preserve"> </w:t>
      </w:r>
    </w:p>
    <w:p w14:paraId="2F52DFF0">
      <w:pPr>
        <w:pStyle w:val="22"/>
        <w:spacing w:line="360" w:lineRule="auto"/>
        <w:jc w:val="both"/>
        <w:rPr>
          <w:rFonts w:hint="default"/>
          <w:lang w:val="en-US"/>
        </w:rPr>
      </w:pPr>
      <w:r>
        <w:t>Several socio-demographic characteristics influence mothers' willingness to accept malaria vaccines. Age of the mother is one such factor, as younger mothers often have greater exposure to vaccine-related information through modern communication platforms. In contrast, older mothers may rely on traditional practices or exhibit greater skepticism. According to studies conducted in Nigeria and Kenya, younger mothers tend to trust and accept new vaccines more readily compared to older mothers.</w:t>
      </w:r>
      <w:r>
        <w:fldChar w:fldCharType="begin" w:fldLock="1"/>
      </w:r>
      <w:r>
        <w:instrText xml:space="preserve">ADDIN CSL_CITATION {"citationItems":[{"id":"ITEM-1","itemData":{"DOI":"10.18621/eurj.842535","abstract":"Objectives: This study aims to test the validity and reliability of the Vaccine Hesitancy Scale (VHS) developed by Larson for Turkish society due to the limited measures of vaccine hesitancy studies in Turkey. This scale can help advance research and vaccination policy for human well-being. Methods: Two hundred fourty-six participants completed the first questionnaire in Turkish between September and October 2020. The sample of the study was determined to consider the number of items on the 9-item scale is more than 27 times. The retest was used to test the validity of the scale in the study. Results: The ratio of the scale to chi-square degrees of freedom is 2.29. This can be considered as a sufficient fit. As a result of the first level Confirmatory Factor Analysis (CFA), the values ​​of the goodness of fit suggested that the two-factor model can be considered compatible with the data. The Cronbach's alpha of the total items of the scale is = .801. Factor 1 which was the ‘lack of confidence’ of Cronbach's alpha was 0.904. Factor 2 that was the ‘risks’ was 0.742. The reliability and validity of the VHS analysis revealed a two-factor structure with construct and criterion validity to detect vaccine hesitancy. Conclusions: VHS is recommended to be used as a data collection tool in health care services to detect the level of vaccine hesitancy among the public. The adaptation of VHS into the Turkish language can help health care providers and immunization policy makers to improve effective approaches by focusing on the individuals’ confidence in vaccination.","author":[{"dropping-particle":"","family":"YALNIZ DİLCEN","given":"Hacer","non-dropping-particle":"","parse-names":false,"suffix":""},{"dropping-particle":"","family":"DOLU","given":"İlknur","non-dropping-particle":"","parse-names":false,"suffix":""},{"dropping-particle":"","family":"TURHAN","given":"Zeynep","non-dropping-particle":"","parse-names":false,"suffix":""}],"container-title":"The European Research Journal","id":"ITEM-1","issue":"1","issued":{"date-parts":[["2022"]]},"page":"50-58","title":"Validity and reliability study of the vaccine hesitancy scale in Turkish sample","type":"article-journal","volume":"8"},"uris":["http://www.mendeley.com/documents/?uuid=f6742106-954c-41ca-9fd9-0d478a1efb3c"]},{"id":"ITEM-2","itemData":{"abstract":"Prepared by the Malaria Vaccine Implementation Programme (MVIP) Programme Advisory Group (PAG) in its capacity as the RTS,S SAGE/MPAG Working Group to support the joint review of the RTS,S/AS01 malaria vaccine by the Strategic Advisory Group of Experts on Immunization (SAGE) and the Malaria Policy Advisory Group (MPAG).","author":[{"dropping-particle":"","family":"World Health Organization","given":"","non-dropping-particle":"","parse-names":false,"suffix":""}],"container-title":"SAGE yellow book WHO","id":"ITEM-2","issue":"September","issued":{"date-parts":[["2021"]]},"page":"40-84","title":"Full evidence report on the RTS,S/AS01 Malaria Vaccine","type":"article-journal","volume":"5.1"},"uris":["http://www.mendeley.com/documents/?uuid=74271a35-2676-48c6-af4c-fb49d6e97792"]}],"mendeley":{"formattedCitation":"(20,21)","plainTextFormattedCitation":"(20,21)","previouslyFormattedCitation":"(20,21)"},"properties":{"noteIndex":0},"schema":"https://github.com/citation-style-language/schema/raw/master/csl-citation.json"}</w:instrText>
      </w:r>
      <w:r>
        <w:fldChar w:fldCharType="separate"/>
      </w:r>
      <w:r>
        <w:t>(20,21)</w:t>
      </w:r>
      <w:r>
        <w:fldChar w:fldCharType="end"/>
      </w:r>
      <w:r>
        <w:t xml:space="preserve"> Education level is another critical determinant, with findings from studies in Ethiopia  indicating that mothers with secondary  or tertiary  Education were more likely to understand and accept vaccines due to better access to health information </w:t>
      </w:r>
      <w:r>
        <w:fldChar w:fldCharType="begin" w:fldLock="1"/>
      </w:r>
      <w:r>
        <w:instrText xml:space="preserve">ADDIN CSL_CITATION {"citationItems":[{"id":"ITEM-1","itemData":{"DOI":"10.18621/eurj.842535","abstract":"Objectives: This study aims to test the validity and reliability of the Vaccine Hesitancy Scale (VHS) developed by Larson for Turkish society due to the limited measures of vaccine hesitancy studies in Turkey. This scale can help advance research and vaccination policy for human well-being. Methods: Two hundred fourty-six participants completed the first questionnaire in Turkish between September and October 2020. The sample of the study was determined to consider the number of items on the 9-item scale is more than 27 times. The retest was used to test the validity of the scale in the study. Results: The ratio of the scale to chi-square degrees of freedom is 2.29. This can be considered as a sufficient fit. As a result of the first level Confirmatory Factor Analysis (CFA), the values ​​of the goodness of fit suggested that the two-factor model can be considered compatible with the data. The Cronbach's alpha of the total items of the scale is = .801. Factor 1 which was the ‘lack of confidence’ of Cronbach's alpha was 0.904. Factor 2 that was the ‘risks’ was 0.742. The reliability and validity of the VHS analysis revealed a two-factor structure with construct and criterion validity to detect vaccine hesitancy. Conclusions: VHS is recommended to be used as a data collection tool in health care services to detect the level of vaccine hesitancy among the public. The adaptation of VHS into the Turkish language can help health care providers and immunization policy makers to improve effective approaches by focusing on the individuals’ confidence in vaccination.","author":[{"dropping-particle":"","family":"YALNIZ DİLCEN","given":"Hacer","non-dropping-particle":"","parse-names":false,"suffix":""},{"dropping-particle":"","family":"DOLU","given":"İlknur","non-dropping-particle":"","parse-names":false,"suffix":""},{"dropping-particle":"","family":"TURHAN","given":"Zeynep","non-dropping-particle":"","parse-names":false,"suffix":""}],"container-title":"The European Research Journal","id":"ITEM-1","issue":"1","issued":{"date-parts":[["2022"]]},"page":"50-58","title":"Validity and reliability study of the vaccine hesitancy scale in Turkish sample","type":"article-journal","volume":"8"},"uris":["http://www.mendeley.com/documents/?uuid=f6742106-954c-41ca-9fd9-0d478a1efb3c"]}],"mendeley":{"formattedCitation":"(20)","plainTextFormattedCitation":"(20)","previouslyFormattedCitation":"(20)"},"properties":{"noteIndex":0},"schema":"https://github.com/citation-style-language/schema/raw/master/csl-citation.json"}</w:instrText>
      </w:r>
      <w:r>
        <w:fldChar w:fldCharType="separate"/>
      </w:r>
      <w:r>
        <w:t>(20)</w:t>
      </w:r>
      <w:r>
        <w:fldChar w:fldCharType="end"/>
      </w:r>
      <w:r>
        <w:rPr>
          <w:rFonts w:hint="default"/>
          <w:lang w:val="en-US"/>
        </w:rPr>
        <w:t>.</w:t>
      </w:r>
    </w:p>
    <w:p w14:paraId="777C3E51">
      <w:pPr>
        <w:pStyle w:val="22"/>
        <w:spacing w:line="360" w:lineRule="auto"/>
        <w:jc w:val="both"/>
        <w:rPr>
          <w:rFonts w:hint="default"/>
          <w:lang w:val="en-US"/>
        </w:rPr>
      </w:pPr>
      <w:r>
        <w:t>Socioeconomic status also plays a significant role, as families with higher income levels are better positioned to access healthcare services and understand the benefits of vaccination. Conversely, poverty can hinder vaccine uptake due to logistical barriers such as transportation costs and prioritization of immediate financial needs</w:t>
      </w:r>
      <w:r>
        <w:fldChar w:fldCharType="begin" w:fldLock="1"/>
      </w:r>
      <w:r>
        <w:instrText xml:space="preserve">ADDIN CSL_CITATION {"citationItems":[{"id":"ITEM-1","itemData":{"abstract":"Prepared by the Malaria Vaccine Implementation Programme (MVIP) Programme Advisory Group (PAG) in its capacity as the RTS,S SAGE/MPAG Working Group to support the joint review of the RTS,S/AS01 malaria vaccine by the Strategic Advisory Group of Experts on Immunization (SAGE) and the Malaria Policy Advisory Group (MPAG).","author":[{"dropping-particle":"","family":"World Health Organization","given":"","non-dropping-particle":"","parse-names":false,"suffix":""}],"container-title":"SAGE yellow book WHO","id":"ITEM-1","issue":"September","issued":{"date-parts":[["2021"]]},"page":"40-84","title":"Full evidence report on the RTS,S/AS01 Malaria Vaccine","type":"article-journal","volume":"5.1"},"uris":["http://www.mendeley.com/documents/?uuid=74271a35-2676-48c6-af4c-fb49d6e97792"]}],"mendeley":{"formattedCitation":"(21)","plainTextFormattedCitation":"(21)","previouslyFormattedCitation":"(21)"},"properties":{"noteIndex":0},"schema":"https://github.com/citation-style-language/schema/raw/master/csl-citation.json"}</w:instrText>
      </w:r>
      <w:r>
        <w:fldChar w:fldCharType="separate"/>
      </w:r>
      <w:r>
        <w:t>(21)</w:t>
      </w:r>
      <w:r>
        <w:fldChar w:fldCharType="end"/>
      </w:r>
      <w:r>
        <w:rPr>
          <w:rFonts w:hint="default"/>
          <w:lang w:val="en-US"/>
        </w:rPr>
        <w:t>.</w:t>
      </w:r>
      <w:r>
        <w:t xml:space="preserve"> Marital status has been shown to influence decision-making regarding child health, with married mothers often benefiting from spousal or familial support in health-related decisions. However, in patriarchal settings, where decision-making is dominated by male heads of households, vaccine acceptance may depend on their approval</w:t>
      </w:r>
      <w:r>
        <w:fldChar w:fldCharType="begin" w:fldLock="1"/>
      </w:r>
      <w:r>
        <w:instrText xml:space="preserve">ADDIN CSL_CITATION {"citationItems":[{"id":"ITEM-1","itemData":{"ISBN":"ISBN 978-92-4-001579-11","ISSN":"01487299","PMID":"9375913","abstract":"We report on a 176/12-year-old boy with nephronophthisis, retinitis pigmentosa, left upper eyelid ptosis, enopthalmos, transmissive deafness, GH and TSH deficiency, and mild skeletal dysplasia. A similar ease was reported by Bianchi et al. [1988: Helv Paediatr Acta 43:449-455] in another Italian patient. Here we confirm the previous observations and argue that both patients might be affected by a new syndrome.","author":[{"dropping-particle":"","family":"World Health Organization","given":"","non-dropping-particle":"","parse-names":false,"suffix":""}],"container-title":"American Journal of Medical Genetics","id":"ITEM-1","issue":"1","issued":{"date-parts":[["2020"]]},"number-of-pages":"1-4","title":"World malaria report 2020: 20 years of global progress and challenges","type":"book","volume":"73"},"uris":["http://www.mendeley.com/documents/?uuid=4e5954ff-c68a-4138-bc56-760c09c626b4"]}],"mendeley":{"formattedCitation":"(22)","plainTextFormattedCitation":"(22)","previouslyFormattedCitation":"(22)"},"properties":{"noteIndex":0},"schema":"https://github.com/citation-style-language/schema/raw/master/csl-citation.json"}</w:instrText>
      </w:r>
      <w:r>
        <w:fldChar w:fldCharType="separate"/>
      </w:r>
      <w:r>
        <w:t>(22)</w:t>
      </w:r>
      <w:r>
        <w:fldChar w:fldCharType="end"/>
      </w:r>
      <w:r>
        <w:rPr>
          <w:rFonts w:hint="default"/>
          <w:lang w:val="en-US"/>
        </w:rPr>
        <w:t>.</w:t>
      </w:r>
      <w:r>
        <w:t xml:space="preserve"> Finally, Research conducted in sub-Saharan Africa has revealed that the number of children a mother has can also influence vaccination decisions. Mothers with fewer children are more likely to accept vaccines, while those with larger families may prioritize other demands, citing financial or time constraints</w:t>
      </w:r>
      <w:r>
        <w:fldChar w:fldCharType="begin" w:fldLock="1"/>
      </w:r>
      <w:r>
        <w:instrText xml:space="preserve">ADDIN CSL_CITATION {"citationItems":[{"id":"ITEM-1","itemData":{"ISBN":"ISBN 978-92-4-001579-11","ISSN":"01487299","PMID":"9375913","abstract":"We report on a 176/12-year-old boy with nephronophthisis, retinitis pigmentosa, left upper eyelid ptosis, enopthalmos, transmissive deafness, GH and TSH deficiency, and mild skeletal dysplasia. A similar ease was reported by Bianchi et al. [1988: Helv Paediatr Acta 43:449-455] in another Italian patient. Here we confirm the previous observations and argue that both patients might be affected by a new syndrome.","author":[{"dropping-particle":"","family":"World Health Organization","given":"","non-dropping-particle":"","parse-names":false,"suffix":""}],"container-title":"American Journal of Medical Genetics","id":"ITEM-1","issue":"1","issued":{"date-parts":[["2020"]]},"number-of-pages":"1-4","title":"World malaria report 2020: 20 years of global progress and challenges","type":"book","volume":"73"},"uris":["http://www.mendeley.com/documents/?uuid=4e5954ff-c68a-4138-bc56-760c09c626b4"]},{"id":"ITEM-2","itemData":{"abstract":"Prepared by the Malaria Vaccine Implementation Programme (MVIP) Programme Advisory Group (PAG) in its capacity as the RTS,S SAGE/MPAG Working Group to support the joint review of the RTS,S/AS01 malaria vaccine by the Strategic Advisory Group of Experts on Immunization (SAGE) and the Malaria Policy Advisory Group (MPAG).","author":[{"dropping-particle":"","family":"World Health Organization","given":"","non-dropping-particle":"","parse-names":false,"suffix":""}],"container-title":"SAGE yellow book WHO","id":"ITEM-2","issue":"September","issued":{"date-parts":[["2021"]]},"page":"40-84","title":"Full evidence report on the RTS,S/AS01 Malaria Vaccine","type":"article-journal","volume":"5.1"},"uris":["http://www.mendeley.com/documents/?uuid=74271a35-2676-48c6-af4c-fb49d6e97792"]}],"mendeley":{"formattedCitation":"(21,22)","plainTextFormattedCitation":"(21,22)","previouslyFormattedCitation":"(21,22)"},"properties":{"noteIndex":0},"schema":"https://github.com/citation-style-language/schema/raw/master/csl-citation.json"}</w:instrText>
      </w:r>
      <w:r>
        <w:fldChar w:fldCharType="separate"/>
      </w:r>
      <w:r>
        <w:t>(21,22)</w:t>
      </w:r>
      <w:r>
        <w:fldChar w:fldCharType="end"/>
      </w:r>
      <w:r>
        <w:rPr>
          <w:rFonts w:hint="default"/>
          <w:lang w:val="en-US"/>
        </w:rPr>
        <w:t>.</w:t>
      </w:r>
    </w:p>
    <w:p w14:paraId="284C7C56">
      <w:pPr>
        <w:pStyle w:val="22"/>
        <w:spacing w:line="360" w:lineRule="auto"/>
        <w:jc w:val="both"/>
      </w:pPr>
      <w:r>
        <w:t xml:space="preserve">Study conducted in Democratic Republic of Congo indicated that the role of occupation is also significant, with non-students and non-healthcare workers showing greater vaccine receptiveness, potentially reflecting varying health literacy levels. Importantly, the study indicates that individuals with a medium education level are more inclined to vaccinate children under five than those with lower education levels, suggesting that targeted educational interventions could significantly improve vaccine awareness and acceptance (21). Furthermore, residing in semi-rural areas surprisingly correlates with higher vaccine acceptance, challenging common notions about rural vaccine hesitancy and highlighting the importance of tailored public health campaigns that address these complex factors to boost vaccine uptake among young children. </w:t>
      </w:r>
    </w:p>
    <w:p w14:paraId="3FB0C44E">
      <w:pPr>
        <w:pStyle w:val="48"/>
      </w:pPr>
      <w:bookmarkStart w:id="233" w:name="_Toc198635464"/>
      <w:r>
        <w:rPr>
          <w:rStyle w:val="23"/>
          <w:rFonts w:ascii="Times New Roman" w:hAnsi="Times New Roman"/>
          <w:b/>
          <w:bCs/>
          <w:color w:val="auto"/>
        </w:rPr>
        <w:t>2. Health-Related Factors</w:t>
      </w:r>
      <w:bookmarkEnd w:id="233"/>
    </w:p>
    <w:p w14:paraId="2E98BC7C">
      <w:pPr>
        <w:pStyle w:val="22"/>
        <w:spacing w:line="360" w:lineRule="auto"/>
        <w:jc w:val="both"/>
        <w:rPr>
          <w:rFonts w:hint="default"/>
          <w:lang w:val="en-US"/>
        </w:rPr>
      </w:pPr>
      <w:r>
        <w:t>Health experiences and perceptions directly influence mothers' vaccination decisions. Previous experiences with vaccination, particularly positive experiences with routine immunizations, have been shown to increase mothers’ readiness to accept the malaria vaccination. On the other hand, adverse events or side effects from past vaccinations may result in hesitancy and reduced trust. In Ethiopia, studies have shown that mothers with children who had successful immunization histories were more likely to embrace new vaccines</w:t>
      </w:r>
      <w:r>
        <w:fldChar w:fldCharType="begin" w:fldLock="1"/>
      </w:r>
      <w:r>
        <w:instrText xml:space="preserve">ADDIN CSL_CITATION {"citationItems":[{"id":"ITEM-1","itemData":{"DOI":"10.1186/s12936-024-04921-2","ISSN":"14752875","PMID":"38734664","abstract":"Background: The newly developed malaria vaccine called “R21/Matrix-M malaria vaccine” showed a high safety and efficacy level, and Ghana is the first country to approve this new vaccine. The present study aimed to evaluate the rate of vaccine hesitancy (VH) towards the newly developed malaria vaccine among parents who currently have children who are not eligible for the vaccine but may be eligible in the near future. Additionally, the study aimed to identify the factors that could potentially influence VH. Methods: A cross-sectional survey using both online-based questionnaires and face-to-face interviews was conducted in Ghana from June to August 2023. The survey specifically targeted parents of ineligible children for vaccination, including those aged less than 5 months or between 3 and 12 years. The Parent Attitudes about Childhood Vaccination (PACV) scale was used to assess parental VH. Results: A total of 765 people participated in this study. Their median age was 36.0 years with an interquartile range of 31.0–41.0 years, 67.7% were females, 41.8% completed their tertiary education, 63.3% were married, 81.6% worked in non-healthcare sectors, and 59.7% reported that their monthly income was insufficient. About one-third (34.5%) of the parents were hesitant to give their children the R21/Matrix-M malaria vaccine. The following predictors were associated with VH: working in the healthcare sector (adjusted odds ratio (AOR) = 0.50; 95% confidence interval (CI) 0.30–0.80; p = 0.005), having the other parent working in the healthcare sector (AOR = 0.54; 95% CI 0.30–0.94; p = 0.034), and not taking scheduled routine vaccinations (AOR = 1.90; 95% CI 1.27–2.84; p = 0.002). Conclusions: Addressing VH is crucial for optimizing R21/Matrix-M vaccine coverage in Ghana's malaria control strategy. By tackling VH issues, Ghana can effectively safeguard children's health in malaria-prone areas.","author":[{"dropping-particle":"","family":"Hussein","given":"Mohamed Fakhry","non-dropping-particle":"","parse-names":false,"suffix":""},{"dropping-particle":"","family":"Kyei-Arthur","given":"Frank","non-dropping-particle":"","parse-names":false,"suffix":""},{"dropping-particle":"","family":"Saleeb","given":"Marina","non-dropping-particle":"","parse-names":false,"suffix":""},{"dropping-particle":"","family":"Kyei-Gyamfi","given":"Sylvester","non-dropping-particle":"","parse-names":false,"suffix":""},{"dropping-particle":"","family":"Abutima","given":"Theophilus","non-dropping-particle":"","parse-names":false,"suffix":""},{"dropping-particle":"","family":"Sakada","given":"Ignatius Great","non-dropping-particle":"","parse-names":false,"suffix":""},{"dropping-particle":"","family":"Ghazy","given":"Ramy Mohamed","non-dropping-particle":"","parse-names":false,"suffix":""}],"container-title":"Malaria Journal","id":"ITEM-1","issue":"1","issued":{"date-parts":[["2024"]]},"page":"1-14","publisher":"BioMed Central","title":"Hesitancy towards R21/Matrix-M malaria vaccine among Ghanaian parents and attitudes towards immunizing non-eligible children: a cross-sectional survey","type":"article-journal","volume":"23"},"uris":["http://www.mendeley.com/documents/?uuid=9440a017-ad2e-4ff7-985c-3f9b6c1a62dd"]}],"mendeley":{"formattedCitation":"(14)","plainTextFormattedCitation":"(14)","previouslyFormattedCitation":"(14)"},"properties":{"noteIndex":0},"schema":"https://github.com/citation-style-language/schema/raw/master/csl-citation.json"}</w:instrText>
      </w:r>
      <w:r>
        <w:fldChar w:fldCharType="separate"/>
      </w:r>
      <w:r>
        <w:t>(14)</w:t>
      </w:r>
      <w:r>
        <w:fldChar w:fldCharType="end"/>
      </w:r>
      <w:r>
        <w:rPr>
          <w:rFonts w:hint="default"/>
          <w:lang w:val="en-US"/>
        </w:rPr>
        <w:t>.</w:t>
      </w:r>
    </w:p>
    <w:p w14:paraId="549CBE00">
      <w:pPr>
        <w:pStyle w:val="22"/>
        <w:spacing w:line="360" w:lineRule="auto"/>
        <w:jc w:val="both"/>
        <w:rPr>
          <w:rFonts w:hint="default"/>
          <w:lang w:val="en-US"/>
        </w:rPr>
      </w:pPr>
      <w:r>
        <w:t>Knowledge about malaria and its prevention also plays a vital role. In malaria-endemic regions, mothers who are well-informed about The severity of the disease and the protective role of vaccines are more likely to accept immunization. Studies in Nigeria and Tanzania revealed that awareness campaigns emphasizing malaria's burden significantly influenced vaccine uptake.</w:t>
      </w:r>
      <w:r>
        <w:fldChar w:fldCharType="begin" w:fldLock="1"/>
      </w:r>
      <w:r>
        <w:instrText xml:space="preserve">ADDIN CSL_CITATION {"citationItems":[{"id":"ITEM-1","itemData":{"DOI":"10.1186/s12936-018-2328-z","ISSN":"14752875","PMID":"29703192","abstract":"Background: A transmission-blocking vaccine (TBV) to prevent malaria-infected humans from infecting mosquitoes has been increasingly considered as a tool for malaria control and elimination. This study tested the hypothesis that a malaria TBV would be acceptable among residents of a malaria-hypoendemic region. Methods: The study was carried out in six Spanish-speaking rural villages in the Department of Loreto in the Peruvian Amazon. These villages comprise a cohort of 430 households associated with the Peru-Brazil International Centre for Excellence in Malaria Research. Individuals from one-third (143) of enrolled households in an ongoing longitudinal, prospective cohort study in 6 communities in Loreto, Peru, were randomly selected to participate by answering a pre-validated questionnaire. Results: All 143 participants expressed desire for a malaria vaccine in general; only 1 (0.7%) expressed unwillingness to receive a transmission-blocking malaria vaccine. Injection was considered most acceptable for adults (97.2%); for children drops in the mouth were preferred (96.8%). Acceptability waned marginally with the prospect of multiple injections (83.8%) and different projected efficacies at 70 and 50% (90.1 and 71.8%, respectively). Respondents demonstrated clear understanding that the vaccine was for community, rather than personal, protection against malaria infection. Discussion: In this setting of the Peruvian Amazon, a transmission-blocking malaria vaccine was found to be almost universally acceptable. This study is the first to report that residents of a malaria-endemic region have been queried regarding a malaria vaccine strategy that policy-makers in the industrialized world often dismiss as altruistic.","author":[{"dropping-particle":"","family":"White","given":"Sara E.","non-dropping-particle":"","parse-names":false,"suffix":""},{"dropping-particle":"","family":"Harvey","given":"Steven A.","non-dropping-particle":"","parse-names":false,"suffix":""},{"dropping-particle":"","family":"Meza","given":"Graciela","non-dropping-particle":"","parse-names":false,"suffix":""},{"dropping-particle":"","family":"Llanos","given":"Alejandro","non-dropping-particle":"","parse-names":false,"suffix":""},{"dropping-particle":"","family":"Guzman","given":"Mitchel","non-dropping-particle":"","parse-names":false,"suffix":""},{"dropping-particle":"","family":"Gamboa","given":"Dionicia","non-dropping-particle":"","parse-names":false,"suffix":""},{"dropping-particle":"","family":"Vinetz","given":"Joseph M.","non-dropping-particle":"","parse-names":false,"suffix":""}],"container-title":"Malaria Journal","id":"ITEM-1","issue":"1","issued":{"date-parts":[["2018"]]},"page":"1-12","publisher":"BioMed Central","title":"Acceptability of a herd immunity-focused, transmission-blocking malaria vaccine in malaria-endemic communities in the Peruvian Amazon: An exploratory study","type":"article-journal","volume":"17"},"uris":["http://www.mendeley.com/documents/?uuid=ead15a59-3daf-430d-bf8a-2fcc15147a0f"]},{"id":"ITEM-2","itemData":{"DOI":"10.1186/1475-2875-9-362","ISSN":"14752875","PMID":"21159170","abstract":"Background. Intravenous injection of mice with attenuated Plasmodium berghei sporozoites induces sterile immunity to challenge with viable sporozoites. Non-intravenous routes have been reported to yield poor immunity. Because intravenous immunization has been considered to be unacceptable for large scale vaccination of humans, assessment was made of the results of intradermal immunization of mice with Plasmodium yoelii, a rodent malaria parasite whose infectivity resembles that of human malaria. Methods. Mice were immunized with two injections of isolated, radiation-attenuated P. yoelii sporozoites, either by intravenous (IV) or intradermal (ID) inoculation. In an attempt to enhance protective immunogenicity of ID-injections, one group of experimental mice received topical application of an adjuvant, Imiquimod, while another group had their injections accompanied by local \"tape- stripping\" of the skin, a procedure known to disrupt the stratum corneum and activate local immunocytes. Challenge of immunized and non-immunized control mice was by bite of sporozoite-infected mosquitoes. Degree of protection among the various groups of mice was determined by microscopic examination of stained blood smears. Statistical significance of protection was determined by a one-way ANOVA followed by Tukey's post hoc test. Results. Two intravenous immunizations produced 94% protection to mosquito bite challenge; intradermal immunization produced 78% protection, while intradermal immunization accompanied by \"tape-stripping\" produced 94% protection. There were no statistically significant differences in degree of protective immunity between immunizations done by intravenous versus intradermal injection. Conclusions. The use of a sub-microlitre syringe for intradermal injections yielded excellent protective immunity. ID-immunization with large numbers of radiation-attenuated P. yoelii sporozoites led to levels of protective immunity comparable to those achieved by IV-immunization. It remains to be determined whether an adjuvant treatment can be found to substantially reduce the numbers of attenuated sporozoites required to achieve a strong protective immunity with as few doses as possible for possible extension to immunization of humans. © 2010 Voza et al; licensee BioMed Central Ltd.","author":[{"dropping-particle":"","family":"Voza","given":"Tatiana","non-dropping-particle":"","parse-names":false,"suffix":""},{"dropping-particle":"","family":"Kebaier","given":"Chahnaz","non-dropping-particle":"","parse-names":false,"suffix":""},{"dropping-particle":"","family":"Vanderberg","given":"Jerome P.","non-dropping-particle":"","parse-names":false,"suffix":""}],"container-title":"Malaria Journal","id":"ITEM-2","issue":"1","issued":{"date-parts":[["2010"]]},"page":"1-6","title":"Intradermal immunization of mice with radiation-attenuated sporozoites of Plasmodium yoelii induces effective protective immunity","type":"article-journal","volume":"9"},"uris":["http://www.mendeley.com/documents/?uuid=fa9e16c3-d51c-4736-af2a-97ccd1c971be"]}],"mendeley":{"formattedCitation":"(23,24)","plainTextFormattedCitation":"(23,24)","previouslyFormattedCitation":"(23,24)"},"properties":{"noteIndex":0},"schema":"https://github.com/citation-style-language/schema/raw/master/csl-citation.json"}</w:instrText>
      </w:r>
      <w:r>
        <w:fldChar w:fldCharType="separate"/>
      </w:r>
      <w:r>
        <w:t>(23,24)</w:t>
      </w:r>
      <w:r>
        <w:fldChar w:fldCharType="end"/>
      </w:r>
      <w:r>
        <w:t xml:space="preserve"> Perceived susceptibility to malaria further drives decisions, as mothers in high-burden regions often view their children as vulnerable and prioritize vaccination to mitigate risks. In areas with lower perceived risk, complacency may set in, reducing the likelihood of vaccine acceptance</w:t>
      </w:r>
      <w:r>
        <w:fldChar w:fldCharType="begin" w:fldLock="1"/>
      </w:r>
      <w:r>
        <w:instrText xml:space="preserve">ADDIN CSL_CITATION {"citationItems":[{"id":"ITEM-1","itemData":{"DOI":"10.1186/1475-2875-9-362","ISSN":"14752875","PMID":"21159170","abstract":"Background. Intravenous injection of mice with attenuated Plasmodium berghei sporozoites induces sterile immunity to challenge with viable sporozoites. Non-intravenous routes have been reported to yield poor immunity. Because intravenous immunization has been considered to be unacceptable for large scale vaccination of humans, assessment was made of the results of intradermal immunization of mice with Plasmodium yoelii, a rodent malaria parasite whose infectivity resembles that of human malaria. Methods. Mice were immunized with two injections of isolated, radiation-attenuated P. yoelii sporozoites, either by intravenous (IV) or intradermal (ID) inoculation. In an attempt to enhance protective immunogenicity of ID-injections, one group of experimental mice received topical application of an adjuvant, Imiquimod, while another group had their injections accompanied by local \"tape- stripping\" of the skin, a procedure known to disrupt the stratum corneum and activate local immunocytes. Challenge of immunized and non-immunized control mice was by bite of sporozoite-infected mosquitoes. Degree of protection among the various groups of mice was determined by microscopic examination of stained blood smears. Statistical significance of protection was determined by a one-way ANOVA followed by Tukey's post hoc test. Results. Two intravenous immunizations produced 94% protection to mosquito bite challenge; intradermal immunization produced 78% protection, while intradermal immunization accompanied by \"tape-stripping\" produced 94% protection. There were no statistically significant differences in degree of protective immunity between immunizations done by intravenous versus intradermal injection. Conclusions. The use of a sub-microlitre syringe for intradermal injections yielded excellent protective immunity. ID-immunization with large numbers of radiation-attenuated P. yoelii sporozoites led to levels of protective immunity comparable to those achieved by IV-immunization. It remains to be determined whether an adjuvant treatment can be found to substantially reduce the numbers of attenuated sporozoites required to achieve a strong protective immunity with as few doses as possible for possible extension to immunization of humans. © 2010 Voza et al; licensee BioMed Central Ltd.","author":[{"dropping-particle":"","family":"Voza","given":"Tatiana","non-dropping-particle":"","parse-names":false,"suffix":""},{"dropping-particle":"","family":"Kebaier","given":"Chahnaz","non-dropping-particle":"","parse-names":false,"suffix":""},{"dropping-particle":"","family":"Vanderberg","given":"Jerome P.","non-dropping-particle":"","parse-names":false,"suffix":""}],"container-title":"Malaria Journal","id":"ITEM-1","issue":"1","issued":{"date-parts":[["2010"]]},"page":"1-6","title":"Intradermal immunization of mice with radiation-attenuated sporozoites of Plasmodium yoelii induces effective protective immunity","type":"article-journal","volume":"9"},"uris":["http://www.mendeley.com/documents/?uuid=fa9e16c3-d51c-4736-af2a-97ccd1c971be"]}],"mendeley":{"formattedCitation":"(24)","plainTextFormattedCitation":"(24)","previouslyFormattedCitation":"(24)"},"properties":{"noteIndex":0},"schema":"https://github.com/citation-style-language/schema/raw/master/csl-citation.json"}</w:instrText>
      </w:r>
      <w:r>
        <w:fldChar w:fldCharType="separate"/>
      </w:r>
      <w:r>
        <w:t>(24)</w:t>
      </w:r>
      <w:r>
        <w:fldChar w:fldCharType="end"/>
      </w:r>
      <w:r>
        <w:rPr>
          <w:rFonts w:hint="default"/>
          <w:lang w:val="en-US"/>
        </w:rPr>
        <w:t>.</w:t>
      </w:r>
    </w:p>
    <w:p w14:paraId="48E7420A">
      <w:pPr>
        <w:pStyle w:val="22"/>
        <w:spacing w:line="360" w:lineRule="auto"/>
        <w:jc w:val="both"/>
      </w:pPr>
      <w:r>
        <w:t xml:space="preserve">The efficiency and accessibility of healthcare systems are crucial determinants of vaccine acceptance. Physical accessibility to healthcare facilities significantly affects vaccine uptake, particularly in rural and remote areas where mothers face long travel distances and transportation challenges. According to a study conducted in Uganda, logistical barriers can reduce vaccination coverage, especially for mothers with limited resources </w:t>
      </w:r>
      <w:r>
        <w:fldChar w:fldCharType="begin" w:fldLock="1"/>
      </w:r>
      <w:r>
        <w:instrText xml:space="preserve">ADDIN CSL_CITATION {"citationItems":[{"id":"ITEM-1","itemData":{"DOI":"10.1016/s2666-5247(24)00073-9","ISSN":"26665247","author":[{"dropping-particle":"","family":"Venkatesan","given":"Priya","non-dropping-particle":"","parse-names":false,"suffix":""}],"container-title":"The Lancet Microbe","id":"ITEM-1","issue":"6","issued":{"date-parts":[["2024"]]},"page":"e519","publisher":"Elsevier","title":"Routine malaria vaccinations start in Africa","type":"article-journal","volume":"5"},"uris":["http://www.mendeley.com/documents/?uuid=cf35fbe2-684e-49f3-b305-3c4554858281"]}],"mendeley":{"formattedCitation":"(25)","plainTextFormattedCitation":"(25)","previouslyFormattedCitation":"(25)"},"properties":{"noteIndex":0},"schema":"https://github.com/citation-style-language/schema/raw/master/csl-citation.json"}</w:instrText>
      </w:r>
      <w:r>
        <w:fldChar w:fldCharType="separate"/>
      </w:r>
      <w:r>
        <w:t>(25)</w:t>
      </w:r>
      <w:r>
        <w:fldChar w:fldCharType="end"/>
      </w:r>
      <w:r>
        <w:rPr>
          <w:rFonts w:hint="default"/>
          <w:lang w:val="en-US"/>
        </w:rPr>
        <w:t>.</w:t>
      </w:r>
      <w:r>
        <w:t xml:space="preserve"> The availability of malaria vaccines at health facilities is equally important. Inconsistent supply of vaccines or stock outs, as observed in some health systems in West Africa, can lead to mistrust and missed opportunities for vaccination</w:t>
      </w:r>
      <w:r>
        <w:fldChar w:fldCharType="begin" w:fldLock="1"/>
      </w:r>
      <w:r>
        <w:instrText xml:space="preserve">ADDIN CSL_CITATION {"citationItems":[{"id":"ITEM-1","itemData":{"DOI":"10.1186/1475-2875-9-362","ISSN":"14752875","PMID":"21159170","abstract":"Background. Intravenous injection of mice with attenuated Plasmodium berghei sporozoites induces sterile immunity to challenge with viable sporozoites. Non-intravenous routes have been reported to yield poor immunity. Because intravenous immunization has been considered to be unacceptable for large scale vaccination of humans, assessment was made of the results of intradermal immunization of mice with Plasmodium yoelii, a rodent malaria parasite whose infectivity resembles that of human malaria. Methods. Mice were immunized with two injections of isolated, radiation-attenuated P. yoelii sporozoites, either by intravenous (IV) or intradermal (ID) inoculation. In an attempt to enhance protective immunogenicity of ID-injections, one group of experimental mice received topical application of an adjuvant, Imiquimod, while another group had their injections accompanied by local \"tape- stripping\" of the skin, a procedure known to disrupt the stratum corneum and activate local immunocytes. Challenge of immunized and non-immunized control mice was by bite of sporozoite-infected mosquitoes. Degree of protection among the various groups of mice was determined by microscopic examination of stained blood smears. Statistical significance of protection was determined by a one-way ANOVA followed by Tukey's post hoc test. Results. Two intravenous immunizations produced 94% protection to mosquito bite challenge; intradermal immunization produced 78% protection, while intradermal immunization accompanied by \"tape-stripping\" produced 94% protection. There were no statistically significant differences in degree of protective immunity between immunizations done by intravenous versus intradermal injection. Conclusions. The use of a sub-microlitre syringe for intradermal injections yielded excellent protective immunity. ID-immunization with large numbers of radiation-attenuated P. yoelii sporozoites led to levels of protective immunity comparable to those achieved by IV-immunization. It remains to be determined whether an adjuvant treatment can be found to substantially reduce the numbers of attenuated sporozoites required to achieve a strong protective immunity with as few doses as possible for possible extension to immunization of humans. © 2010 Voza et al; licensee BioMed Central Ltd.","author":[{"dropping-particle":"","family":"Voza","given":"Tatiana","non-dropping-particle":"","parse-names":false,"suffix":""},{"dropping-particle":"","family":"Kebaier","given":"Chahnaz","non-dropping-particle":"","parse-names":false,"suffix":""},{"dropping-particle":"","family":"Vanderberg","given":"Jerome P.","non-dropping-particle":"","parse-names":false,"suffix":""}],"container-title":"Malaria Journal","id":"ITEM-1","issue":"1","issued":{"date-parts":[["2010"]]},"page":"1-6","title":"Intradermal immunization of mice with radiation-attenuated sporozoites of Plasmodium yoelii induces effective protective immunity","type":"article-journal","volume":"9"},"uris":["http://www.mendeley.com/documents/?uuid=fa9e16c3-d51c-4736-af2a-97ccd1c971be"]},{"id":"ITEM-2","itemData":{"DOI":"10.1016/s2666-5247(24)00073-9","ISSN":"26665247","author":[{"dropping-particle":"","family":"Venkatesan","given":"Priya","non-dropping-particle":"","parse-names":false,"suffix":""}],"container-title":"The Lancet Microbe","id":"ITEM-2","issue":"6","issued":{"date-parts":[["2024"]]},"page":"e519","publisher":"Elsevier","title":"Routine malaria vaccinations start in Africa","type":"article-journal","volume":"5"},"uris":["http://www.mendeley.com/documents/?uuid=cf35fbe2-684e-49f3-b305-3c4554858281"]}],"mendeley":{"formattedCitation":"(24,25)","plainTextFormattedCitation":"(24,25)","previouslyFormattedCitation":"(24,25)"},"properties":{"noteIndex":0},"schema":"https://github.com/citation-style-language/schema/raw/master/csl-citation.json"}</w:instrText>
      </w:r>
      <w:r>
        <w:fldChar w:fldCharType="separate"/>
      </w:r>
      <w:r>
        <w:t>(24,25)</w:t>
      </w:r>
      <w:r>
        <w:fldChar w:fldCharType="end"/>
      </w:r>
      <w:r>
        <w:t>.</w:t>
      </w:r>
    </w:p>
    <w:p w14:paraId="61332493">
      <w:pPr>
        <w:pStyle w:val="22"/>
        <w:spacing w:line="360" w:lineRule="auto"/>
        <w:jc w:val="both"/>
        <w:rPr>
          <w:rFonts w:hint="default"/>
          <w:lang w:val="en-US"/>
        </w:rPr>
      </w:pPr>
      <w:r>
        <w:t>Quality of healthcare services also influences willingness to accept malaria vaccines. Mothers  who experience long waiting times, poor communication, or inadequate services at health facilities may be less inclined to return for follow-up visits or vaccination. Trust in healthcare providers has emerged as one of the strongest predictors of vaccine acceptance. A study in Kenya demonstrated that mothers who received clear, evidence-based information from trusted healthcare providers exhibited greater confidence in vaccines. Strengthening healthcare systems and improving patient-provider communication are therefore critical in ensuring high acceptance rates for the malaria vaccine</w:t>
      </w:r>
      <w:r>
        <w:fldChar w:fldCharType="begin" w:fldLock="1"/>
      </w:r>
      <w:r>
        <w:instrText xml:space="preserve">ADDIN CSL_CITATION {"citationItems":[{"id":"ITEM-1","itemData":{"DOI":"10.1016/s2666-5247(24)00073-9","ISSN":"26665247","author":[{"dropping-particle":"","family":"Venkatesan","given":"Priya","non-dropping-particle":"","parse-names":false,"suffix":""}],"container-title":"The Lancet Microbe","id":"ITEM-1","issue":"6","issued":{"date-parts":[["2024"]]},"page":"e519","publisher":"Elsevier","title":"Routine malaria vaccinations start in Africa","type":"article-journal","volume":"5"},"uris":["http://www.mendeley.com/documents/?uuid=cf35fbe2-684e-49f3-b305-3c4554858281"]}],"mendeley":{"formattedCitation":"(25)","plainTextFormattedCitation":"(25)","previouslyFormattedCitation":"(25)"},"properties":{"noteIndex":0},"schema":"https://github.com/citation-style-language/schema/raw/master/csl-citation.json"}</w:instrText>
      </w:r>
      <w:r>
        <w:fldChar w:fldCharType="separate"/>
      </w:r>
      <w:r>
        <w:t>(25)</w:t>
      </w:r>
      <w:r>
        <w:fldChar w:fldCharType="end"/>
      </w:r>
      <w:r>
        <w:rPr>
          <w:rFonts w:hint="default"/>
          <w:lang w:val="en-US"/>
        </w:rPr>
        <w:t>.</w:t>
      </w:r>
    </w:p>
    <w:p w14:paraId="7A4D8097">
      <w:pPr>
        <w:pStyle w:val="22"/>
        <w:spacing w:line="360" w:lineRule="auto"/>
        <w:jc w:val="both"/>
        <w:rPr>
          <w:rFonts w:hint="default"/>
          <w:lang w:val="en-US"/>
        </w:rPr>
      </w:pPr>
      <w:r>
        <w:t>Health literacy, which encompasses knowledge and understanding of vaccines and malaria risks, is a crucial factor. Mothers who clearly understand the long-term benefits of vaccination are more willing to accept vaccines for their babies. In studies conducted across several African countries, campaigns highlighting vaccines as cost-effective and preventive tools against severe illness have successfully increased acceptance.</w:t>
      </w:r>
      <w:r>
        <w:fldChar w:fldCharType="begin" w:fldLock="1"/>
      </w:r>
      <w:r>
        <w:instrText xml:space="preserve">ADDIN CSL_CITATION {"citationItems":[{"id":"ITEM-1","itemData":{"abstract":"Excerpt: The NMCP's policy is that all pregnant women should receive at least three doses of sulfadoxine-pyrimethamine (SP) for intermittent preventive treatment in pregnancy (IPTp). In spite of impressive gains in IPTp use, the 70% (MIS 2010) national average hides substantially lower rates in rural areas and among poorer women. Two major barriers to increasing three-dose IPTp coverage are SP stockouts due to procurement issues, and late attendance of women at ANC. In 2012, PMI supported training of provincial- and district-level clinical care teams in providing supervision for IPTp, training of healthcare workers in IPTp, and behavior change communication (BCC) activities to encourage early ANC attendance and to improve SP uptake. With FY 2013 funding, PMI will continue its support of training of health workers in IPTp provision and supervision, and BCC activities related to malaria in pregnancy. In 2011, the NMCP distributed over 4 million nets through mass distribution campaigns and routine distribution at antenatal clinics (ANC) and Expanded Program on Immunization (EPI) clinics. Of all the nets that were distributed, approximately 1.7 million were purchased by PMI. PMI provided 900,000 ITNS to all districts nationwide for routine distribution at all ANC/EPI facilities. An additional 860,146 of PMI-funded nets were distributed through mass distribution campaigns. PMI strengthened its close partnership with the United Kingdom's Department for International Development (DFID) by assisting in the procurement-using DFID's funds-of nearly 1 million nets. PMI also supported an operations research project to examine ITN durability prospectively to better determine when ITNs should be replaced. Results are not yet available. In 2012, PMI procured 833,000 ITNs for ANC/EPI distribution. An additional 80,000 ITNs were procured and provided to the Zambian Anglican Council for distribution along the Angolan and Namibian borders. With FY 2013 funding, PMI will focus on procuring 540,000 nets for routine distribution through ANC/EPI facilities, improving the proper and consistent use of nets, as well as completing the ongoing net durability study.","author":[{"dropping-particle":"","family":"U.S. President's Malaria Initiative","given":"","non-dropping-particle":"","parse-names":false,"suffix":""}],"id":"ITEM-1","issued":{"date-parts":[["2020"]]},"page":"1-55","title":"Ethiopia Malaria Operational Plan FY 2023","type":"article-journal"},"uris":["http://www.mendeley.com/documents/?uuid=c624b263-db12-44dc-bb60-860e9ec44a97"]}],"mendeley":{"formattedCitation":"(26)","plainTextFormattedCitation":"(26)","previouslyFormattedCitation":"(26)"},"properties":{"noteIndex":0},"schema":"https://github.com/citation-style-language/schema/raw/master/csl-citation.json"}</w:instrText>
      </w:r>
      <w:r>
        <w:fldChar w:fldCharType="separate"/>
      </w:r>
      <w:r>
        <w:t>(26)</w:t>
      </w:r>
      <w:r>
        <w:fldChar w:fldCharType="end"/>
      </w:r>
      <w:r>
        <w:t xml:space="preserve"> Similarly, awareness of malaria risks significantly influences decisions. In malaria-endemic regions, mothers who are aware of the disease's consequences, including mortality, exhibit higher vaccine acceptance rates. Conversely, in regions where malaria is perceived as a manageable condition, mothers may show lower interest in vaccination programs Strengthening health literacy through education and awareness campaigns is therefore essential to improve vaccine uptake</w:t>
      </w:r>
      <w:r>
        <w:fldChar w:fldCharType="begin" w:fldLock="1"/>
      </w:r>
      <w:r>
        <w:instrText xml:space="preserve">ADDIN CSL_CITATION {"citationItems":[{"id":"ITEM-1","itemData":{"DOI":"10.1016/s2666-5247(24)00073-9","ISSN":"26665247","author":[{"dropping-particle":"","family":"Venkatesan","given":"Priya","non-dropping-particle":"","parse-names":false,"suffix":""}],"container-title":"The Lancet Microbe","id":"ITEM-1","issue":"6","issued":{"date-parts":[["2024"]]},"page":"e519","publisher":"Elsevier","title":"Routine malaria vaccinations start in Africa","type":"article-journal","volume":"5"},"uris":["http://www.mendeley.com/documents/?uuid=cf35fbe2-684e-49f3-b305-3c4554858281"]},{"id":"ITEM-2","itemData":{"abstract":"Excerpt: The NMCP's policy is that all pregnant women should receive at least three doses of sulfadoxine-pyrimethamine (SP) for intermittent preventive treatment in pregnancy (IPTp). In spite of impressive gains in IPTp use, the 70% (MIS 2010) national average hides substantially lower rates in rural areas and among poorer women. Two major barriers to increasing three-dose IPTp coverage are SP stockouts due to procurement issues, and late attendance of women at ANC. In 2012, PMI supported training of provincial- and district-level clinical care teams in providing supervision for IPTp, training of healthcare workers in IPTp, and behavior change communication (BCC) activities to encourage early ANC attendance and to improve SP uptake. With FY 2013 funding, PMI will continue its support of training of health workers in IPTp provision and supervision, and BCC activities related to malaria in pregnancy. In 2011, the NMCP distributed over 4 million nets through mass distribution campaigns and routine distribution at antenatal clinics (ANC) and Expanded Program on Immunization (EPI) clinics. Of all the nets that were distributed, approximately 1.7 million were purchased by PMI. PMI provided 900,000 ITNS to all districts nationwide for routine distribution at all ANC/EPI facilities. An additional 860,146 of PMI-funded nets were distributed through mass distribution campaigns. PMI strengthened its close partnership with the United Kingdom's Department for International Development (DFID) by assisting in the procurement-using DFID's funds-of nearly 1 million nets. PMI also supported an operations research project to examine ITN durability prospectively to better determine when ITNs should be replaced. Results are not yet available. In 2012, PMI procured 833,000 ITNs for ANC/EPI distribution. An additional 80,000 ITNs were procured and provided to the Zambian Anglican Council for distribution along the Angolan and Namibian borders. With FY 2013 funding, PMI will focus on procuring 540,000 nets for routine distribution through ANC/EPI facilities, improving the proper and consistent use of nets, as well as completing the ongoing net durability study.","author":[{"dropping-particle":"","family":"U.S. President's Malaria Initiative","given":"","non-dropping-particle":"","parse-names":false,"suffix":""}],"id":"ITEM-2","issued":{"date-parts":[["2020"]]},"page":"1-55","title":"Ethiopia Malaria Operational Plan FY 2023","type":"article-journal"},"uris":["http://www.mendeley.com/documents/?uuid=c624b263-db12-44dc-bb60-860e9ec44a97"]}],"mendeley":{"formattedCitation":"(25,26)","plainTextFormattedCitation":"(25,26)","previouslyFormattedCitation":"(25,26)"},"properties":{"noteIndex":0},"schema":"https://github.com/citation-style-language/schema/raw/master/csl-citation.json"}</w:instrText>
      </w:r>
      <w:r>
        <w:fldChar w:fldCharType="separate"/>
      </w:r>
      <w:r>
        <w:t>(25,26)</w:t>
      </w:r>
      <w:r>
        <w:fldChar w:fldCharType="end"/>
      </w:r>
      <w:r>
        <w:rPr>
          <w:rFonts w:hint="default"/>
          <w:lang w:val="en-US"/>
        </w:rPr>
        <w:t>.</w:t>
      </w:r>
    </w:p>
    <w:p w14:paraId="6B32E194">
      <w:pPr>
        <w:pStyle w:val="48"/>
      </w:pPr>
      <w:bookmarkStart w:id="234" w:name="_Toc198635465"/>
      <w:r>
        <w:rPr>
          <w:rStyle w:val="23"/>
          <w:rFonts w:ascii="Times New Roman" w:hAnsi="Times New Roman"/>
          <w:b w:val="0"/>
          <w:bCs w:val="0"/>
        </w:rPr>
        <w:t xml:space="preserve">3. </w:t>
      </w:r>
      <w:r>
        <w:t>Malaria Vaccination administration</w:t>
      </w:r>
      <w:bookmarkEnd w:id="234"/>
    </w:p>
    <w:p w14:paraId="4FE4A790">
      <w:pPr>
        <w:spacing w:line="360" w:lineRule="auto"/>
        <w:rPr>
          <w:rFonts w:ascii="Times New Roman" w:hAnsi="Times New Roman" w:cs="Times New Roman"/>
          <w:sz w:val="24"/>
          <w:szCs w:val="24"/>
        </w:rPr>
      </w:pPr>
    </w:p>
    <w:p w14:paraId="5586AC86">
      <w:pPr>
        <w:spacing w:line="360" w:lineRule="auto"/>
        <w:rPr>
          <w:color w:val="000000" w:themeColor="text1"/>
          <w14:textFill>
            <w14:solidFill>
              <w14:schemeClr w14:val="tx1"/>
            </w14:solidFill>
          </w14:textFill>
        </w:rPr>
      </w:pPr>
      <w:r>
        <w:rPr>
          <w:rFonts w:ascii="Times New Roman" w:hAnsi="Times New Roman" w:cs="Times New Roman"/>
          <w:sz w:val="24"/>
          <w:szCs w:val="24"/>
        </w:rPr>
        <w:t>In areas with highly seasonal malaria transmission (where malaria transmission is largely limited to 4 or 5 months per year), the R21 vaccine was shown to reduce symptomatic cases of malaria by 75% during the 12 months following a 3-dose series. A fourth dose given a year after the third maintained efficacy. This high efficacy is similar to the efficacy demonstrated when RTS,S is given seasonally</w:t>
      </w:r>
      <w:r>
        <w:rPr>
          <w:rFonts w:ascii="Noto Sans" w:hAnsi="Noto Sans" w:cs="Noto Sans"/>
          <w:color w:val="3C4245"/>
          <w:shd w:val="clear" w:color="auto" w:fill="FFFFFF"/>
        </w:rPr>
        <w:t xml:space="preserve"> </w:t>
      </w:r>
      <w:r>
        <w:rPr>
          <w:rFonts w:ascii="Times New Roman" w:hAnsi="Times New Roman" w:cs="Times New Roman"/>
          <w:color w:val="3C4245"/>
          <w:sz w:val="24"/>
          <w:szCs w:val="24"/>
          <w:shd w:val="clear" w:color="auto" w:fill="FFFFFF"/>
        </w:rPr>
        <w:t>(26,27)</w:t>
      </w:r>
      <w:r>
        <w:rPr>
          <w:rFonts w:hint="default" w:ascii="Times New Roman" w:hAnsi="Times New Roman" w:cs="Times New Roman"/>
          <w:color w:val="3C4245"/>
          <w:sz w:val="24"/>
          <w:szCs w:val="24"/>
          <w:shd w:val="clear" w:color="auto" w:fill="FFFFFF"/>
          <w:lang w:val="en-US"/>
        </w:rPr>
        <w:t>.</w:t>
      </w:r>
      <w:r>
        <w:rPr>
          <w:rFonts w:ascii="Times New Roman" w:hAnsi="Times New Roman" w:cs="Times New Roman"/>
          <w:color w:val="3C4245"/>
          <w:sz w:val="24"/>
          <w:szCs w:val="24"/>
          <w:shd w:val="clear" w:color="auto" w:fill="FFFFFF"/>
        </w:rPr>
        <w:t xml:space="preserve"> </w:t>
      </w:r>
      <w:r>
        <w:rPr>
          <w:rFonts w:ascii="Times New Roman" w:hAnsi="Times New Roman" w:cs="Times New Roman"/>
          <w:color w:val="000000" w:themeColor="text1"/>
          <w:sz w:val="24"/>
          <w:szCs w:val="24"/>
          <w:shd w:val="clear" w:color="auto" w:fill="FFFFFF"/>
          <w14:textFill>
            <w14:solidFill>
              <w14:schemeClr w14:val="tx1"/>
            </w14:solidFill>
          </w14:textFill>
        </w:rPr>
        <w:t xml:space="preserve">The vaccine showed good efficacy </w:t>
      </w:r>
      <w:r>
        <w:rPr>
          <w:rStyle w:val="23"/>
          <w:rFonts w:ascii="Times New Roman" w:hAnsi="Times New Roman" w:cs="Times New Roman"/>
          <w:b w:val="0"/>
          <w:bCs w:val="0"/>
          <w:color w:val="000000" w:themeColor="text1"/>
          <w:sz w:val="24"/>
          <w:szCs w:val="24"/>
          <w14:textFill>
            <w14:solidFill>
              <w14:schemeClr w14:val="tx1"/>
            </w14:solidFill>
          </w14:textFill>
        </w:rPr>
        <w:t>(66%)</w:t>
      </w:r>
      <w:r>
        <w:rPr>
          <w:rFonts w:ascii="Times New Roman" w:hAnsi="Times New Roman" w:cs="Times New Roman"/>
          <w:color w:val="000000" w:themeColor="text1"/>
          <w:sz w:val="24"/>
          <w:szCs w:val="24"/>
          <w:shd w:val="clear" w:color="auto" w:fill="FFFFFF"/>
          <w14:textFill>
            <w14:solidFill>
              <w14:schemeClr w14:val="tx1"/>
            </w14:solidFill>
          </w14:textFill>
        </w:rPr>
        <w:t xml:space="preserve"> during the 12 months following the first 3 doses. A fourth dose a year after the third maintained efficacy.  Ministries of health in Malawi, Kenya and Ghana   are delivering the malaria vaccine through their national</w:t>
      </w:r>
      <w:r>
        <w:rPr>
          <w:rFonts w:ascii="Noto Sans" w:hAnsi="Noto Sans" w:cs="Noto Sans"/>
          <w:color w:val="000000" w:themeColor="text1"/>
          <w:shd w:val="clear" w:color="auto" w:fill="FFFFFF"/>
          <w14:textFill>
            <w14:solidFill>
              <w14:schemeClr w14:val="tx1"/>
            </w14:solidFill>
          </w14:textFill>
        </w:rPr>
        <w:t xml:space="preserve"> </w:t>
      </w:r>
      <w:r>
        <w:rPr>
          <w:rFonts w:ascii="Times New Roman" w:hAnsi="Times New Roman" w:cs="Times New Roman"/>
          <w:color w:val="000000" w:themeColor="text1"/>
          <w:sz w:val="24"/>
          <w:szCs w:val="24"/>
          <w:shd w:val="clear" w:color="auto" w:fill="FFFFFF"/>
          <w14:textFill>
            <w14:solidFill>
              <w14:schemeClr w14:val="tx1"/>
            </w14:solidFill>
          </w14:textFill>
        </w:rPr>
        <w:t>immunization programmes. The administration of the four doses of RTS,S/AS01 injection are integrated within the EPI schedules. Based on the WHO recommendations, the respective EPI Programmes identified the best target age for children to receive each dose of RTS,S/AS01, given the existing routine immunization schedule. Ghana and Kenya provide the four doses at 6, 7, 9, and 24 months of age. Malawi opted for a different schedule with the four doses given at 5, 6, 7, and 22 months of age, in an effort to administer the primary vaccination series- and additional protection against malaria- as early as possible</w:t>
      </w:r>
      <w:r>
        <w:rPr>
          <w:color w:val="000000" w:themeColor="text1"/>
          <w14:textFill>
            <w14:solidFill>
              <w14:schemeClr w14:val="tx1"/>
            </w14:solidFill>
          </w14:textFill>
        </w:rPr>
        <w:fldChar w:fldCharType="begin" w:fldLock="1"/>
      </w:r>
      <w:r>
        <w:rPr>
          <w:color w:val="000000" w:themeColor="text1"/>
          <w14:textFill>
            <w14:solidFill>
              <w14:schemeClr w14:val="tx1"/>
            </w14:solidFill>
          </w14:textFill>
        </w:rPr>
        <w:instrText xml:space="preserve">ADDIN CSL_CITATION {"citationItems":[{"id":"ITEM-1","itemData":{"DOI":"10.17269/s41997-021-00593-6","ISBN":"4199702100593","ISSN":"19207476","PMID":"34846704","author":[{"dropping-particle":"","family":"Trottier","given":"Helen","non-dropping-particle":"","parse-names":false,"suffix":""},{"dropping-particle":"","family":"Elliott","given":"Susan J.","non-dropping-particle":"","parse-names":false,"suffix":""}],"container-title":"Canadian Journal of Public Health","id":"ITEM-1","issue":"6","issued":{"date-parts":[["2021"]]},"page":"967-969","publisher":"Springer International Publishing","title":"World Health Organization recommends first malaria vaccine","type":"article-journal","volume":"112"},"uris":["http://www.mendeley.com/documents/?uuid=184417d8-d849-439f-bec2-95aedc926afd"]}],"mendeley":{"formattedCitation":"(27)","plainTextFormattedCitation":"(27)","previouslyFormattedCitation":"(27)"},"properties":{"noteIndex":0},"schema":"https://github.com/citation-style-language/schema/raw/master/csl-citation.json"}</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(27)</w:t>
      </w:r>
      <w:r>
        <w:rPr>
          <w:color w:val="000000" w:themeColor="text1"/>
          <w14:textFill>
            <w14:solidFill>
              <w14:schemeClr w14:val="tx1"/>
            </w14:solidFill>
          </w14:textFill>
        </w:rPr>
        <w:fldChar w:fldCharType="end"/>
      </w:r>
      <w:r>
        <w:rPr>
          <w:rFonts w:hint="default"/>
          <w:color w:val="000000" w:themeColor="text1"/>
          <w:lang w:val="en-US"/>
          <w14:textFill>
            <w14:solidFill>
              <w14:schemeClr w14:val="tx1"/>
            </w14:solidFill>
          </w14:textFill>
        </w:rPr>
        <w:t>.</w:t>
      </w:r>
      <w:r>
        <w:rPr>
          <w:color w:val="000000" w:themeColor="text1"/>
          <w14:textFill>
            <w14:solidFill>
              <w14:schemeClr w14:val="tx1"/>
            </w14:solidFill>
          </w14:textFill>
        </w:rPr>
        <w:t xml:space="preserve">  </w:t>
      </w:r>
    </w:p>
    <w:p w14:paraId="7CFF5C46">
      <w:pPr>
        <w:spacing w:line="360" w:lineRule="auto"/>
        <w:jc w:val="both"/>
        <w:rPr>
          <w:color w:val="000000" w:themeColor="text1"/>
          <w14:textFill>
            <w14:solidFill>
              <w14:schemeClr w14:val="tx1"/>
            </w14:solidFill>
          </w14:textFill>
        </w:rPr>
      </w:pPr>
    </w:p>
    <w:p w14:paraId="4A83CF5E">
      <w:pPr>
        <w:spacing w:line="360" w:lineRule="auto"/>
        <w:rPr>
          <w:rFonts w:hint="default" w:ascii="Times New Roman" w:hAnsi="Times New Roman" w:cs="Times New Roman"/>
          <w:color w:val="000000" w:themeColor="text1"/>
          <w:sz w:val="24"/>
          <w:szCs w:val="24"/>
          <w:shd w:val="clear" w:color="auto" w:fill="FFFFFF"/>
          <w:lang w:val="en-US"/>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However, in areas where vaccines are viewed with suspicion, hesitancy can spread widely The influence of family and peers is another factor.</w:t>
      </w:r>
      <w:r>
        <w:rPr>
          <w:rFonts w:ascii="Times New Roman" w:hAnsi="Times New Roman" w:cs="Times New Roman"/>
          <w:color w:val="000000" w:themeColor="text1"/>
          <w:sz w:val="24"/>
          <w:szCs w:val="24"/>
          <w14:textFill>
            <w14:solidFill>
              <w14:schemeClr w14:val="tx1"/>
            </w14:solidFill>
          </w14:textFill>
        </w:rPr>
        <w:fldChar w:fldCharType="begin" w:fldLock="1"/>
      </w:r>
      <w:r>
        <w:rPr>
          <w:rFonts w:ascii="Times New Roman" w:hAnsi="Times New Roman" w:cs="Times New Roman"/>
          <w:color w:val="000000" w:themeColor="text1"/>
          <w:sz w:val="24"/>
          <w:szCs w:val="24"/>
          <w14:textFill>
            <w14:solidFill>
              <w14:schemeClr w14:val="tx1"/>
            </w14:solidFill>
          </w14:textFill>
        </w:rPr>
        <w:instrText xml:space="preserve">ADDIN CSL_CITATION {"citationItems":[{"id":"ITEM-1","itemData":{"DOI":"10.1177/https","ISBN":"1352458516688","ISSN":"2040-6207","PMID":"28086035","abstract":"In patients with severe hemophilia A, recurrent bleeding into joints results in increased morbidity and reduced quality of life. Prophylaxis using replacement factor products, especially when initiated early, has established benefits in terms of reducing joint bleeds and preserving joint function. Poor adherence to prophylactic regimens is a common cause for breakthrough bleeds and resultant arthropathy. Improving prophylaxis management, especially in the transitional age group, is a challenge. Here, we discuss the current status of ultrasonography (US) in hemophilia A, challenges in its wider implementation, and the potential for use of point-of-care US (POCUS) as an adjunct in the routine management of patients with hemophilia following prophylaxis regimens. Using POCUS, in which US is performed by trained hematologists and nonphysician operators (rather than comprehensive US performed by imaging specialists), specific clinical questions can be addressed in a time-efficient, user-friendly manner to promote adherence to prophylaxis and guide or modify treatment approaches. This review also discusses barriers to acceptance of POCUS as a part of routine management of patients with hemophilia, including questions related to its diagnostic accuracy, dependence on trained operators, agreement on Keywords: appropriate scoring systems, and potential usefulness in patient management.","author":[{"dropping-particle":"","family":"Soiza","given":"Roy L.","non-dropping-particle":"","parse-names":false,"suffix":""},{"dropping-particle":"","family":"Donaldson","given":"Alison I.C.","non-dropping-particle":"","parse-names":false,"suffix":""},{"dropping-particle":"","family":"Myint","given":"Phyo Kyaw","non-dropping-particle":"","parse-names":false,"suffix":""}],"container-title":"Therapeutic Advances in Vaccines","id":"ITEM-1","issue":"6","issued":{"date-parts":[["2018"]]},"page":"259-261","title":"Vaccine against arteriosclerosis: an update","type":"article-journal","volume":"9"},"uris":["http://www.mendeley.com/documents/?uuid=feaa4ff0-167b-4a67-84f5-131ce80a91b9"]}],"mendeley":{"formattedCitation":"(28)","plainTextFormattedCitation":"(28)","previouslyFormattedCitation":"(28)"},"properties":{"noteIndex":0},"schema":"https://github.com/citation-style-language/schema/raw/master/csl-citation.json"}</w:instrText>
      </w:r>
      <w:r>
        <w:rPr>
          <w:rFonts w:ascii="Times New Roman" w:hAnsi="Times New Roman" w:cs="Times New Roman"/>
          <w:color w:val="000000" w:themeColor="text1"/>
          <w:sz w:val="24"/>
          <w:szCs w:val="24"/>
          <w14:textFill>
            <w14:solidFill>
              <w14:schemeClr w14:val="tx1"/>
            </w14:solidFill>
          </w14:textFill>
        </w:rPr>
        <w:fldChar w:fldCharType="separate"/>
      </w:r>
      <w:r>
        <w:rPr>
          <w:rFonts w:ascii="Times New Roman" w:hAnsi="Times New Roman" w:cs="Times New Roman"/>
          <w:color w:val="000000" w:themeColor="text1"/>
          <w:sz w:val="24"/>
          <w:szCs w:val="24"/>
          <w14:textFill>
            <w14:solidFill>
              <w14:schemeClr w14:val="tx1"/>
            </w14:solidFill>
          </w14:textFill>
        </w:rPr>
        <w:t>(28)</w:t>
      </w:r>
      <w:r>
        <w:rPr>
          <w:rFonts w:ascii="Times New Roman" w:hAnsi="Times New Roman" w:cs="Times New Roman"/>
          <w:color w:val="000000" w:themeColor="text1"/>
          <w:sz w:val="24"/>
          <w:szCs w:val="24"/>
          <w14:textFill>
            <w14:solidFill>
              <w14:schemeClr w14:val="tx1"/>
            </w14:solidFill>
          </w14:textFill>
        </w:rPr>
        <w:fldChar w:fldCharType="end"/>
      </w:r>
      <w:r>
        <w:rPr>
          <w:rFonts w:ascii="Times New Roman" w:hAnsi="Times New Roman" w:cs="Times New Roman"/>
          <w:color w:val="000000" w:themeColor="text1"/>
          <w:sz w:val="24"/>
          <w:szCs w:val="24"/>
          <w14:textFill>
            <w14:solidFill>
              <w14:schemeClr w14:val="tx1"/>
            </w14:solidFill>
          </w14:textFill>
        </w:rPr>
        <w:t xml:space="preserve"> Spouses, grandparents, and community leaders often play a pivotal role in shaping mothers’ attitudes toward vaccination. According to a study in Tanzania, mothers who received positive reinforcement from family members or peers were more likely to vaccinate their children. Addressing cultural barriers through tailored, culturally sensitive interventions can help improve vaccine acceptance and address hesitancy effectively</w:t>
      </w:r>
      <w:r>
        <w:rPr>
          <w:rFonts w:ascii="Times New Roman" w:hAnsi="Times New Roman" w:cs="Times New Roman"/>
          <w:color w:val="000000" w:themeColor="text1"/>
          <w:sz w:val="24"/>
          <w:szCs w:val="24"/>
          <w14:textFill>
            <w14:solidFill>
              <w14:schemeClr w14:val="tx1"/>
            </w14:solidFill>
          </w14:textFill>
        </w:rPr>
        <w:fldChar w:fldCharType="begin" w:fldLock="1"/>
      </w:r>
      <w:r>
        <w:rPr>
          <w:rFonts w:ascii="Times New Roman" w:hAnsi="Times New Roman" w:cs="Times New Roman"/>
          <w:color w:val="000000" w:themeColor="text1"/>
          <w:sz w:val="24"/>
          <w:szCs w:val="24"/>
          <w14:textFill>
            <w14:solidFill>
              <w14:schemeClr w14:val="tx1"/>
            </w14:solidFill>
          </w14:textFill>
        </w:rPr>
        <w:instrText xml:space="preserve">ADDIN CSL_CITATION {"citationItems":[{"id":"ITEM-1","itemData":{"DOI":"10.1186/s12936-015-0889-7","ISSN":"14752875","PMID":"26383545","abstract":"Background: Clinical trials of the RTS,S malaria vaccine have completed Phase III and the vaccine is on track for registration. Before making decisions about implementation, it is essential to prepare the ground for introducing the vaccine by assessing awareness and willingness to use malaria vaccines and to provide policy makers with evidence-based information on the best strategies to engage communities to manage the introduction of malaria vaccine in Tanzania. Methods: In November 2011, as part of a large cross-sectional study of all 23 regions of Tanzania (mainland Tanzania and Zanzibar) was conducted during Tanzanian Integrated Measles Campaign (IMC) survey. In this study, the variables of interests were awareness and willingness to use a malaria vaccine. The main outcome measure was willingness to use a malaria vaccine. Logistic regression was used to examine the influence of predictive factors. Results: A representative sample of 5502 (out of 6210) women, aged 18 years or older and with children under 11 months old, was selected to participate, using random sampling probability. Awareness of the forthcoming malaria vaccine, 11.8 % of participants in mainland Tanzania responded affirmatively, compared to 3.4 % in Zanzibar (p value &lt;0.0001). 94.5 % of all respondents were willing to vaccinate their children against malaria, with a slight difference between mainland Tanzania (94.3 %) and Zanzibar (96.8 %) (p value = 0.0167). Conclusions: Although mothers had low awareness and high willingness to use malaria vaccine, still availability of malaria vaccine RTS,S will compliment other existing malaria interventions and it will be implemented through the Immunization, Vaccines and Biologicals (IVB) programme (formerly EPI). The information generated from this study can aid policy makers in planning and setting priorities for introducing and implementing the malaria vaccine.","author":[{"dropping-particle":"","family":"Romore","given":"Idda","non-dropping-particle":"","parse-names":false,"suffix":""},{"dropping-particle":"","family":"Ali","given":"Ali Mohamed","non-dropping-particle":"","parse-names":false,"suffix":""},{"dropping-particle":"","family":"Semali","given":"Innocent","non-dropping-particle":"","parse-names":false,"suffix":""},{"dropping-particle":"","family":"Mshinda","given":"Hassan","non-dropping-particle":"","parse-names":false,"suffix":""},{"dropping-particle":"","family":"Tanner","given":"Marcel","non-dropping-particle":"","parse-names":false,"suffix":""},{"dropping-particle":"","family":"Abdulla","given":"Salim","non-dropping-particle":"","parse-names":false,"suffix":""}],"container-title":"Malaria Journal","id":"ITEM-1","issue":"1","issued":{"date-parts":[["2015"]]},"page":"1-6","publisher":"BioMed Central","title":"Assessment of parental perception of malaria vaccine in Tanzania","type":"article-journal","volume":"14"},"uris":["http://www.mendeley.com/documents/?uuid=7a7f1c93-5615-4108-9621-e181af81be76"]}],"mendeley":{"formattedCitation":"(29)","plainTextFormattedCitation":"(29)","previouslyFormattedCitation":"(29)"},"properties":{"noteIndex":0},"schema":"https://github.com/citation-style-language/schema/raw/master/csl-citation.json"}</w:instrText>
      </w:r>
      <w:r>
        <w:rPr>
          <w:rFonts w:ascii="Times New Roman" w:hAnsi="Times New Roman" w:cs="Times New Roman"/>
          <w:color w:val="000000" w:themeColor="text1"/>
          <w:sz w:val="24"/>
          <w:szCs w:val="24"/>
          <w14:textFill>
            <w14:solidFill>
              <w14:schemeClr w14:val="tx1"/>
            </w14:solidFill>
          </w14:textFill>
        </w:rPr>
        <w:fldChar w:fldCharType="separate"/>
      </w:r>
      <w:r>
        <w:rPr>
          <w:rFonts w:ascii="Times New Roman" w:hAnsi="Times New Roman" w:cs="Times New Roman"/>
          <w:color w:val="000000" w:themeColor="text1"/>
          <w:sz w:val="24"/>
          <w:szCs w:val="24"/>
          <w14:textFill>
            <w14:solidFill>
              <w14:schemeClr w14:val="tx1"/>
            </w14:solidFill>
          </w14:textFill>
        </w:rPr>
        <w:t>(29)</w:t>
      </w:r>
      <w:r>
        <w:rPr>
          <w:rFonts w:ascii="Times New Roman" w:hAnsi="Times New Roman" w:cs="Times New Roman"/>
          <w:color w:val="000000" w:themeColor="text1"/>
          <w:sz w:val="24"/>
          <w:szCs w:val="24"/>
          <w14:textFill>
            <w14:solidFill>
              <w14:schemeClr w14:val="tx1"/>
            </w14:solidFill>
          </w14:textFill>
        </w:rPr>
        <w:fldChar w:fldCharType="end"/>
      </w:r>
      <w:r>
        <w:rPr>
          <w:rFonts w:hint="default" w:ascii="Times New Roman" w:hAnsi="Times New Roman" w:cs="Times New Roman"/>
          <w:color w:val="000000" w:themeColor="text1"/>
          <w:sz w:val="24"/>
          <w:szCs w:val="24"/>
          <w:lang w:val="en-US"/>
          <w14:textFill>
            <w14:solidFill>
              <w14:schemeClr w14:val="tx1"/>
            </w14:solidFill>
          </w14:textFill>
        </w:rPr>
        <w:t>.</w:t>
      </w:r>
    </w:p>
    <w:p w14:paraId="0C241293">
      <w:pPr>
        <w:pStyle w:val="48"/>
        <w:rPr>
          <w:rFonts w:ascii="Times New Roman" w:hAnsi="Times New Roman"/>
        </w:rPr>
      </w:pPr>
      <w:bookmarkStart w:id="235" w:name="_Toc198635466"/>
      <w:r>
        <w:rPr>
          <w:rFonts w:ascii="Times New Roman" w:hAnsi="Times New Roman"/>
        </w:rPr>
        <w:t>4. Knowledge and practice regarding malaria</w:t>
      </w:r>
      <w:bookmarkEnd w:id="235"/>
    </w:p>
    <w:p w14:paraId="6A4DF8EE">
      <w:pPr>
        <w:spacing w:before="100" w:beforeAutospacing="1" w:after="100" w:afterAutospacing="1" w:line="36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Malaria is a disease that disproportionately affects the socioeconomically disadvantaged, with infants and young children suffering the greatest mortality. Socioeconomic inequalities in the malaria burden call for a response that improves equitable access to health services and addresses the disparities related to poverty and other forms of social disadvantage.</w:t>
      </w:r>
      <w:r>
        <w:rPr>
          <w:bCs/>
        </w:rPr>
        <w:t xml:space="preserve"> </w:t>
      </w:r>
      <w:r>
        <w:rPr>
          <w:rFonts w:ascii="Times New Roman" w:hAnsi="Times New Roman" w:eastAsia="Times New Roman" w:cs="Times New Roman"/>
          <w:bCs/>
          <w:sz w:val="24"/>
          <w:szCs w:val="24"/>
        </w:rPr>
        <w:t xml:space="preserve">Anopheles Stephens is a mosquito species that is capable of transmitting both P. falciparum and P. vivax malaria parasites. The vector was originally native to South Asia and parts of the Arabian Peninsula but has been expanding its range over the last decade, with detections reported, to date, in 8 African countries: Djibouti (2012), Ethiopia and Sudan (2016), Somalia (2019), Nigeria (2020) and Eritrea, Ghana and Kenya (2022).  (30)  </w:t>
      </w:r>
    </w:p>
    <w:p w14:paraId="735F1639">
      <w:pPr>
        <w:pStyle w:val="4"/>
        <w:spacing w:line="360" w:lineRule="auto"/>
        <w:rPr>
          <w:rStyle w:val="23"/>
          <w:rFonts w:ascii="Times New Roman" w:hAnsi="Times New Roman" w:cs="Times New Roman"/>
          <w:b w:val="0"/>
          <w:bCs w:val="0"/>
          <w:color w:val="auto"/>
          <w:sz w:val="24"/>
          <w:szCs w:val="24"/>
        </w:rPr>
      </w:pPr>
      <w:bookmarkStart w:id="236" w:name="_Toc198635467"/>
      <w:bookmarkStart w:id="237" w:name="_Toc198621999"/>
      <w:r>
        <w:rPr>
          <w:rStyle w:val="23"/>
          <w:rFonts w:ascii="Times New Roman" w:hAnsi="Times New Roman" w:cs="Times New Roman"/>
          <w:b w:val="0"/>
          <w:bCs w:val="0"/>
          <w:color w:val="auto"/>
          <w:sz w:val="24"/>
          <w:szCs w:val="24"/>
        </w:rPr>
        <w:t>National malaria control programmes are ensuring that existing WHO-recommended prevention tools, such as long-lasting insecticidal nets (LLINs) and artemisinin-based combination therapies (ACTs), continue to be deployed on a wide scale. There is a compilation of key milestones in the development of the Malaria Vaccine Implementation Programme that include country-specific stakeholder engagement and preparations for vaccine introduction [24].</w:t>
      </w:r>
      <w:bookmarkEnd w:id="236"/>
      <w:bookmarkEnd w:id="237"/>
    </w:p>
    <w:p w14:paraId="42638B1A">
      <w:pPr>
        <w:pStyle w:val="48"/>
        <w:rPr>
          <w:rFonts w:ascii="Times New Roman" w:hAnsi="Times New Roman"/>
        </w:rPr>
      </w:pPr>
      <w:bookmarkStart w:id="238" w:name="_Toc198635468"/>
      <w:r>
        <w:rPr>
          <w:rFonts w:ascii="Times New Roman" w:hAnsi="Times New Roman"/>
        </w:rPr>
        <w:t>5. Perceived attitude towards malaria</w:t>
      </w:r>
      <w:bookmarkEnd w:id="238"/>
      <w:r>
        <w:rPr>
          <w:rFonts w:ascii="Times New Roman" w:hAnsi="Times New Roman"/>
        </w:rPr>
        <w:t xml:space="preserve"> </w:t>
      </w:r>
    </w:p>
    <w:p w14:paraId="2F712248">
      <w:pPr>
        <w:pStyle w:val="54"/>
        <w:spacing w:before="120"/>
        <w:rPr>
          <w:rFonts w:ascii="Times New Roman" w:hAnsi="Times New Roman" w:cs="Times New Roman"/>
          <w:b/>
          <w:sz w:val="26"/>
          <w:szCs w:val="26"/>
        </w:rPr>
      </w:pPr>
    </w:p>
    <w:p w14:paraId="1247C69C">
      <w:pPr>
        <w:spacing w:line="36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people suffering from malaria can receive quality health care, close to where they live and work; • communities are fully engaged in the malaria response as care seekers, care providers and in addressing the local factors that increase malaria risk and transmission; • there is an appropriate focus and action on underlying determinants of malaria such as education, environment, poverty and gender; • all malaria control interventions are included in universal health coverage (UHC) packages that benefit from financial protection through health insurance or other health financing schemes(26)</w:t>
      </w:r>
      <w:r>
        <w:rPr>
          <w:rFonts w:hint="default" w:ascii="Times New Roman" w:hAnsi="Times New Roman" w:cs="Times New Roman"/>
          <w:bCs/>
          <w:sz w:val="24"/>
          <w:szCs w:val="24"/>
          <w:lang w:val="en-US"/>
        </w:rPr>
        <w:t>.</w:t>
      </w:r>
    </w:p>
    <w:p w14:paraId="0B6D4309">
      <w:pPr>
        <w:pStyle w:val="48"/>
        <w:rPr>
          <w:rStyle w:val="23"/>
          <w:rFonts w:ascii="Times New Roman" w:hAnsi="Times New Roman"/>
          <w:b w:val="0"/>
          <w:bCs w:val="0"/>
        </w:rPr>
      </w:pPr>
      <w:bookmarkStart w:id="239" w:name="_Toc198635469"/>
    </w:p>
    <w:p w14:paraId="53DFC6B1">
      <w:pPr>
        <w:rPr>
          <w:rStyle w:val="23"/>
          <w:rFonts w:ascii="Times New Roman" w:hAnsi="Times New Roman"/>
          <w:b w:val="0"/>
          <w:bCs w:val="0"/>
        </w:rPr>
      </w:pPr>
    </w:p>
    <w:p w14:paraId="4AF7F36F">
      <w:pPr>
        <w:rPr>
          <w:rStyle w:val="23"/>
          <w:rFonts w:ascii="Times New Roman" w:hAnsi="Times New Roman"/>
          <w:b w:val="0"/>
          <w:bCs w:val="0"/>
        </w:rPr>
      </w:pPr>
    </w:p>
    <w:p w14:paraId="70229842">
      <w:pPr>
        <w:pStyle w:val="48"/>
        <w:rPr>
          <w:rFonts w:ascii="Times New Roman" w:hAnsi="Times New Roman"/>
        </w:rPr>
      </w:pPr>
      <w:r>
        <w:rPr>
          <w:rStyle w:val="23"/>
          <w:rFonts w:ascii="Times New Roman" w:hAnsi="Times New Roman"/>
          <w:b w:val="0"/>
          <w:bCs w:val="0"/>
        </w:rPr>
        <w:t xml:space="preserve">6. </w:t>
      </w:r>
      <w:r>
        <w:rPr>
          <w:rFonts w:ascii="Times New Roman" w:hAnsi="Times New Roman"/>
        </w:rPr>
        <w:t>Experience and Attitude towards immunization program</w:t>
      </w:r>
      <w:bookmarkEnd w:id="239"/>
    </w:p>
    <w:p w14:paraId="22C53D31">
      <w:pPr>
        <w:spacing w:before="100" w:beforeAutospacing="1" w:after="100" w:afterAutospacing="1"/>
        <w:contextualSpacing/>
        <w:rPr>
          <w:rFonts w:ascii="Times New Roman" w:hAnsi="Times New Roman" w:eastAsia="Times New Roman" w:cs="Times New Roman"/>
          <w:b/>
          <w:bCs/>
          <w:sz w:val="24"/>
          <w:szCs w:val="24"/>
        </w:rPr>
      </w:pPr>
    </w:p>
    <w:p w14:paraId="0B48C80B">
      <w:pPr>
        <w:spacing w:line="360" w:lineRule="auto"/>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Immunization is a cost-effective public health importance, during 2021 about 81%of infantes worldwide (105 million) infante receive 3 dos of DPT3 vaccine protecting them against infectious disease that can cause serious illness, death and disability.in Ethiopia vaccine preventable disease are contributing substantially to under 5 mortality.in resent year the EPI coverage is showing encouraging progress after many year of stagnation. the EPI is their for a golden opportunity to increase the immunization coverage for the traditional, under utilized and new rutin EPI vaccine (28,30 )</w:t>
      </w:r>
      <w:r>
        <w:rPr>
          <w:rFonts w:hint="default" w:ascii="Times New Roman" w:hAnsi="Times New Roman" w:eastAsia="Times New Roman" w:cs="Times New Roman"/>
          <w:sz w:val="24"/>
          <w:szCs w:val="24"/>
          <w:lang w:val="en-US"/>
        </w:rPr>
        <w:t>.</w:t>
      </w:r>
      <w:r>
        <w:rPr>
          <w:rFonts w:ascii="Times New Roman" w:hAnsi="Times New Roman" w:eastAsia="Times New Roman" w:cs="Times New Roman"/>
          <w:sz w:val="24"/>
          <w:szCs w:val="24"/>
        </w:rPr>
        <w:t xml:space="preserve">         </w:t>
      </w:r>
    </w:p>
    <w:p w14:paraId="72D3D2DD">
      <w:pPr>
        <w:pStyle w:val="22"/>
        <w:spacing w:before="0" w:beforeAutospacing="0" w:after="0" w:afterAutospacing="0" w:line="360" w:lineRule="auto"/>
        <w:jc w:val="both"/>
        <w:rPr>
          <w:rFonts w:hint="default"/>
          <w:lang w:val="en-US"/>
        </w:rPr>
      </w:pPr>
      <w:r>
        <w:t>Mothers’ attitudes toward immunization are shaped by perceptions of safety, efficacy, and confidence in vaccination programs. Perceived vaccine safety remains a major concern, especially when introducing new vaccines. Studies in Kenya and Uganda found that fears of adverse effects, combined with a lack of information about vaccine safety, contributed to hesitancy among mothers Addressing these fears through transparent communication and evidence-based messaging is crucial</w:t>
      </w:r>
      <w:r>
        <w:fldChar w:fldCharType="begin" w:fldLock="1"/>
      </w:r>
      <w:r>
        <w:instrText xml:space="preserve">ADDIN CSL_CITATION {"citationItems":[{"id":"ITEM-1","itemData":{"DOI":"10.1515/bmc-2012-0010","ISSN":"1868503X","abstract":"A crucial challenge for vaccine development is to design vaccines that induce a long-lasting protective immune response, i.e., immune memory. The persistence of antigen-specific antibody titers over a protective threshold, and the ability to exibit a 'recall response' to a subsequent encounter with an antigen have long been the only measurable correlates of vaccine take and immune memory development, suffering from the disadvantage of relying on long-term monitoring of the immune response. In the last few years, advances in the technologies for the identification and characterization of the cell subsets and molecular pathways involved in the immune response to vaccination have allowed innovative approaches to the identification of early correlates of immune memory. In this review, we discuss recent data and hypotheses on early correlates of the development of immune memory, with special emphasis on the gene expression signatures that underlie the self-renewal ability of some lymphocyte subsets, and their similarities with gene expression signatures in stem cells.","author":[{"dropping-particle":"","family":"Prisco","given":"Antonella","non-dropping-particle":"","parse-names":false,"suffix":""},{"dropping-particle":"","family":"Berardinis","given":"Piergiuseppe","non-dropping-particle":"De","parse-names":false,"suffix":""}],"container-title":"Biomolecular Concepts","id":"ITEM-1","issue":"5","issued":{"date-parts":[["2012"]]},"page":"479-486","title":"Memory immune response: A major challenge in vaccination","type":"article-journal","volume":"3"},"uris":["http://www.mendeley.com/documents/?uuid=af0c2324-762a-4f2c-a9cc-26323fb36261"]}],"mendeley":{"formattedCitation":"(30)","plainTextFormattedCitation":"(30)","previouslyFormattedCitation":"(30)"},"properties":{"noteIndex":0},"schema":"https://github.com/citation-style-language/schema/raw/master/csl-citation.json"}</w:instrText>
      </w:r>
      <w:r>
        <w:fldChar w:fldCharType="separate"/>
      </w:r>
      <w:r>
        <w:t>(30)</w:t>
      </w:r>
      <w:r>
        <w:fldChar w:fldCharType="end"/>
      </w:r>
      <w:r>
        <w:rPr>
          <w:rFonts w:hint="default"/>
          <w:lang w:val="en-US"/>
        </w:rPr>
        <w:t>.</w:t>
      </w:r>
    </w:p>
    <w:p w14:paraId="2F7E55E9">
      <w:pPr>
        <w:pStyle w:val="22"/>
        <w:spacing w:before="0" w:beforeAutospacing="0" w:after="0" w:afterAutospacing="0" w:line="360" w:lineRule="auto"/>
        <w:rPr>
          <w:rFonts w:hint="default"/>
          <w:lang w:val="en-US"/>
        </w:rPr>
      </w:pPr>
      <w:r>
        <w:t>Confidence in vaccination programs also determines acceptance. Programs that demonstrate consistency, reliability, and effectiveness are more likely to gain public trust. In countries like Ghana and Zambia, vaccination campaigns that involved trusted community leaders and healthcare workers successfully improved vaccine acceptance.</w:t>
      </w:r>
      <w:r>
        <w:fldChar w:fldCharType="begin" w:fldLock="1"/>
      </w:r>
      <w:r>
        <w:instrText xml:space="preserve">ADDIN CSL_CITATION {"citationItems":[{"id":"ITEM-1","itemData":{"author":[{"dropping-particle":"","family":"Practice","given":"Immunization In","non-dropping-particle":"","parse-names":false,"suffix":""},{"dropping-particle":"","family":"Guide","given":"Facilitator","non-dropping-particle":"","parse-names":false,"suffix":""}],"id":"ITEM-1","issue":"1","issued":{"date-parts":[["0"]]},"page":"84-87","title":"Immunization In Practice Facilitator Guide","type":"article-journal"},"uris":["http://www.mendeley.com/documents/?uuid=9cf0633c-5efb-48bc-8386-9281941c19c2"]}],"mendeley":{"formattedCitation":"(31)","plainTextFormattedCitation":"(31)","previouslyFormattedCitation":"(31)"},"properties":{"noteIndex":0},"schema":"https://github.com/citation-style-language/schema/raw/master/csl-citation.json"}</w:instrText>
      </w:r>
      <w:r>
        <w:fldChar w:fldCharType="separate"/>
      </w:r>
      <w:r>
        <w:t>(31)</w:t>
      </w:r>
      <w:r>
        <w:fldChar w:fldCharType="end"/>
      </w:r>
      <w:r>
        <w:t xml:space="preserve"> Transparent implementation and clear communication about vaccine safety and efficacy are therefore critical for fostering confidence </w:t>
      </w:r>
      <w:bookmarkStart w:id="240" w:name="_Toc185190144"/>
      <w:r>
        <w:t>in malaria vaccination programs</w:t>
      </w:r>
      <w:r>
        <w:fldChar w:fldCharType="begin" w:fldLock="1"/>
      </w:r>
      <w:r>
        <w:instrText xml:space="preserve">ADDIN CSL_CITATION {"citationItems":[{"id":"ITEM-1","itemData":{"DOI":"10.1016/j.vaccine.2019.10.077","ISSN":"18732518","PMID":"31708182","abstract":"Background: We assessed the safety and immunogenicity of the RTS,S/AS01 malaria vaccine in a subset of children identified as HIV-infected during a large phase III randomized controlled trial conducted in seven sub-Saharan African countries. Methods: Infants 6–12 weeks and children 5–17 months old were randomized to receive 4 RTS,S/AS01 doses (R3R group), 3 RTS,S/AS01 doses plus 1 comparator vaccine dose (R3C group), or 4 comparator vaccine doses (C3C group) at study months 0, 1, 2 and 20. Infants and children with WHO stage III/IV HIV disease were excluded but HIV testing was not routinely performed on all participants; our analyses included children identified as HIV-infected based on medical history or clinical suspicion and confirmed by polymerase chain reaction or antibody testing. Serious adverse events (SAEs) and anti-circumsporozoite (CS) antibodies were assessed. Results: Of 15459 children enrolled in the trial, at least 1953 were tested for HIV and 153 were confirmed as HIV-infected (R3R: 51; R3C: 54; C3C: 48). Among these children, SAEs were reported for 92.2% (95% CI: 81.1–97.8) in the R3R, 85.2% (72.9–93.4) in the R3C and 87.5% (74.8–95.3) in the C3C group over a median follow-up of 39.3, 39.4 and 38.3 months, respectively. Fifteen HIV-infected participants in each group (R3R: 29.4%, R3C: 27.8%, C3C: 31.3%) died during the study. No deaths were considered vaccination-related. In a matched case-control analysis, 1 month post dose 3 anti-CS geometric mean antibody concentrations were 193.3 EU/mL in RTS,S/AS01-vaccinated HIV-infected children and 491.5 EU/mL in RTS,S/AS01-vaccinated immunogenicity controls with unknown or negative HIV status (p = 0.0001). Conclusions: The safety profile of RTS,S/AS01 in HIV-infected children was comparable to that of the comparator (meningococcal or rabies) vaccines. RTS,S/AS01 was immunogenic in HIV-infected children but antibody concentrations were lower than in children with an unknown or negative HIV status. Clinical trial registration: ClinicalTrials.gov: NCT00866619.","author":[{"dropping-particle":"","family":"Otieno","given":"Lucas","non-dropping-particle":"","parse-names":false,"suffix":""},{"dropping-particle":"","family":"Guerra Mendoza","given":"Yolanda","non-dropping-particle":"","parse-names":false,"suffix":""},{"dropping-particle":"","family":"Adjei","given":"Samuel","non-dropping-particle":"","parse-names":false,"suffix":""},{"dropping-particle":"","family":"Agbenyega","given":"Tsiri","non-dropping-particle":"","parse-names":false,"suffix":""},{"dropping-particle":"","family":"Agnandji","given":"Selidji Todagbe","non-dropping-particle":"","parse-names":false,"suffix":""},{"dropping-particle":"","family":"Aide","given":"Pedro","non-dropping-particle":"","parse-names":false,"suffix":""},{"dropping-particle":"","family":"Akoo","given":"Pauline","non-dropping-particle":"","parse-names":false,"suffix":""},{"dropping-particle":"","family":"Ansong","given":"Daniel","non-dropping-particle":"","parse-names":false,"suffix":""},{"dropping-particle":"","family":"Asante","given":"Kwaku Poku","non-dropping-particle":"","parse-names":false,"suffix":""},{"dropping-particle":"","family":"Berkley","given":"James A.","non-dropping-particle":"","parse-names":false,"suffix":""},{"dropping-particle":"","family":"Gesase","given":"Samwel","non-dropping-particle":"","parse-names":false,"suffix":""},{"dropping-particle":"","family":"Hamel","given":"Mary J.","non-dropping-particle":"","parse-names":false,"suffix":""},{"dropping-particle":"","family":"Hoffman","given":"Irving","non-dropping-particle":"","parse-names":false,"suffix":""},{"dropping-particle":"","family":"Kaali","given":"Seyram","non-dropping-particle":"","parse-names":false,"suffix":""},{"dropping-particle":"","family":"Kamthunzi","given":"Portia","non-dropping-particle":"","parse-names":false,"suffix":""},{"dropping-particle":"","family":"Kariuki","given":"Simon","non-dropping-particle":"","parse-names":false,"suffix":""},{"dropping-particle":"","family":"Kremsner","given":"Peter","non-dropping-particle":"","parse-names":false,"suffix":""},{"dropping-particle":"","family":"Lanaspa","given":"Miguel","non-dropping-particle":"","parse-names":false,"suffix":""},{"dropping-particle":"","family":"Lell","given":"Bertrand","non-dropping-particle":"","parse-names":false,"suffix":""},{"dropping-particle":"","family":"Lievens","given":"Marc","non-dropping-particle":"","parse-names":false,"suffix":""},{"dropping-particle":"","family":"Lusingu","given":"John","non-dropping-particle":"","parse-names":false,"suffix":""},{"dropping-particle":"","family":"Malabeja","given":"Anangisye","non-dropping-particle":"","parse-names":false,"suffix":""},{"dropping-particle":"","family":"Masoud","given":"Nahya Salim","non-dropping-particle":"","parse-names":false,"suffix":""},{"dropping-particle":"","family":"Mtoro","given":"Ali Takadir","non-dropping-particle":"","parse-names":false,"suffix":""},{"dropping-particle":"","family":"Njuguna","given":"Patricia","non-dropping-particle":"","parse-names":false,"suffix":""},{"dropping-particle":"","family":"Ofori-Anyinam","given":"Opokua","non-dropping-particle":"","parse-names":false,"suffix":""},{"dropping-particle":"","family":"Otieno","given":"Godfrey Allan","non-dropping-particle":"","parse-names":false,"suffix":""},{"dropping-particle":"","family":"Otieno","given":"Walter","non-dropping-particle":"","parse-names":false,"suffix":""},{"dropping-particle":"","family":"Owusu-Agyei","given":"Seth","non-dropping-particle":"","parse-names":false,"suffix":""},{"dropping-particle":"","family":"Schuerman","given":"Lode","non-dropping-particle":"","parse-names":false,"suffix":""},{"dropping-particle":"","family":"Sorgho","given":"Hermann","non-dropping-particle":"","parse-names":false,"suffix":""},{"dropping-particle":"","family":"Tanner","given":"Marcel","non-dropping-particle":"","parse-names":false,"suffix":""},{"dropping-particle":"","family":"Tinto","given":"Halidou","non-dropping-particle":"","parse-names":false,"suffix":""},{"dropping-particle":"","family":"Valea","given":"Innocent","non-dropping-particle":"","parse-names":false,"suffix":""},{"dropping-particle":"","family":"Vandoolaeghe","given":"Pascale","non-dropping-particle":"","parse-names":false,"suffix":""},{"dropping-particle":"","family":"Sacarlal","given":"Jahit","non-dropping-particle":"","parse-names":false,"suffix":""},{"dropping-particle":"","family":"Oneko","given":"Martina","non-dropping-particle":"","parse-names":false,"suffix":""}],"container-title":"Vaccine","id":"ITEM-1","issue":"4","issued":{"date-parts":[["2020"]]},"page":"897-906","publisher":"GlaxoSmithKline Biologicals S.A.","title":"Safety and immunogenicity of the RTS,S/AS01 malaria vaccine in infants and children identified as HIV-infected during a randomized trial in sub-Saharan Africa","type":"article-journal","volume":"38"},"uris":["http://www.mendeley.com/documents/?uuid=1f04c89f-3f74-43f4-9440-4318c4def7e6"]}],"mendeley":{"formattedCitation":"(32)","plainTextFormattedCitation":"(32)","previouslyFormattedCitation":"(32)"},"properties":{"noteIndex":0},"schema":"https://github.com/citation-style-language/schema/raw/master/csl-citation.json"}</w:instrText>
      </w:r>
      <w:r>
        <w:fldChar w:fldCharType="separate"/>
      </w:r>
      <w:r>
        <w:t>(32)</w:t>
      </w:r>
      <w:r>
        <w:fldChar w:fldCharType="end"/>
      </w:r>
      <w:r>
        <w:rPr>
          <w:rFonts w:hint="default"/>
          <w:lang w:val="en-US"/>
        </w:rPr>
        <w:t>.</w:t>
      </w:r>
    </w:p>
    <w:p w14:paraId="5EC39454">
      <w:pPr>
        <w:spacing w:after="200" w:line="276" w:lineRule="auto"/>
        <w:rPr>
          <w:rFonts w:ascii="Times New Roman" w:hAnsi="Times New Roman" w:eastAsia="Times New Roman" w:cs="Times New Roman"/>
          <w:sz w:val="24"/>
          <w:szCs w:val="24"/>
        </w:rPr>
      </w:pPr>
      <w:r>
        <w:br w:type="page"/>
      </w:r>
    </w:p>
    <w:p w14:paraId="186AC511">
      <w:pPr>
        <w:rPr>
          <w:rStyle w:val="37"/>
        </w:rPr>
      </w:pPr>
      <w:r>
        <w:rPr>
          <w:rFonts w:ascii="Times New Roman" w:hAnsi="Times New Roman" w:cs="Times New Roman" w:eastAsiaTheme="majorEastAsia"/>
          <w:sz w:val="26"/>
          <w:szCs w:val="26"/>
        </w:rPr>
        <w:t xml:space="preserve">2.3. </w:t>
      </w:r>
      <w:r>
        <w:rPr>
          <w:rStyle w:val="37"/>
        </w:rPr>
        <w:t>Conceptual Frame Work</w:t>
      </w:r>
    </w:p>
    <w:p w14:paraId="013BB635">
      <w:pPr>
        <w:keepNext/>
        <w:keepLines/>
        <w:spacing w:before="200" w:line="360" w:lineRule="auto"/>
        <w:jc w:val="both"/>
        <w:outlineLvl w:val="1"/>
        <w:rPr>
          <w:rStyle w:val="37"/>
        </w:rPr>
      </w:pPr>
    </w:p>
    <w:p w14:paraId="067103EF">
      <w:r>
        <w:rPr>
          <w:rFonts w:ascii="Times New Roman" w:hAnsi="Times New Roman" w:cs="Times New Roman" w:eastAsiaTheme="majorEastAsia"/>
          <w:b/>
          <w:bCs/>
          <w:sz w:val="26"/>
          <w:szCs w:val="26"/>
          <w:lang w:val="en-GB" w:eastAsia="en-GB"/>
        </w:rPr>
        <mc:AlternateContent>
          <mc:Choice Requires="wps">
            <w:drawing>
              <wp:anchor distT="0" distB="0" distL="114300" distR="114300" simplePos="0" relativeHeight="251666432" behindDoc="0" locked="0" layoutInCell="1" allowOverlap="1">
                <wp:simplePos x="0" y="0"/>
                <wp:positionH relativeFrom="column">
                  <wp:posOffset>3468370</wp:posOffset>
                </wp:positionH>
                <wp:positionV relativeFrom="paragraph">
                  <wp:posOffset>5080</wp:posOffset>
                </wp:positionV>
                <wp:extent cx="609600" cy="762000"/>
                <wp:effectExtent l="38100" t="0" r="19050" b="57150"/>
                <wp:wrapNone/>
                <wp:docPr id="5" name="Straight Arrow Connector 5"/>
                <wp:cNvGraphicFramePr/>
                <a:graphic xmlns:a="http://schemas.openxmlformats.org/drawingml/2006/main">
                  <a:graphicData uri="http://schemas.microsoft.com/office/word/2010/wordprocessingShape">
                    <wps:wsp>
                      <wps:cNvCnPr/>
                      <wps:spPr>
                        <a:xfrm flipH="1">
                          <a:off x="0" y="0"/>
                          <a:ext cx="609600" cy="762000"/>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273.1pt;margin-top:0.4pt;height:60pt;width:48pt;z-index:251666432;mso-width-relative:page;mso-height-relative:page;" filled="f" stroked="t" coordsize="21600,21600" o:gfxdata="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p7uc7NQAAAAIAQAADwAAAAAAAAABACAAAAAiAAAAZHJzL2Rv&#10;d25yZXYueG1sUEsBAhQAFAAAAAgAh07iQLc/jIcFAgAAEgQAAA4AAAAAAAAAAQAgAAAAIwEAAGRy&#10;cy9lMm9Eb2MueG1sUEsFBgAAAAAGAAYAWQEAAJoFAAAAAA==&#10;">
                <v:fill on="f" focussize="0,0"/>
                <v:stroke weight="1.5pt" color="#4A7EBB [3204]" joinstyle="round" endarrow="open"/>
                <v:imagedata o:title=""/>
                <o:lock v:ext="edit" aspectratio="f"/>
              </v:shape>
            </w:pict>
          </mc:Fallback>
        </mc:AlternateContent>
      </w:r>
    </w:p>
    <w:p w14:paraId="6519FF3A">
      <w:r>
        <w:rPr>
          <w:lang w:val="en-GB" w:eastAsia="en-GB"/>
        </w:rPr>
        <mc:AlternateContent>
          <mc:Choice Requires="wps">
            <w:drawing>
              <wp:anchor distT="0" distB="0" distL="114300" distR="114300" simplePos="0" relativeHeight="251664384" behindDoc="0" locked="0" layoutInCell="1" allowOverlap="1">
                <wp:simplePos x="0" y="0"/>
                <wp:positionH relativeFrom="margin">
                  <wp:align>left</wp:align>
                </wp:positionH>
                <wp:positionV relativeFrom="paragraph">
                  <wp:posOffset>6350</wp:posOffset>
                </wp:positionV>
                <wp:extent cx="2076450" cy="2381250"/>
                <wp:effectExtent l="0" t="0" r="19050" b="19050"/>
                <wp:wrapNone/>
                <wp:docPr id="9" name="Text Box 9"/>
                <wp:cNvGraphicFramePr/>
                <a:graphic xmlns:a="http://schemas.openxmlformats.org/drawingml/2006/main">
                  <a:graphicData uri="http://schemas.microsoft.com/office/word/2010/wordprocessingShape">
                    <wps:wsp>
                      <wps:cNvSpPr txBox="1"/>
                      <wps:spPr>
                        <a:xfrm>
                          <a:off x="0" y="0"/>
                          <a:ext cx="2076450" cy="2381250"/>
                        </a:xfrm>
                        <a:prstGeom prst="rect">
                          <a:avLst/>
                        </a:prstGeom>
                      </wps:spPr>
                      <wps:style>
                        <a:lnRef idx="2">
                          <a:schemeClr val="accent5"/>
                        </a:lnRef>
                        <a:fillRef idx="1">
                          <a:schemeClr val="lt1"/>
                        </a:fillRef>
                        <a:effectRef idx="0">
                          <a:schemeClr val="accent5"/>
                        </a:effectRef>
                        <a:fontRef idx="minor">
                          <a:schemeClr val="dk1"/>
                        </a:fontRef>
                      </wps:style>
                      <wps:txbx>
                        <w:txbxContent>
                          <w:p w14:paraId="5589C082">
                            <w:pPr>
                              <w:spacing w:before="100" w:beforeAutospacing="1" w:after="100" w:afterAutospacing="1"/>
                              <w:contextualSpacing/>
                              <w:rPr>
                                <w:rFonts w:ascii="Times New Roman" w:hAnsi="Times New Roman" w:eastAsia="Times New Roman" w:cs="Times New Roman"/>
                                <w:b/>
                                <w:sz w:val="24"/>
                                <w:szCs w:val="24"/>
                              </w:rPr>
                            </w:pPr>
                            <w:r>
                              <w:rPr>
                                <w:rFonts w:ascii="Times New Roman" w:hAnsi="Times New Roman" w:eastAsia="Times New Roman" w:cs="Times New Roman"/>
                                <w:b/>
                                <w:sz w:val="24"/>
                                <w:szCs w:val="24"/>
                              </w:rPr>
                              <w:t>Socio</w:t>
                            </w:r>
                            <w:r>
                              <w:rPr>
                                <w:rFonts w:ascii="Times New Roman" w:hAnsi="Times New Roman" w:eastAsia="Times New Roman" w:cs="Times New Roman"/>
                                <w:b/>
                                <w:bCs/>
                                <w:sz w:val="24"/>
                                <w:szCs w:val="24"/>
                              </w:rPr>
                              <w:t>-Demographic Factors</w:t>
                            </w:r>
                          </w:p>
                          <w:p w14:paraId="26EF883E">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Age of the mother</w:t>
                            </w:r>
                          </w:p>
                          <w:p w14:paraId="02A1738D">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Gender of the Child </w:t>
                            </w:r>
                          </w:p>
                          <w:p w14:paraId="1C5D7DCC">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Age of the child</w:t>
                            </w:r>
                          </w:p>
                          <w:p w14:paraId="7E0E83A2">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Education level</w:t>
                            </w:r>
                          </w:p>
                          <w:p w14:paraId="0059CBA6">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Marital status</w:t>
                            </w:r>
                          </w:p>
                          <w:p w14:paraId="664A499C">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Number of children alive</w:t>
                            </w:r>
                          </w:p>
                          <w:p w14:paraId="76E64FFA">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Religion </w:t>
                            </w:r>
                          </w:p>
                          <w:p w14:paraId="6E2B7513">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Ethnicity </w:t>
                            </w:r>
                          </w:p>
                          <w:p w14:paraId="0CCD89CF">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Occupation</w:t>
                            </w:r>
                          </w:p>
                          <w:p w14:paraId="6E0C208C">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Income</w:t>
                            </w:r>
                          </w:p>
                          <w:p w14:paraId="077A5450">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Residence area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top:0.5pt;height:187.5pt;width:163.5pt;mso-position-horizontal:left;mso-position-horizontal-relative:margin;z-index:251664384;mso-width-relative:page;mso-height-relative:page;" fillcolor="#FFFFFF [3201]" filled="t" stroked="t" coordsize="21600,21600" o:gfxdata="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Dqu1tvUAAAABgEAAA8AAAAAAAAAAQAgAAAAIgAAAGRycy9kb3ducmV2LnhtbFBLAQIUABQA&#10;AAAIAIdO4kCbIWZ1ZgIAAPMEAAAOAAAAAAAAAAEAIAAAACMBAABkcnMvZTJvRG9jLnhtbFBLBQYA&#10;AAAABgAGAFkBAAD7BQAAAAA=&#10;">
                <v:fill on="t" focussize="0,0"/>
                <v:stroke weight="2pt" color="#4BACC6 [3208]" joinstyle="round"/>
                <v:imagedata o:title=""/>
                <o:lock v:ext="edit" aspectratio="f"/>
                <v:textbox>
                  <w:txbxContent>
                    <w:p w14:paraId="5589C082">
                      <w:pPr>
                        <w:spacing w:before="100" w:beforeAutospacing="1" w:after="100" w:afterAutospacing="1"/>
                        <w:contextualSpacing/>
                        <w:rPr>
                          <w:rFonts w:ascii="Times New Roman" w:hAnsi="Times New Roman" w:eastAsia="Times New Roman" w:cs="Times New Roman"/>
                          <w:b/>
                          <w:sz w:val="24"/>
                          <w:szCs w:val="24"/>
                        </w:rPr>
                      </w:pPr>
                      <w:r>
                        <w:rPr>
                          <w:rFonts w:ascii="Times New Roman" w:hAnsi="Times New Roman" w:eastAsia="Times New Roman" w:cs="Times New Roman"/>
                          <w:b/>
                          <w:sz w:val="24"/>
                          <w:szCs w:val="24"/>
                        </w:rPr>
                        <w:t>Socio</w:t>
                      </w:r>
                      <w:r>
                        <w:rPr>
                          <w:rFonts w:ascii="Times New Roman" w:hAnsi="Times New Roman" w:eastAsia="Times New Roman" w:cs="Times New Roman"/>
                          <w:b/>
                          <w:bCs/>
                          <w:sz w:val="24"/>
                          <w:szCs w:val="24"/>
                        </w:rPr>
                        <w:t>-Demographic Factors</w:t>
                      </w:r>
                    </w:p>
                    <w:p w14:paraId="26EF883E">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Age of the mother</w:t>
                      </w:r>
                    </w:p>
                    <w:p w14:paraId="02A1738D">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Gender of the Child </w:t>
                      </w:r>
                    </w:p>
                    <w:p w14:paraId="1C5D7DCC">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Age of the child</w:t>
                      </w:r>
                    </w:p>
                    <w:p w14:paraId="7E0E83A2">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Education level</w:t>
                      </w:r>
                    </w:p>
                    <w:p w14:paraId="0059CBA6">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Marital status</w:t>
                      </w:r>
                    </w:p>
                    <w:p w14:paraId="664A499C">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Number of children alive</w:t>
                      </w:r>
                    </w:p>
                    <w:p w14:paraId="76E64FFA">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Religion </w:t>
                      </w:r>
                    </w:p>
                    <w:p w14:paraId="6E2B7513">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Ethnicity </w:t>
                      </w:r>
                    </w:p>
                    <w:p w14:paraId="0CCD89CF">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Occupation</w:t>
                      </w:r>
                    </w:p>
                    <w:p w14:paraId="6E0C208C">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Income</w:t>
                      </w:r>
                    </w:p>
                    <w:p w14:paraId="077A5450">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Residence area  </w:t>
                      </w:r>
                    </w:p>
                  </w:txbxContent>
                </v:textbox>
              </v:shape>
            </w:pict>
          </mc:Fallback>
        </mc:AlternateContent>
      </w:r>
      <w:r>
        <w:rPr>
          <w:rFonts w:ascii="Times New Roman" w:hAnsi="Times New Roman" w:cs="Times New Roman"/>
          <w:sz w:val="24"/>
          <w:szCs w:val="24"/>
          <w:lang w:val="en-GB" w:eastAsia="en-GB"/>
        </w:rPr>
        <mc:AlternateContent>
          <mc:Choice Requires="wps">
            <w:drawing>
              <wp:anchor distT="0" distB="0" distL="114300" distR="114300" simplePos="0" relativeHeight="251671552" behindDoc="0" locked="1" layoutInCell="1" allowOverlap="1">
                <wp:simplePos x="0" y="0"/>
                <wp:positionH relativeFrom="page">
                  <wp:posOffset>4867275</wp:posOffset>
                </wp:positionH>
                <wp:positionV relativeFrom="paragraph">
                  <wp:posOffset>-372745</wp:posOffset>
                </wp:positionV>
                <wp:extent cx="2790825" cy="831850"/>
                <wp:effectExtent l="0" t="0" r="28575" b="25400"/>
                <wp:wrapNone/>
                <wp:docPr id="49" name="Text Box 49"/>
                <wp:cNvGraphicFramePr/>
                <a:graphic xmlns:a="http://schemas.openxmlformats.org/drawingml/2006/main">
                  <a:graphicData uri="http://schemas.microsoft.com/office/word/2010/wordprocessingShape">
                    <wps:wsp>
                      <wps:cNvSpPr txBox="1"/>
                      <wps:spPr>
                        <a:xfrm>
                          <a:off x="0" y="0"/>
                          <a:ext cx="2790825" cy="831850"/>
                        </a:xfrm>
                        <a:prstGeom prst="rect">
                          <a:avLst/>
                        </a:prstGeom>
                        <a:solidFill>
                          <a:sysClr val="window" lastClr="FFFFFF"/>
                        </a:solidFill>
                        <a:ln w="19050" cap="flat" cmpd="sng" algn="ctr">
                          <a:solidFill>
                            <a:schemeClr val="accent1">
                              <a:alpha val="90000"/>
                            </a:schemeClr>
                          </a:solidFill>
                          <a:prstDash val="solid"/>
                          <a:miter lim="800000"/>
                        </a:ln>
                        <a:effectLst/>
                      </wps:spPr>
                      <wps:txbx>
                        <w:txbxContent>
                          <w:p w14:paraId="0C135180">
                            <w:pPr>
                              <w:spacing w:before="100" w:beforeAutospacing="1" w:after="100" w:afterAutospacing="1"/>
                              <w:contextualSpacing/>
                              <w:rPr>
                                <w:rFonts w:ascii="Times New Roman" w:hAnsi="Times New Roman" w:eastAsia="Times New Roman" w:cs="Times New Roman"/>
                                <w:b/>
                                <w:sz w:val="18"/>
                                <w:szCs w:val="18"/>
                              </w:rPr>
                            </w:pPr>
                            <w:r>
                              <w:rPr>
                                <w:rFonts w:ascii="Times New Roman" w:hAnsi="Times New Roman" w:eastAsia="Times New Roman" w:cs="Times New Roman"/>
                                <w:b/>
                                <w:sz w:val="18"/>
                                <w:szCs w:val="18"/>
                              </w:rPr>
                              <w:t>Malaria Vaccination administration</w:t>
                            </w:r>
                          </w:p>
                          <w:p w14:paraId="3B984795">
                            <w:pPr>
                              <w:pStyle w:val="51"/>
                              <w:numPr>
                                <w:ilvl w:val="0"/>
                                <w:numId w:val="2"/>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Frequency/dose </w:t>
                            </w:r>
                          </w:p>
                          <w:p w14:paraId="3C5A064A">
                            <w:pPr>
                              <w:pStyle w:val="51"/>
                              <w:numPr>
                                <w:ilvl w:val="0"/>
                                <w:numId w:val="2"/>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Route of administration </w:t>
                            </w:r>
                          </w:p>
                          <w:p w14:paraId="6045366B">
                            <w:pPr>
                              <w:pStyle w:val="51"/>
                              <w:numPr>
                                <w:ilvl w:val="0"/>
                                <w:numId w:val="2"/>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Peer and family pressure</w:t>
                            </w:r>
                          </w:p>
                          <w:p w14:paraId="7D492CEB">
                            <w:pPr>
                              <w:pStyle w:val="51"/>
                              <w:numPr>
                                <w:ilvl w:val="0"/>
                                <w:numId w:val="2"/>
                              </w:numPr>
                              <w:spacing w:before="100" w:beforeAutospacing="1" w:after="100" w:afterAutospacing="1"/>
                              <w:rPr>
                                <w:rFonts w:ascii="Times New Roman" w:hAnsi="Times New Roman" w:eastAsia="Times New Roman" w:cs="Times New Roman"/>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3.25pt;margin-top:-29.35pt;height:65.5pt;width:219.75pt;mso-position-horizontal-relative:page;z-index:251671552;mso-width-relative:page;mso-height-relative:page;" fillcolor="#FFFFFF" filled="t" stroked="t" coordsize="21600,21600" o:gfxdata="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">
                <v:fill on="t" focussize="0,0"/>
                <v:stroke weight="1.5pt" color="#4F81BD [3204]" opacity="58982f" miterlimit="8" joinstyle="miter"/>
                <v:imagedata o:title=""/>
                <o:lock v:ext="edit" aspectratio="f"/>
                <v:textbox>
                  <w:txbxContent>
                    <w:p w14:paraId="0C135180">
                      <w:pPr>
                        <w:spacing w:before="100" w:beforeAutospacing="1" w:after="100" w:afterAutospacing="1"/>
                        <w:contextualSpacing/>
                        <w:rPr>
                          <w:rFonts w:ascii="Times New Roman" w:hAnsi="Times New Roman" w:eastAsia="Times New Roman" w:cs="Times New Roman"/>
                          <w:b/>
                          <w:sz w:val="18"/>
                          <w:szCs w:val="18"/>
                        </w:rPr>
                      </w:pPr>
                      <w:r>
                        <w:rPr>
                          <w:rFonts w:ascii="Times New Roman" w:hAnsi="Times New Roman" w:eastAsia="Times New Roman" w:cs="Times New Roman"/>
                          <w:b/>
                          <w:sz w:val="18"/>
                          <w:szCs w:val="18"/>
                        </w:rPr>
                        <w:t>Malaria Vaccination administration</w:t>
                      </w:r>
                    </w:p>
                    <w:p w14:paraId="3B984795">
                      <w:pPr>
                        <w:pStyle w:val="51"/>
                        <w:numPr>
                          <w:ilvl w:val="0"/>
                          <w:numId w:val="2"/>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Frequency/dose </w:t>
                      </w:r>
                    </w:p>
                    <w:p w14:paraId="3C5A064A">
                      <w:pPr>
                        <w:pStyle w:val="51"/>
                        <w:numPr>
                          <w:ilvl w:val="0"/>
                          <w:numId w:val="2"/>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Route of administration </w:t>
                      </w:r>
                    </w:p>
                    <w:p w14:paraId="6045366B">
                      <w:pPr>
                        <w:pStyle w:val="51"/>
                        <w:numPr>
                          <w:ilvl w:val="0"/>
                          <w:numId w:val="2"/>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Peer and family pressure</w:t>
                      </w:r>
                    </w:p>
                    <w:p w14:paraId="7D492CEB">
                      <w:pPr>
                        <w:pStyle w:val="51"/>
                        <w:numPr>
                          <w:ilvl w:val="0"/>
                          <w:numId w:val="2"/>
                        </w:numPr>
                        <w:spacing w:before="100" w:beforeAutospacing="1" w:after="100" w:afterAutospacing="1"/>
                        <w:rPr>
                          <w:rFonts w:ascii="Times New Roman" w:hAnsi="Times New Roman" w:eastAsia="Times New Roman" w:cs="Times New Roman"/>
                          <w:sz w:val="18"/>
                          <w:szCs w:val="18"/>
                        </w:rPr>
                      </w:pPr>
                    </w:p>
                  </w:txbxContent>
                </v:textbox>
                <w10:anchorlock/>
              </v:shape>
            </w:pict>
          </mc:Fallback>
        </mc:AlternateContent>
      </w:r>
    </w:p>
    <w:p w14:paraId="2BE782CD">
      <w:pPr>
        <w:rPr>
          <w:rFonts w:ascii="Times New Roman" w:hAnsi="Times New Roman" w:cs="Times New Roman"/>
          <w:sz w:val="24"/>
          <w:szCs w:val="24"/>
        </w:rPr>
      </w:pPr>
      <w:r>
        <w:rPr>
          <w:rFonts w:ascii="Times New Roman" w:hAnsi="Times New Roman" w:cs="Times New Roman"/>
          <w:sz w:val="24"/>
          <w:szCs w:val="24"/>
          <w:lang w:val="en-GB" w:eastAsia="en-GB"/>
        </w:rPr>
        <mc:AlternateContent>
          <mc:Choice Requires="wps">
            <w:drawing>
              <wp:anchor distT="0" distB="0" distL="114300" distR="114300" simplePos="0" relativeHeight="251667456" behindDoc="0" locked="0" layoutInCell="1" allowOverlap="1">
                <wp:simplePos x="0" y="0"/>
                <wp:positionH relativeFrom="column">
                  <wp:posOffset>4711700</wp:posOffset>
                </wp:positionH>
                <wp:positionV relativeFrom="paragraph">
                  <wp:posOffset>15875</wp:posOffset>
                </wp:positionV>
                <wp:extent cx="916305" cy="219710"/>
                <wp:effectExtent l="38100" t="57150" r="17780" b="27940"/>
                <wp:wrapNone/>
                <wp:docPr id="13" name="Straight Arrow Connector 13"/>
                <wp:cNvGraphicFramePr/>
                <a:graphic xmlns:a="http://schemas.openxmlformats.org/drawingml/2006/main">
                  <a:graphicData uri="http://schemas.microsoft.com/office/word/2010/wordprocessingShape">
                    <wps:wsp>
                      <wps:cNvCnPr/>
                      <wps:spPr>
                        <a:xfrm flipH="1" flipV="1">
                          <a:off x="0" y="0"/>
                          <a:ext cx="916024" cy="219822"/>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 y;margin-left:371pt;margin-top:1.25pt;height:17.3pt;width:72.15pt;z-index:251667456;mso-width-relative:page;mso-height-relative:page;" filled="f" stroked="t" coordsize="21600,21600" o:gfxdata="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MU8C/DZAAAACAEAAA8AAAAAAAAAAQAg&#10;AAAAIgAAAGRycy9kb3ducmV2LnhtbFBLAQIUABQAAAAIAIdO4kBYtYhqDQIAAB4EAAAOAAAAAAAA&#10;AAEAIAAAACgBAABkcnMvZTJvRG9jLnhtbFBLBQYAAAAABgAGAFkBAACnBQAAAAA=&#10;">
                <v:fill on="f" focussize="0,0"/>
                <v:stroke weight="1.5pt" color="#4A7EBB [3204]" joinstyle="round" endarrow="open"/>
                <v:imagedata o:title=""/>
                <o:lock v:ext="edit" aspectratio="f"/>
              </v:shape>
            </w:pict>
          </mc:Fallback>
        </mc:AlternateContent>
      </w:r>
    </w:p>
    <w:p w14:paraId="0C9314B3">
      <w:pPr>
        <w:rPr>
          <w:rFonts w:ascii="Times New Roman" w:hAnsi="Times New Roman" w:cs="Times New Roman"/>
          <w:sz w:val="24"/>
          <w:szCs w:val="24"/>
        </w:rPr>
      </w:pPr>
    </w:p>
    <w:p w14:paraId="471C4A81">
      <w:pPr>
        <w:rPr>
          <w:rFonts w:ascii="Times New Roman" w:hAnsi="Times New Roman" w:cs="Times New Roman"/>
          <w:sz w:val="24"/>
          <w:szCs w:val="24"/>
        </w:rPr>
      </w:pPr>
    </w:p>
    <w:p w14:paraId="548FCD02">
      <w:pPr>
        <w:rPr>
          <w:rFonts w:ascii="Times New Roman" w:hAnsi="Times New Roman" w:cs="Times New Roman"/>
          <w:sz w:val="24"/>
          <w:szCs w:val="24"/>
        </w:rPr>
      </w:pPr>
      <w:r>
        <w:rPr>
          <w:rFonts w:ascii="Times New Roman" w:hAnsi="Times New Roman" w:cs="Times New Roman"/>
          <w:sz w:val="24"/>
          <w:szCs w:val="24"/>
          <w:lang w:val="en-GB" w:eastAsia="en-GB"/>
        </w:rPr>
        <mc:AlternateContent>
          <mc:Choice Requires="wps">
            <w:drawing>
              <wp:anchor distT="0" distB="0" distL="114300" distR="114300" simplePos="0" relativeHeight="251670528" behindDoc="0" locked="0" layoutInCell="1" allowOverlap="1">
                <wp:simplePos x="0" y="0"/>
                <wp:positionH relativeFrom="page">
                  <wp:posOffset>4838700</wp:posOffset>
                </wp:positionH>
                <wp:positionV relativeFrom="paragraph">
                  <wp:posOffset>5080</wp:posOffset>
                </wp:positionV>
                <wp:extent cx="2819400" cy="1628775"/>
                <wp:effectExtent l="0" t="0" r="19050" b="28575"/>
                <wp:wrapNone/>
                <wp:docPr id="48" name="Text Box 48"/>
                <wp:cNvGraphicFramePr/>
                <a:graphic xmlns:a="http://schemas.openxmlformats.org/drawingml/2006/main">
                  <a:graphicData uri="http://schemas.microsoft.com/office/word/2010/wordprocessingShape">
                    <wps:wsp>
                      <wps:cNvSpPr txBox="1"/>
                      <wps:spPr>
                        <a:xfrm>
                          <a:off x="0" y="0"/>
                          <a:ext cx="2819400" cy="1628775"/>
                        </a:xfrm>
                        <a:prstGeom prst="rect">
                          <a:avLst/>
                        </a:prstGeom>
                        <a:solidFill>
                          <a:sysClr val="window" lastClr="FFFFFF"/>
                        </a:solidFill>
                        <a:ln w="19050" cap="flat" cmpd="sng" algn="ctr">
                          <a:solidFill>
                            <a:schemeClr val="accent1"/>
                          </a:solidFill>
                          <a:prstDash val="solid"/>
                          <a:miter lim="800000"/>
                        </a:ln>
                        <a:effectLst/>
                      </wps:spPr>
                      <wps:txbx>
                        <w:txbxContent>
                          <w:p w14:paraId="74DA2FF2">
                            <w:pPr>
                              <w:spacing w:before="100" w:beforeAutospacing="1" w:after="100" w:afterAutospacing="1"/>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Knowledge and practice regarding malaria    </w:t>
                            </w:r>
                          </w:p>
                          <w:p w14:paraId="25D6C8B7">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Information on malaria</w:t>
                            </w:r>
                          </w:p>
                          <w:p w14:paraId="123BD320">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Cause of Malaria </w:t>
                            </w:r>
                          </w:p>
                          <w:p w14:paraId="4945193A">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Risk of malaria </w:t>
                            </w:r>
                          </w:p>
                          <w:p w14:paraId="6F107BA8">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Is malaria preventable</w:t>
                            </w:r>
                          </w:p>
                          <w:p w14:paraId="1C8BE31F">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Methods of malaria prevention </w:t>
                            </w:r>
                          </w:p>
                          <w:p w14:paraId="532D9546">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ITN availability in HH</w:t>
                            </w:r>
                          </w:p>
                          <w:p w14:paraId="271D1AFB">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Utilization of ITN</w:t>
                            </w:r>
                          </w:p>
                          <w:p w14:paraId="7D128C66">
                            <w:pPr>
                              <w:spacing w:before="100" w:beforeAutospacing="1" w:after="100" w:afterAutospacing="1"/>
                              <w:ind w:left="360"/>
                              <w:rPr>
                                <w:rFonts w:ascii="Times New Roman" w:hAnsi="Times New Roman" w:eastAsia="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1pt;margin-top:0.4pt;height:128.25pt;width:222pt;mso-position-horizontal-relative:page;z-index:251670528;mso-width-relative:page;mso-height-relative:page;" fillcolor="#FFFFFF" filled="t" stroked="t" coordsize="21600,21600" o:gfxdata="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PGem8NgAAAAJAQAADwAA&#10;AAAAAAABACAAAAAiAAAAZHJzL2Rvd25yZXYueG1sUEsBAhQAFAAAAAgAh07iQD6fYl+IAgAAKgUA&#10;AA4AAAAAAAAAAQAgAAAAJwEAAGRycy9lMm9Eb2MueG1sUEsFBgAAAAAGAAYAWQEAACEGAAAAAA==&#10;">
                <v:fill on="t" focussize="0,0"/>
                <v:stroke weight="1.5pt" color="#4F81BD [3204]" miterlimit="8" joinstyle="miter"/>
                <v:imagedata o:title=""/>
                <o:lock v:ext="edit" aspectratio="f"/>
                <v:textbox>
                  <w:txbxContent>
                    <w:p w14:paraId="74DA2FF2">
                      <w:pPr>
                        <w:spacing w:before="100" w:beforeAutospacing="1" w:after="100" w:afterAutospacing="1"/>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Knowledge and practice regarding malaria    </w:t>
                      </w:r>
                    </w:p>
                    <w:p w14:paraId="25D6C8B7">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Information on malaria</w:t>
                      </w:r>
                    </w:p>
                    <w:p w14:paraId="123BD320">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Cause of Malaria </w:t>
                      </w:r>
                    </w:p>
                    <w:p w14:paraId="4945193A">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Risk of malaria </w:t>
                      </w:r>
                    </w:p>
                    <w:p w14:paraId="6F107BA8">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Is malaria preventable</w:t>
                      </w:r>
                    </w:p>
                    <w:p w14:paraId="1C8BE31F">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Methods of malaria prevention </w:t>
                      </w:r>
                    </w:p>
                    <w:p w14:paraId="532D9546">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ITN availability in HH</w:t>
                      </w:r>
                    </w:p>
                    <w:p w14:paraId="271D1AFB">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Utilization of ITN</w:t>
                      </w:r>
                    </w:p>
                    <w:p w14:paraId="7D128C66">
                      <w:pPr>
                        <w:spacing w:before="100" w:beforeAutospacing="1" w:after="100" w:afterAutospacing="1"/>
                        <w:ind w:left="360"/>
                        <w:rPr>
                          <w:rFonts w:ascii="Times New Roman" w:hAnsi="Times New Roman" w:eastAsia="Times New Roman" w:cs="Times New Roman"/>
                          <w:sz w:val="24"/>
                          <w:szCs w:val="24"/>
                        </w:rPr>
                      </w:pPr>
                    </w:p>
                  </w:txbxContent>
                </v:textbox>
              </v:shape>
            </w:pict>
          </mc:Fallback>
        </mc:AlternateContent>
      </w:r>
    </w:p>
    <w:p w14:paraId="5AC51633">
      <w:pPr>
        <w:rPr>
          <w:rFonts w:ascii="Times New Roman" w:hAnsi="Times New Roman" w:cs="Times New Roman"/>
          <w:sz w:val="24"/>
          <w:szCs w:val="24"/>
        </w:rPr>
      </w:pPr>
    </w:p>
    <w:p w14:paraId="3F4411C3">
      <w:pPr>
        <w:rPr>
          <w:rFonts w:ascii="Times New Roman" w:hAnsi="Times New Roman" w:cs="Times New Roman"/>
          <w:sz w:val="24"/>
          <w:szCs w:val="24"/>
        </w:rPr>
      </w:pPr>
      <w:r>
        <w:rPr>
          <w:rFonts w:ascii="Times New Roman" w:hAnsi="Times New Roman" w:cs="Times New Roman" w:eastAsiaTheme="majorEastAsia"/>
          <w:b/>
          <w:bCs/>
          <w:sz w:val="26"/>
          <w:szCs w:val="26"/>
          <w:lang w:val="en-GB" w:eastAsia="en-GB"/>
        </w:rPr>
        <mc:AlternateContent>
          <mc:Choice Requires="wps">
            <w:drawing>
              <wp:anchor distT="0" distB="0" distL="114300" distR="114300" simplePos="0" relativeHeight="251665408" behindDoc="0" locked="0" layoutInCell="1" allowOverlap="1">
                <wp:simplePos x="0" y="0"/>
                <wp:positionH relativeFrom="column">
                  <wp:posOffset>2078355</wp:posOffset>
                </wp:positionH>
                <wp:positionV relativeFrom="paragraph">
                  <wp:posOffset>111760</wp:posOffset>
                </wp:positionV>
                <wp:extent cx="361950" cy="552450"/>
                <wp:effectExtent l="0" t="0" r="76200" b="57150"/>
                <wp:wrapNone/>
                <wp:docPr id="2" name="Straight Arrow Connector 2"/>
                <wp:cNvGraphicFramePr/>
                <a:graphic xmlns:a="http://schemas.openxmlformats.org/drawingml/2006/main">
                  <a:graphicData uri="http://schemas.microsoft.com/office/word/2010/wordprocessingShape">
                    <wps:wsp>
                      <wps:cNvCnPr/>
                      <wps:spPr>
                        <a:xfrm>
                          <a:off x="0" y="0"/>
                          <a:ext cx="361950" cy="552450"/>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63.65pt;margin-top:8.8pt;height:43.5pt;width:28.5pt;z-index:251665408;mso-width-relative:page;mso-height-relative:page;" filled="f" stroked="t" coordsize="21600,21600" o:gfxdata="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eXEHf2AAAAAoBAAAPAAAAAAAAAAEAIAAAACIAAABkcnMvZG93bnJl&#10;di54bWxQSwECFAAUAAAACACHTuJA73gzeP0BAAAIBAAADgAAAAAAAAABACAAAAAnAQAAZHJzL2Uy&#10;b0RvYy54bWxQSwUGAAAAAAYABgBZAQAAlgUAAAAA&#10;">
                <v:fill on="f" focussize="0,0"/>
                <v:stroke weight="1.5pt" color="#4A7EBB [3204]" joinstyle="round" endarrow="open"/>
                <v:imagedata o:title=""/>
                <o:lock v:ext="edit" aspectratio="f"/>
              </v:shape>
            </w:pict>
          </mc:Fallback>
        </mc:AlternateContent>
      </w:r>
      <w:r>
        <w:rPr>
          <w:rFonts w:ascii="Times New Roman" w:hAnsi="Times New Roman" w:cs="Times New Roman"/>
          <w:sz w:val="24"/>
          <w:szCs w:val="24"/>
          <w:lang w:val="en-GB" w:eastAsia="en-GB"/>
        </w:rPr>
        <mc:AlternateContent>
          <mc:Choice Requires="wps">
            <w:drawing>
              <wp:anchor distT="0" distB="0" distL="114300" distR="114300" simplePos="0" relativeHeight="251668480" behindDoc="0" locked="0" layoutInCell="1" allowOverlap="1">
                <wp:simplePos x="0" y="0"/>
                <wp:positionH relativeFrom="margin">
                  <wp:posOffset>3783330</wp:posOffset>
                </wp:positionH>
                <wp:positionV relativeFrom="paragraph">
                  <wp:posOffset>168910</wp:posOffset>
                </wp:positionV>
                <wp:extent cx="304800" cy="276225"/>
                <wp:effectExtent l="38100" t="0" r="19050" b="47625"/>
                <wp:wrapNone/>
                <wp:docPr id="8" name="Straight Arrow Connector 8"/>
                <wp:cNvGraphicFramePr/>
                <a:graphic xmlns:a="http://schemas.openxmlformats.org/drawingml/2006/main">
                  <a:graphicData uri="http://schemas.microsoft.com/office/word/2010/wordprocessingShape">
                    <wps:wsp>
                      <wps:cNvCnPr/>
                      <wps:spPr>
                        <a:xfrm flipH="1">
                          <a:off x="0" y="0"/>
                          <a:ext cx="304800" cy="276225"/>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297.9pt;margin-top:13.3pt;height:21.75pt;width:24pt;mso-position-horizontal-relative:margin;z-index:251668480;mso-width-relative:page;mso-height-relative:page;" filled="f" stroked="t" coordsize="21600,21600" o:gfxdata="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G+8d3jXAAAACQEAAA8AAAAAAAAAAQAgAAAAIgAAAGRy&#10;cy9kb3ducmV2LnhtbFBLAQIUABQAAAAIAIdO4kBS38xXBgIAABIEAAAOAAAAAAAAAAEAIAAAACYB&#10;AABkcnMvZTJvRG9jLnhtbFBLBQYAAAAABgAGAFkBAACeBQAAAAA=&#10;">
                <v:fill on="f" focussize="0,0"/>
                <v:stroke weight="1.5pt" color="#4A7EBB [3204]" joinstyle="round" endarrow="open"/>
                <v:imagedata o:title=""/>
                <o:lock v:ext="edit" aspectratio="f"/>
              </v:shape>
            </w:pict>
          </mc:Fallback>
        </mc:AlternateContent>
      </w:r>
      <w:r>
        <w:rPr>
          <w:rFonts w:ascii="Times New Roman" w:hAnsi="Times New Roman" w:cs="Times New Roman"/>
          <w:sz w:val="24"/>
          <w:szCs w:val="24"/>
          <w:lang w:val="en-GB" w:eastAsia="en-GB"/>
        </w:rPr>
        <mc:AlternateContent>
          <mc:Choice Requires="wps">
            <w:drawing>
              <wp:anchor distT="0" distB="0" distL="114300" distR="114300" simplePos="0" relativeHeight="251660288" behindDoc="0" locked="1" layoutInCell="1" allowOverlap="1">
                <wp:simplePos x="0" y="0"/>
                <wp:positionH relativeFrom="margin">
                  <wp:posOffset>2440305</wp:posOffset>
                </wp:positionH>
                <wp:positionV relativeFrom="paragraph">
                  <wp:posOffset>-488315</wp:posOffset>
                </wp:positionV>
                <wp:extent cx="1343025" cy="2447925"/>
                <wp:effectExtent l="0" t="0" r="28575" b="28575"/>
                <wp:wrapSquare wrapText="bothSides"/>
                <wp:docPr id="10" name="Rounded Rectangle 10"/>
                <wp:cNvGraphicFramePr/>
                <a:graphic xmlns:a="http://schemas.openxmlformats.org/drawingml/2006/main">
                  <a:graphicData uri="http://schemas.microsoft.com/office/word/2010/wordprocessingShape">
                    <wps:wsp>
                      <wps:cNvSpPr/>
                      <wps:spPr>
                        <a:xfrm>
                          <a:off x="0" y="0"/>
                          <a:ext cx="1343025" cy="2447925"/>
                        </a:xfrm>
                        <a:prstGeom prst="roundRect">
                          <a:avLst>
                            <a:gd name="adj" fmla="val 36558"/>
                          </a:avLst>
                        </a:prstGeom>
                        <a:solidFill>
                          <a:schemeClr val="tx2"/>
                        </a:solidFill>
                      </wps:spPr>
                      <wps:style>
                        <a:lnRef idx="2">
                          <a:schemeClr val="dk1"/>
                        </a:lnRef>
                        <a:fillRef idx="1">
                          <a:schemeClr val="lt1"/>
                        </a:fillRef>
                        <a:effectRef idx="0">
                          <a:schemeClr val="dk1"/>
                        </a:effectRef>
                        <a:fontRef idx="minor">
                          <a:schemeClr val="dk1"/>
                        </a:fontRef>
                      </wps:style>
                      <wps:txbx>
                        <w:txbxContent>
                          <w:p w14:paraId="105FF27F">
                            <w:pPr>
                              <w:spacing w:before="100" w:beforeAutospacing="1" w:after="100" w:afterAutospacing="1"/>
                              <w:contextualSpacing/>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Willingness to Accept Malaria Vaccine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92.15pt;margin-top:-38.45pt;height:192.75pt;width:105.75pt;mso-position-horizontal-relative:margin;mso-wrap-distance-bottom:0pt;mso-wrap-distance-left:9pt;mso-wrap-distance-right:9pt;mso-wrap-distance-top:0pt;z-index:251660288;v-text-anchor:middle;mso-width-relative:page;mso-height-relative:page;" fillcolor="#1F497D [3215]" filled="t" stroked="t" coordsize="21600,21600" arcsize="0.365601851851852" o:gfxdata="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E51VT3bAAAACwEAAA8AAAAAAAAA&#10;AQAgAAAAIgAAAGRycy9kb3ducmV2LnhtbFBLAQIUABQAAAAIAIdO4kD66POPgAIAACcFAAAOAAAA&#10;AAAAAAEAIAAAACoBAABkcnMvZTJvRG9jLnhtbFBLBQYAAAAABgAGAFkBAAAcBgAAAAA=&#10;">
                <v:fill on="t" focussize="0,0"/>
                <v:stroke weight="2pt" color="#000000 [3200]" joinstyle="round"/>
                <v:imagedata o:title=""/>
                <o:lock v:ext="edit" aspectratio="f"/>
                <v:textbox>
                  <w:txbxContent>
                    <w:p w14:paraId="105FF27F">
                      <w:pPr>
                        <w:spacing w:before="100" w:beforeAutospacing="1" w:after="100" w:afterAutospacing="1"/>
                        <w:contextualSpacing/>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Willingness to Accept Malaria Vaccine</w:t>
                      </w:r>
                    </w:p>
                  </w:txbxContent>
                </v:textbox>
                <w10:wrap type="square"/>
                <w10:anchorlock/>
              </v:roundrect>
            </w:pict>
          </mc:Fallback>
        </mc:AlternateContent>
      </w:r>
    </w:p>
    <w:p w14:paraId="44203857">
      <w:pPr>
        <w:rPr>
          <w:rFonts w:ascii="Times New Roman" w:hAnsi="Times New Roman" w:cs="Times New Roman"/>
          <w:sz w:val="24"/>
          <w:szCs w:val="24"/>
        </w:rPr>
      </w:pPr>
    </w:p>
    <w:p w14:paraId="23CAA58F">
      <w:pPr>
        <w:rPr>
          <w:rFonts w:ascii="Times New Roman" w:hAnsi="Times New Roman" w:cs="Times New Roman"/>
          <w:sz w:val="24"/>
          <w:szCs w:val="24"/>
        </w:rPr>
      </w:pPr>
    </w:p>
    <w:p w14:paraId="03A21891">
      <w:pPr>
        <w:rPr>
          <w:rFonts w:ascii="Times New Roman" w:hAnsi="Times New Roman" w:cs="Times New Roman"/>
          <w:sz w:val="24"/>
          <w:szCs w:val="24"/>
        </w:rPr>
      </w:pPr>
    </w:p>
    <w:p w14:paraId="044E59B1">
      <w:pPr>
        <w:rPr>
          <w:rFonts w:ascii="Times New Roman" w:hAnsi="Times New Roman" w:cs="Times New Roman"/>
          <w:sz w:val="24"/>
          <w:szCs w:val="24"/>
        </w:rPr>
      </w:pPr>
    </w:p>
    <w:p w14:paraId="4F32E999">
      <w:pPr>
        <w:rPr>
          <w:rFonts w:ascii="Times New Roman" w:hAnsi="Times New Roman" w:cs="Times New Roman"/>
          <w:sz w:val="24"/>
          <w:szCs w:val="24"/>
        </w:rPr>
      </w:pPr>
    </w:p>
    <w:p w14:paraId="21D6537D">
      <w:pPr>
        <w:rPr>
          <w:rFonts w:ascii="Times New Roman" w:hAnsi="Times New Roman" w:cs="Times New Roman"/>
          <w:sz w:val="24"/>
          <w:szCs w:val="24"/>
        </w:rPr>
      </w:pPr>
      <w:r>
        <w:rPr>
          <w:rFonts w:ascii="Times New Roman" w:hAnsi="Times New Roman" w:cs="Times New Roman"/>
          <w:sz w:val="24"/>
          <w:szCs w:val="24"/>
          <w:lang w:val="en-GB" w:eastAsia="en-GB"/>
        </w:rPr>
        <mc:AlternateContent>
          <mc:Choice Requires="wps">
            <w:drawing>
              <wp:anchor distT="0" distB="0" distL="114300" distR="114300" simplePos="0" relativeHeight="251669504" behindDoc="0" locked="0" layoutInCell="1" allowOverlap="1">
                <wp:simplePos x="0" y="0"/>
                <wp:positionH relativeFrom="margin">
                  <wp:posOffset>4549775</wp:posOffset>
                </wp:positionH>
                <wp:positionV relativeFrom="paragraph">
                  <wp:posOffset>15240</wp:posOffset>
                </wp:positionV>
                <wp:extent cx="45720" cy="361950"/>
                <wp:effectExtent l="38100" t="0" r="88265" b="57150"/>
                <wp:wrapNone/>
                <wp:docPr id="4" name="Straight Arrow Connector 4"/>
                <wp:cNvGraphicFramePr/>
                <a:graphic xmlns:a="http://schemas.openxmlformats.org/drawingml/2006/main">
                  <a:graphicData uri="http://schemas.microsoft.com/office/word/2010/wordprocessingShape">
                    <wps:wsp>
                      <wps:cNvCnPr/>
                      <wps:spPr>
                        <a:xfrm>
                          <a:off x="0" y="0"/>
                          <a:ext cx="45719" cy="361950"/>
                        </a:xfrm>
                        <a:prstGeom prst="straightConnector1">
                          <a:avLst/>
                        </a:prstGeom>
                        <a:ln w="19050">
                          <a:solidFill>
                            <a:srgbClr val="0070C0"/>
                          </a:solidFill>
                          <a:prstDash val="sysDash"/>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358.25pt;margin-top:1.2pt;height:28.5pt;width:3.6pt;mso-position-horizontal-relative:margin;z-index:251669504;mso-width-relative:page;mso-height-relative:page;" filled="f" stroked="t" coordsize="21600,21600" o:gfxdata="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55MaU2AAA&#10;AAgBAAAPAAAAAAAAAAEAIAAAACIAAABkcnMvZG93bnJldi54bWxQSwECFAAUAAAACACHTuJARgUI&#10;euUBAADQAwAADgAAAAAAAAABACAAAAAnAQAAZHJzL2Uyb0RvYy54bWxQSwUGAAAAAAYABgBZAQAA&#10;fgUAAAAA&#10;">
                <v:fill on="f" focussize="0,0"/>
                <v:stroke weight="1.5pt" color="#0070C0 [3204]" joinstyle="round" dashstyle="3 1" endarrow="open"/>
                <v:imagedata o:title=""/>
                <o:lock v:ext="edit" aspectratio="f"/>
              </v:shape>
            </w:pict>
          </mc:Fallback>
        </mc:AlternateContent>
      </w:r>
    </w:p>
    <w:p w14:paraId="0C282005">
      <w:pPr>
        <w:rPr>
          <w:rFonts w:ascii="Times New Roman" w:hAnsi="Times New Roman" w:cs="Times New Roman"/>
          <w:sz w:val="24"/>
          <w:szCs w:val="24"/>
        </w:rPr>
      </w:pPr>
      <w:r>
        <w:rPr>
          <w:rFonts w:ascii="Times New Roman" w:hAnsi="Times New Roman" w:cs="Times New Roman"/>
          <w:sz w:val="24"/>
          <w:szCs w:val="24"/>
          <w:lang w:val="en-GB" w:eastAsia="en-GB"/>
        </w:rPr>
        <mc:AlternateContent>
          <mc:Choice Requires="wps">
            <w:drawing>
              <wp:anchor distT="0" distB="0" distL="114300" distR="114300" simplePos="0" relativeHeight="251672576" behindDoc="0" locked="0" layoutInCell="1" allowOverlap="1">
                <wp:simplePos x="0" y="0"/>
                <wp:positionH relativeFrom="margin">
                  <wp:posOffset>906145</wp:posOffset>
                </wp:positionH>
                <wp:positionV relativeFrom="paragraph">
                  <wp:posOffset>104775</wp:posOffset>
                </wp:positionV>
                <wp:extent cx="447675" cy="285750"/>
                <wp:effectExtent l="0" t="0" r="66675" b="57150"/>
                <wp:wrapNone/>
                <wp:docPr id="50" name="Straight Arrow Connector 50"/>
                <wp:cNvGraphicFramePr/>
                <a:graphic xmlns:a="http://schemas.openxmlformats.org/drawingml/2006/main">
                  <a:graphicData uri="http://schemas.microsoft.com/office/word/2010/wordprocessingShape">
                    <wps:wsp>
                      <wps:cNvCnPr/>
                      <wps:spPr>
                        <a:xfrm>
                          <a:off x="0" y="0"/>
                          <a:ext cx="447675" cy="285750"/>
                        </a:xfrm>
                        <a:prstGeom prst="straightConnector1">
                          <a:avLst/>
                        </a:prstGeom>
                        <a:noFill/>
                        <a:ln w="19050" cap="flat" cmpd="sng" algn="ctr">
                          <a:solidFill>
                            <a:srgbClr val="0070C0"/>
                          </a:solidFill>
                          <a:prstDash val="sysDash"/>
                          <a:miter lim="800000"/>
                          <a:tailEnd type="arrow"/>
                        </a:ln>
                        <a:effectLst/>
                      </wps:spPr>
                      <wps:bodyPr/>
                    </wps:wsp>
                  </a:graphicData>
                </a:graphic>
              </wp:anchor>
            </w:drawing>
          </mc:Choice>
          <mc:Fallback>
            <w:pict>
              <v:shape id="_x0000_s1026" o:spid="_x0000_s1026" o:spt="32" type="#_x0000_t32" style="position:absolute;left:0pt;margin-left:71.35pt;margin-top:8.25pt;height:22.5pt;width:35.25pt;mso-position-horizontal-relative:margin;z-index:251672576;mso-width-relative:page;mso-height-relative:page;" filled="f" stroked="t" coordsize="21600,21600" o:gfxdata="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G7QchzZAAAACQEAAA8AAAAAAAAAAQAgAAAAIgAAAGRycy9kb3ducmV2Lnht&#10;bFBLAQIUABQAAAAIAIdO4kAaSrlO+AEAAPgDAAAOAAAAAAAAAAEAIAAAACgBAABkcnMvZTJvRG9j&#10;LnhtbFBLBQYAAAAABgAGAFkBAACSBQAAAAA=&#10;">
                <v:fill on="f" focussize="0,0"/>
                <v:stroke weight="1.5pt" color="#0070C0" miterlimit="8" joinstyle="miter" dashstyle="3 1" endarrow="open"/>
                <v:imagedata o:title=""/>
                <o:lock v:ext="edit" aspectratio="f"/>
              </v:shape>
            </w:pict>
          </mc:Fallback>
        </mc:AlternateContent>
      </w:r>
    </w:p>
    <w:p w14:paraId="6779BAC8">
      <w:pPr>
        <w:rPr>
          <w:rFonts w:ascii="Times New Roman" w:hAnsi="Times New Roman" w:cs="Times New Roman"/>
          <w:sz w:val="24"/>
          <w:szCs w:val="24"/>
        </w:rPr>
      </w:pPr>
      <w:r>
        <w:rPr>
          <w:rFonts w:ascii="Times New Roman" w:hAnsi="Times New Roman" w:cs="Times New Roman"/>
          <w:sz w:val="24"/>
          <w:szCs w:val="24"/>
          <w:lang w:val="en-GB" w:eastAsia="en-GB"/>
        </w:rPr>
        <mc:AlternateContent>
          <mc:Choice Requires="wps">
            <w:drawing>
              <wp:anchor distT="0" distB="0" distL="114300" distR="114300" simplePos="0" relativeHeight="251663360" behindDoc="0" locked="0" layoutInCell="1" allowOverlap="1">
                <wp:simplePos x="0" y="0"/>
                <wp:positionH relativeFrom="margin">
                  <wp:posOffset>-45720</wp:posOffset>
                </wp:positionH>
                <wp:positionV relativeFrom="paragraph">
                  <wp:posOffset>196215</wp:posOffset>
                </wp:positionV>
                <wp:extent cx="2066925" cy="1914525"/>
                <wp:effectExtent l="0" t="0" r="28575" b="28575"/>
                <wp:wrapNone/>
                <wp:docPr id="16" name="Text Box 16"/>
                <wp:cNvGraphicFramePr/>
                <a:graphic xmlns:a="http://schemas.openxmlformats.org/drawingml/2006/main">
                  <a:graphicData uri="http://schemas.microsoft.com/office/word/2010/wordprocessingShape">
                    <wps:wsp>
                      <wps:cNvSpPr txBox="1"/>
                      <wps:spPr>
                        <a:xfrm>
                          <a:off x="0" y="0"/>
                          <a:ext cx="2066925" cy="1914525"/>
                        </a:xfrm>
                        <a:prstGeom prst="rect">
                          <a:avLst/>
                        </a:prstGeom>
                        <a:solidFill>
                          <a:sysClr val="window" lastClr="FFFFFF"/>
                        </a:solidFill>
                        <a:ln w="19050" cap="flat" cmpd="sng" algn="ctr">
                          <a:solidFill>
                            <a:schemeClr val="accent1"/>
                          </a:solidFill>
                          <a:prstDash val="solid"/>
                          <a:miter lim="800000"/>
                        </a:ln>
                        <a:effectLst/>
                      </wps:spPr>
                      <wps:txbx>
                        <w:txbxContent>
                          <w:p w14:paraId="2A0C439E">
                            <w:pPr>
                              <w:spacing w:before="100" w:beforeAutospacing="1" w:after="100" w:afterAutospacing="1"/>
                              <w:contextualSpacing/>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Knowledge on the status of immunization </w:t>
                            </w:r>
                          </w:p>
                          <w:p w14:paraId="56A8F012">
                            <w:pPr>
                              <w:spacing w:before="100" w:beforeAutospacing="1" w:after="100" w:afterAutospacing="1"/>
                              <w:contextualSpacing/>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(Health-Related Factors)</w:t>
                            </w:r>
                          </w:p>
                          <w:p w14:paraId="2719043C">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Informed about immunization </w:t>
                            </w:r>
                          </w:p>
                          <w:p w14:paraId="08AB6BDF">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Source of Information on Immunization </w:t>
                            </w:r>
                          </w:p>
                          <w:p w14:paraId="068FD9FD">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Awareness of vaccination schedules</w:t>
                            </w:r>
                          </w:p>
                          <w:p w14:paraId="076C3128">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Knowledge of vaccine Benefit</w:t>
                            </w:r>
                          </w:p>
                          <w:p w14:paraId="5C4EE1C0">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Awareness of malaria risks</w:t>
                            </w:r>
                          </w:p>
                          <w:p w14:paraId="369D353A">
                            <w:pPr>
                              <w:spacing w:before="100" w:beforeAutospacing="1" w:after="100" w:afterAutospacing="1"/>
                              <w:contextualSpacing/>
                              <w:rPr>
                                <w:rFonts w:ascii="Times New Roman" w:hAnsi="Times New Roman" w:eastAsia="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pt;margin-top:15.45pt;height:150.75pt;width:162.75pt;mso-position-horizontal-relative:margin;z-index:251663360;mso-width-relative:page;mso-height-relative:page;" fillcolor="#FFFFFF" filled="t" stroked="t" coordsize="21600,21600" o:gfxdata="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OZlwuvZAAAACQEAAA8AAAAA&#10;AAAAAQAgAAAAIgAAAGRycy9kb3ducmV2LnhtbFBLAQIUABQAAAAIAIdO4kBsOysAhQIAACoFAAAO&#10;AAAAAAAAAAEAIAAAACgBAABkcnMvZTJvRG9jLnhtbFBLBQYAAAAABgAGAFkBAAAfBgAAAAA=&#10;">
                <v:fill on="t" focussize="0,0"/>
                <v:stroke weight="1.5pt" color="#4F81BD [3204]" miterlimit="8" joinstyle="miter"/>
                <v:imagedata o:title=""/>
                <o:lock v:ext="edit" aspectratio="f"/>
                <v:textbox>
                  <w:txbxContent>
                    <w:p w14:paraId="2A0C439E">
                      <w:pPr>
                        <w:spacing w:before="100" w:beforeAutospacing="1" w:after="100" w:afterAutospacing="1"/>
                        <w:contextualSpacing/>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Knowledge on the status of immunization </w:t>
                      </w:r>
                    </w:p>
                    <w:p w14:paraId="56A8F012">
                      <w:pPr>
                        <w:spacing w:before="100" w:beforeAutospacing="1" w:after="100" w:afterAutospacing="1"/>
                        <w:contextualSpacing/>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(Health-Related Factors)</w:t>
                      </w:r>
                    </w:p>
                    <w:p w14:paraId="2719043C">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Informed about immunization </w:t>
                      </w:r>
                    </w:p>
                    <w:p w14:paraId="08AB6BDF">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Source of Information on Immunization </w:t>
                      </w:r>
                    </w:p>
                    <w:p w14:paraId="068FD9FD">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Awareness of vaccination schedules</w:t>
                      </w:r>
                    </w:p>
                    <w:p w14:paraId="076C3128">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Knowledge of vaccine Benefit</w:t>
                      </w:r>
                    </w:p>
                    <w:p w14:paraId="5C4EE1C0">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Awareness of malaria risks</w:t>
                      </w:r>
                    </w:p>
                    <w:p w14:paraId="369D353A">
                      <w:pPr>
                        <w:spacing w:before="100" w:beforeAutospacing="1" w:after="100" w:afterAutospacing="1"/>
                        <w:contextualSpacing/>
                        <w:rPr>
                          <w:rFonts w:ascii="Times New Roman" w:hAnsi="Times New Roman" w:eastAsia="Times New Roman" w:cs="Times New Roman"/>
                          <w:sz w:val="24"/>
                          <w:szCs w:val="24"/>
                        </w:rPr>
                      </w:pPr>
                    </w:p>
                  </w:txbxContent>
                </v:textbox>
              </v:shape>
            </w:pict>
          </mc:Fallback>
        </mc:AlternateContent>
      </w:r>
      <w:r>
        <w:rPr>
          <w:rFonts w:ascii="Times New Roman" w:hAnsi="Times New Roman" w:cs="Times New Roman"/>
          <w:sz w:val="24"/>
          <w:szCs w:val="24"/>
          <w:lang w:val="en-GB" w:eastAsia="en-GB"/>
        </w:rPr>
        <mc:AlternateContent>
          <mc:Choice Requires="wps">
            <w:drawing>
              <wp:anchor distT="0" distB="0" distL="114300" distR="114300" simplePos="0" relativeHeight="251662336" behindDoc="0" locked="0" layoutInCell="1" allowOverlap="1">
                <wp:simplePos x="0" y="0"/>
                <wp:positionH relativeFrom="margin">
                  <wp:posOffset>4049395</wp:posOffset>
                </wp:positionH>
                <wp:positionV relativeFrom="paragraph">
                  <wp:posOffset>34290</wp:posOffset>
                </wp:positionV>
                <wp:extent cx="2828925" cy="952500"/>
                <wp:effectExtent l="0" t="0" r="28575" b="19050"/>
                <wp:wrapNone/>
                <wp:docPr id="15" name="Text Box 15"/>
                <wp:cNvGraphicFramePr/>
                <a:graphic xmlns:a="http://schemas.openxmlformats.org/drawingml/2006/main">
                  <a:graphicData uri="http://schemas.microsoft.com/office/word/2010/wordprocessingShape">
                    <wps:wsp>
                      <wps:cNvSpPr txBox="1"/>
                      <wps:spPr>
                        <a:xfrm>
                          <a:off x="0" y="0"/>
                          <a:ext cx="2828925" cy="952500"/>
                        </a:xfrm>
                        <a:prstGeom prst="rect">
                          <a:avLst/>
                        </a:prstGeom>
                        <a:solidFill>
                          <a:sysClr val="window" lastClr="FFFFFF"/>
                        </a:solidFill>
                        <a:ln w="19050" cap="flat" cmpd="sng" algn="ctr">
                          <a:solidFill>
                            <a:schemeClr val="accent1">
                              <a:alpha val="90000"/>
                            </a:schemeClr>
                          </a:solidFill>
                          <a:prstDash val="solid"/>
                          <a:miter lim="800000"/>
                        </a:ln>
                        <a:effectLst/>
                      </wps:spPr>
                      <wps:txbx>
                        <w:txbxContent>
                          <w:p w14:paraId="5DF3DA19">
                            <w:pPr>
                              <w:spacing w:before="100" w:beforeAutospacing="1" w:after="100" w:afterAutospacing="1"/>
                              <w:contextualSpacing/>
                              <w:rPr>
                                <w:rFonts w:ascii="Times New Roman" w:hAnsi="Times New Roman" w:eastAsia="Times New Roman" w:cs="Times New Roman"/>
                                <w:b/>
                                <w:sz w:val="18"/>
                                <w:szCs w:val="18"/>
                              </w:rPr>
                            </w:pPr>
                            <w:r>
                              <w:rPr>
                                <w:rFonts w:ascii="Times New Roman" w:hAnsi="Times New Roman" w:eastAsia="Times New Roman" w:cs="Times New Roman"/>
                                <w:b/>
                                <w:sz w:val="18"/>
                                <w:szCs w:val="18"/>
                              </w:rPr>
                              <w:t xml:space="preserve">Perceived attitude towards malaria </w:t>
                            </w:r>
                          </w:p>
                          <w:p w14:paraId="27FA33BC">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Perceived severity of malaria</w:t>
                            </w:r>
                          </w:p>
                          <w:p w14:paraId="4A2F5459">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Attitude towards benefit of ITN Utilization</w:t>
                            </w:r>
                          </w:p>
                          <w:p w14:paraId="30BD6752">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 Perceived susceptibility to malaria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8.85pt;margin-top:2.7pt;height:75pt;width:222.75pt;mso-position-horizontal-relative:margin;z-index:251662336;mso-width-relative:page;mso-height-relative:page;" fillcolor="#FFFFFF" filled="t" stroked="t" coordsize="21600,21600" o:gfxdata="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JFdHUPbAAAACgEAAA8AAAAAAAAAAQAgAAAAIgAAAGRycy9kb3ducmV2LnhtbFBLAQIUABQAAAAI&#10;AIdO4kBHVl2UlQIAAEoFAAAOAAAAAAAAAAEAIAAAACoBAABkcnMvZTJvRG9jLnhtbFBLBQYAAAAA&#10;BgAGAFkBAAAxBgAAAAA=&#10;">
                <v:fill on="t" focussize="0,0"/>
                <v:stroke weight="1.5pt" color="#4F81BD [3204]" opacity="58982f" miterlimit="8" joinstyle="miter"/>
                <v:imagedata o:title=""/>
                <o:lock v:ext="edit" aspectratio="f"/>
                <v:textbox>
                  <w:txbxContent>
                    <w:p w14:paraId="5DF3DA19">
                      <w:pPr>
                        <w:spacing w:before="100" w:beforeAutospacing="1" w:after="100" w:afterAutospacing="1"/>
                        <w:contextualSpacing/>
                        <w:rPr>
                          <w:rFonts w:ascii="Times New Roman" w:hAnsi="Times New Roman" w:eastAsia="Times New Roman" w:cs="Times New Roman"/>
                          <w:b/>
                          <w:sz w:val="18"/>
                          <w:szCs w:val="18"/>
                        </w:rPr>
                      </w:pPr>
                      <w:r>
                        <w:rPr>
                          <w:rFonts w:ascii="Times New Roman" w:hAnsi="Times New Roman" w:eastAsia="Times New Roman" w:cs="Times New Roman"/>
                          <w:b/>
                          <w:sz w:val="18"/>
                          <w:szCs w:val="18"/>
                        </w:rPr>
                        <w:t xml:space="preserve">Perceived attitude towards malaria </w:t>
                      </w:r>
                    </w:p>
                    <w:p w14:paraId="27FA33BC">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Perceived severity of malaria</w:t>
                      </w:r>
                    </w:p>
                    <w:p w14:paraId="4A2F5459">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Attitude towards benefit of ITN Utilization</w:t>
                      </w:r>
                    </w:p>
                    <w:p w14:paraId="30BD6752">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 Perceived susceptibility to malaria</w:t>
                      </w:r>
                    </w:p>
                  </w:txbxContent>
                </v:textbox>
              </v:shape>
            </w:pict>
          </mc:Fallback>
        </mc:AlternateContent>
      </w:r>
    </w:p>
    <w:p w14:paraId="368BA367">
      <w:pPr>
        <w:rPr>
          <w:rFonts w:ascii="Times New Roman" w:hAnsi="Times New Roman" w:cs="Times New Roman"/>
          <w:sz w:val="24"/>
          <w:szCs w:val="24"/>
        </w:rPr>
      </w:pPr>
      <w:r>
        <w:rPr>
          <w:rFonts w:ascii="Times New Roman" w:hAnsi="Times New Roman" w:cs="Times New Roman"/>
          <w:sz w:val="24"/>
          <w:szCs w:val="24"/>
          <w:lang w:val="en-GB" w:eastAsia="en-GB"/>
        </w:rPr>
        <mc:AlternateContent>
          <mc:Choice Requires="wps">
            <w:drawing>
              <wp:anchor distT="0" distB="0" distL="114300" distR="114300" simplePos="0" relativeHeight="251674624" behindDoc="0" locked="0" layoutInCell="1" allowOverlap="1">
                <wp:simplePos x="0" y="0"/>
                <wp:positionH relativeFrom="margin">
                  <wp:posOffset>3677920</wp:posOffset>
                </wp:positionH>
                <wp:positionV relativeFrom="paragraph">
                  <wp:posOffset>173355</wp:posOffset>
                </wp:positionV>
                <wp:extent cx="352425" cy="361950"/>
                <wp:effectExtent l="38100" t="38100" r="28575" b="19050"/>
                <wp:wrapNone/>
                <wp:docPr id="51" name="Straight Arrow Connector 51"/>
                <wp:cNvGraphicFramePr/>
                <a:graphic xmlns:a="http://schemas.openxmlformats.org/drawingml/2006/main">
                  <a:graphicData uri="http://schemas.microsoft.com/office/word/2010/wordprocessingShape">
                    <wps:wsp>
                      <wps:cNvCnPr/>
                      <wps:spPr>
                        <a:xfrm flipH="1" flipV="1">
                          <a:off x="0" y="0"/>
                          <a:ext cx="352425" cy="361950"/>
                        </a:xfrm>
                        <a:prstGeom prst="straightConnector1">
                          <a:avLst/>
                        </a:prstGeom>
                        <a:noFill/>
                        <a:ln w="19050" cap="flat" cmpd="sng" algn="ctr">
                          <a:solidFill>
                            <a:srgbClr val="5B9BD5"/>
                          </a:solidFill>
                          <a:prstDash val="solid"/>
                          <a:miter lim="800000"/>
                          <a:tailEnd type="arrow"/>
                        </a:ln>
                        <a:effectLst/>
                      </wps:spPr>
                      <wps:bodyPr/>
                    </wps:wsp>
                  </a:graphicData>
                </a:graphic>
              </wp:anchor>
            </w:drawing>
          </mc:Choice>
          <mc:Fallback>
            <w:pict>
              <v:shape id="_x0000_s1026" o:spid="_x0000_s1026" o:spt="32" type="#_x0000_t32" style="position:absolute;left:0pt;flip:x y;margin-left:289.6pt;margin-top:13.65pt;height:28.5pt;width:27.75pt;mso-position-horizontal-relative:margin;z-index:251674624;mso-width-relative:page;mso-height-relative:page;" filled="f" stroked="t" coordsize="21600,21600" o:gfxdata="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dwdc12wAAAAkBAAAPAAAAAAAAAAEAIAAAACIA&#10;AABkcnMvZG93bnJldi54bWxQSwECFAAUAAAACACHTuJAtTxz4AYCAAAKBAAADgAAAAAAAAABACAA&#10;AAAqAQAAZHJzL2Uyb0RvYy54bWxQSwUGAAAAAAYABgBZAQAAogUAAAAA&#10;">
                <v:fill on="f" focussize="0,0"/>
                <v:stroke weight="1.5pt" color="#5B9BD5" miterlimit="8" joinstyle="miter" endarrow="open"/>
                <v:imagedata o:title=""/>
                <o:lock v:ext="edit" aspectratio="f"/>
              </v:shape>
            </w:pict>
          </mc:Fallback>
        </mc:AlternateContent>
      </w:r>
    </w:p>
    <w:p w14:paraId="7899BBB9">
      <w:pPr>
        <w:rPr>
          <w:rFonts w:ascii="Times New Roman" w:hAnsi="Times New Roman" w:cs="Times New Roman"/>
          <w:sz w:val="24"/>
          <w:szCs w:val="24"/>
        </w:rPr>
      </w:pPr>
      <w:r>
        <w:rPr>
          <w:rFonts w:ascii="Times New Roman" w:hAnsi="Times New Roman" w:cs="Times New Roman"/>
          <w:sz w:val="24"/>
          <w:szCs w:val="24"/>
          <w:lang w:val="en-GB" w:eastAsia="en-GB"/>
        </w:rPr>
        <mc:AlternateContent>
          <mc:Choice Requires="wps">
            <w:drawing>
              <wp:anchor distT="0" distB="0" distL="114300" distR="114300" simplePos="0" relativeHeight="251675648" behindDoc="0" locked="0" layoutInCell="1" allowOverlap="1">
                <wp:simplePos x="0" y="0"/>
                <wp:positionH relativeFrom="margin">
                  <wp:posOffset>2002155</wp:posOffset>
                </wp:positionH>
                <wp:positionV relativeFrom="paragraph">
                  <wp:posOffset>45085</wp:posOffset>
                </wp:positionV>
                <wp:extent cx="523875" cy="600075"/>
                <wp:effectExtent l="0" t="38100" r="47625" b="28575"/>
                <wp:wrapNone/>
                <wp:docPr id="52" name="Straight Arrow Connector 52"/>
                <wp:cNvGraphicFramePr/>
                <a:graphic xmlns:a="http://schemas.openxmlformats.org/drawingml/2006/main">
                  <a:graphicData uri="http://schemas.microsoft.com/office/word/2010/wordprocessingShape">
                    <wps:wsp>
                      <wps:cNvCnPr/>
                      <wps:spPr>
                        <a:xfrm flipV="1">
                          <a:off x="0" y="0"/>
                          <a:ext cx="523875" cy="600075"/>
                        </a:xfrm>
                        <a:prstGeom prst="straightConnector1">
                          <a:avLst/>
                        </a:prstGeom>
                        <a:noFill/>
                        <a:ln w="19050" cap="flat" cmpd="sng" algn="ctr">
                          <a:solidFill>
                            <a:srgbClr val="5B9BD5"/>
                          </a:solidFill>
                          <a:prstDash val="solid"/>
                          <a:miter lim="800000"/>
                          <a:tailEnd type="arrow"/>
                        </a:ln>
                        <a:effectLst/>
                      </wps:spPr>
                      <wps:bodyPr/>
                    </wps:wsp>
                  </a:graphicData>
                </a:graphic>
              </wp:anchor>
            </w:drawing>
          </mc:Choice>
          <mc:Fallback>
            <w:pict>
              <v:shape id="_x0000_s1026" o:spid="_x0000_s1026" o:spt="32" type="#_x0000_t32" style="position:absolute;left:0pt;flip:y;margin-left:157.65pt;margin-top:3.55pt;height:47.25pt;width:41.25pt;mso-position-horizontal-relative:margin;z-index:251675648;mso-width-relative:page;mso-height-relative:page;" filled="f" stroked="t" coordsize="21600,21600" o:gfxdata="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tEXAbZAAAACQEAAA8AAAAAAAAAAQAgAAAAIgAAAGRycy9kb3du&#10;cmV2LnhtbFBLAQIUABQAAAAIAIdO4kCyg4mb/gEAAAAEAAAOAAAAAAAAAAEAIAAAACgBAABkcnMv&#10;ZTJvRG9jLnhtbFBLBQYAAAAABgAGAFkBAACYBQAAAAA=&#10;">
                <v:fill on="f" focussize="0,0"/>
                <v:stroke weight="1.5pt" color="#5B9BD5" miterlimit="8" joinstyle="miter" endarrow="open"/>
                <v:imagedata o:title=""/>
                <o:lock v:ext="edit" aspectratio="f"/>
              </v:shape>
            </w:pict>
          </mc:Fallback>
        </mc:AlternateContent>
      </w:r>
    </w:p>
    <w:p w14:paraId="3CDB5CAC">
      <w:pPr>
        <w:rPr>
          <w:rFonts w:ascii="Times New Roman" w:hAnsi="Times New Roman" w:cs="Times New Roman"/>
          <w:sz w:val="24"/>
          <w:szCs w:val="24"/>
        </w:rPr>
      </w:pPr>
      <w:r>
        <w:rPr>
          <w:rFonts w:ascii="Times New Roman" w:hAnsi="Times New Roman" w:cs="Times New Roman"/>
          <w:sz w:val="24"/>
          <w:szCs w:val="24"/>
          <w:lang w:val="en-GB" w:eastAsia="en-GB"/>
        </w:rPr>
        <mc:AlternateContent>
          <mc:Choice Requires="wps">
            <w:drawing>
              <wp:anchor distT="0" distB="0" distL="114300" distR="114300" simplePos="0" relativeHeight="251673600" behindDoc="0" locked="0" layoutInCell="1" allowOverlap="1">
                <wp:simplePos x="0" y="0"/>
                <wp:positionH relativeFrom="margin">
                  <wp:posOffset>3068320</wp:posOffset>
                </wp:positionH>
                <wp:positionV relativeFrom="paragraph">
                  <wp:posOffset>51435</wp:posOffset>
                </wp:positionV>
                <wp:extent cx="962025" cy="1143000"/>
                <wp:effectExtent l="38100" t="38100" r="28575" b="19050"/>
                <wp:wrapNone/>
                <wp:docPr id="53" name="Straight Arrow Connector 53"/>
                <wp:cNvGraphicFramePr/>
                <a:graphic xmlns:a="http://schemas.openxmlformats.org/drawingml/2006/main">
                  <a:graphicData uri="http://schemas.microsoft.com/office/word/2010/wordprocessingShape">
                    <wps:wsp>
                      <wps:cNvCnPr/>
                      <wps:spPr>
                        <a:xfrm flipH="1" flipV="1">
                          <a:off x="0" y="0"/>
                          <a:ext cx="962025" cy="1143000"/>
                        </a:xfrm>
                        <a:prstGeom prst="straightConnector1">
                          <a:avLst/>
                        </a:prstGeom>
                        <a:noFill/>
                        <a:ln w="19050" cap="flat" cmpd="sng" algn="ctr">
                          <a:solidFill>
                            <a:srgbClr val="5B9BD5"/>
                          </a:solidFill>
                          <a:prstDash val="solid"/>
                          <a:miter lim="800000"/>
                          <a:tailEnd type="arrow"/>
                        </a:ln>
                        <a:effectLst/>
                      </wps:spPr>
                      <wps:bodyPr/>
                    </wps:wsp>
                  </a:graphicData>
                </a:graphic>
              </wp:anchor>
            </w:drawing>
          </mc:Choice>
          <mc:Fallback>
            <w:pict>
              <v:shape id="_x0000_s1026" o:spid="_x0000_s1026" o:spt="32" type="#_x0000_t32" style="position:absolute;left:0pt;flip:x y;margin-left:241.6pt;margin-top:4.05pt;height:90pt;width:75.75pt;mso-position-horizontal-relative:margin;z-index:251673600;mso-width-relative:page;mso-height-relative:page;" filled="f" stroked="t" coordsize="21600,21600" o:gfxdata="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y2kj/ZAAAACQEAAA8AAAAAAAAAAQAgAAAAIgAA&#10;AGRycy9kb3ducmV2LnhtbFBLAQIUABQAAAAIAIdO4kAyHH15BwIAAAsEAAAOAAAAAAAAAAEAIAAA&#10;ACgBAABkcnMvZTJvRG9jLnhtbFBLBQYAAAAABgAGAFkBAAChBQAAAAA=&#10;">
                <v:fill on="f" focussize="0,0"/>
                <v:stroke weight="1.5pt" color="#5B9BD5" miterlimit="8" joinstyle="miter" endarrow="open"/>
                <v:imagedata o:title=""/>
                <o:lock v:ext="edit" aspectratio="f"/>
              </v:shape>
            </w:pict>
          </mc:Fallback>
        </mc:AlternateContent>
      </w:r>
    </w:p>
    <w:p w14:paraId="152706D7">
      <w:pPr>
        <w:rPr>
          <w:rFonts w:ascii="Times New Roman" w:hAnsi="Times New Roman" w:cs="Times New Roman"/>
          <w:sz w:val="24"/>
          <w:szCs w:val="24"/>
        </w:rPr>
      </w:pPr>
    </w:p>
    <w:p w14:paraId="66088E73">
      <w:pPr>
        <w:rPr>
          <w:rFonts w:ascii="Times New Roman" w:hAnsi="Times New Roman" w:cs="Times New Roman"/>
          <w:sz w:val="24"/>
          <w:szCs w:val="24"/>
        </w:rPr>
      </w:pPr>
    </w:p>
    <w:p w14:paraId="65A15F2C">
      <w:pPr>
        <w:jc w:val="both"/>
        <w:rPr>
          <w:rFonts w:ascii="Times New Roman" w:hAnsi="Times New Roman" w:cs="Times New Roman"/>
          <w:sz w:val="24"/>
          <w:szCs w:val="24"/>
        </w:rPr>
      </w:pPr>
      <w:r>
        <w:rPr>
          <w:rFonts w:ascii="Times New Roman" w:hAnsi="Times New Roman" w:cs="Times New Roman"/>
          <w:sz w:val="24"/>
          <w:szCs w:val="24"/>
          <w:lang w:val="en-GB" w:eastAsia="en-GB"/>
        </w:rPr>
        <mc:AlternateContent>
          <mc:Choice Requires="wps">
            <w:drawing>
              <wp:anchor distT="0" distB="0" distL="114300" distR="114300" simplePos="0" relativeHeight="251661312" behindDoc="0" locked="0" layoutInCell="1" allowOverlap="1">
                <wp:simplePos x="0" y="0"/>
                <wp:positionH relativeFrom="page">
                  <wp:posOffset>4772025</wp:posOffset>
                </wp:positionH>
                <wp:positionV relativeFrom="paragraph">
                  <wp:posOffset>68580</wp:posOffset>
                </wp:positionV>
                <wp:extent cx="2819400" cy="1762125"/>
                <wp:effectExtent l="0" t="0" r="19050" b="28575"/>
                <wp:wrapNone/>
                <wp:docPr id="14" name="Text Box 14"/>
                <wp:cNvGraphicFramePr/>
                <a:graphic xmlns:a="http://schemas.openxmlformats.org/drawingml/2006/main">
                  <a:graphicData uri="http://schemas.microsoft.com/office/word/2010/wordprocessingShape">
                    <wps:wsp>
                      <wps:cNvSpPr txBox="1"/>
                      <wps:spPr>
                        <a:xfrm>
                          <a:off x="0" y="0"/>
                          <a:ext cx="2819400" cy="1762125"/>
                        </a:xfrm>
                        <a:prstGeom prst="rect">
                          <a:avLst/>
                        </a:prstGeom>
                        <a:solidFill>
                          <a:sysClr val="window" lastClr="FFFFFF"/>
                        </a:solidFill>
                        <a:ln w="19050" cap="flat" cmpd="sng" algn="ctr">
                          <a:solidFill>
                            <a:schemeClr val="accent1"/>
                          </a:solidFill>
                          <a:prstDash val="solid"/>
                          <a:miter lim="800000"/>
                        </a:ln>
                        <a:effectLst/>
                      </wps:spPr>
                      <wps:txbx>
                        <w:txbxContent>
                          <w:p w14:paraId="01B58E14">
                            <w:pPr>
                              <w:spacing w:before="100" w:beforeAutospacing="1" w:after="100" w:afterAutospacing="1"/>
                              <w:contextualSpacing/>
                              <w:rPr>
                                <w:rFonts w:ascii="Times New Roman" w:hAnsi="Times New Roman" w:eastAsia="Times New Roman" w:cs="Times New Roman"/>
                                <w:sz w:val="24"/>
                                <w:szCs w:val="24"/>
                              </w:rPr>
                            </w:pPr>
                            <w:bookmarkStart w:id="589" w:name="_Hlk197901796"/>
                            <w:r>
                              <w:rPr>
                                <w:rFonts w:ascii="Times New Roman" w:hAnsi="Times New Roman" w:eastAsia="Times New Roman" w:cs="Times New Roman"/>
                                <w:b/>
                                <w:bCs/>
                                <w:sz w:val="24"/>
                                <w:szCs w:val="24"/>
                              </w:rPr>
                              <w:t xml:space="preserve">Experience and Attitude towards immunization program </w:t>
                            </w:r>
                          </w:p>
                          <w:bookmarkEnd w:id="589"/>
                          <w:p w14:paraId="30ED9F58">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Time to reach vaccination site </w:t>
                            </w:r>
                          </w:p>
                          <w:p w14:paraId="7A057175">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Previous vaccination history </w:t>
                            </w:r>
                          </w:p>
                          <w:p w14:paraId="0B36259B">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Waiting time at vaccination site</w:t>
                            </w:r>
                          </w:p>
                          <w:p w14:paraId="69E8BBBC">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Confidence in vaccination programs</w:t>
                            </w:r>
                          </w:p>
                          <w:p w14:paraId="37AF1DE1">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Attitude towards previous vaccinators </w:t>
                            </w:r>
                          </w:p>
                          <w:p w14:paraId="258A3E3C">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Perceived rate of vaccine importance</w:t>
                            </w:r>
                          </w:p>
                          <w:p w14:paraId="417A5F4C">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Recommendation of vaccine to other  </w:t>
                            </w:r>
                          </w:p>
                          <w:p w14:paraId="03EF195E">
                            <w:pPr>
                              <w:spacing w:before="100" w:beforeAutospacing="1" w:after="100" w:afterAutospacing="1"/>
                              <w:ind w:left="720"/>
                              <w:rPr>
                                <w:rFonts w:ascii="Times New Roman" w:hAnsi="Times New Roman" w:eastAsia="Times New Roman" w:cs="Times New Roman"/>
                                <w:sz w:val="24"/>
                                <w:szCs w:val="24"/>
                              </w:rPr>
                            </w:pPr>
                            <w:r>
                              <w:rPr>
                                <w:rFonts w:ascii="Times New Roman" w:hAnsi="Times New Roman" w:eastAsia="Times New Roman" w:cs="Times New Roman"/>
                                <w:sz w:val="24"/>
                                <w:szCs w:val="24"/>
                                <w:highlight w:val="yellow"/>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5.75pt;margin-top:5.4pt;height:138.75pt;width:222pt;mso-position-horizontal-relative:page;z-index:251661312;mso-width-relative:page;mso-height-relative:page;" fillcolor="#FFFFFF" filled="t" stroked="t" coordsize="21600,21600" o:gfxdata="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NjWT1fZAAAACwEAAA8A&#10;AAAAAAAAAQAgAAAAIgAAAGRycy9kb3ducmV2LnhtbFBLAQIUABQAAAAIAIdO4kCVjpADiAIAACoF&#10;AAAOAAAAAAAAAAEAIAAAACgBAABkcnMvZTJvRG9jLnhtbFBLBQYAAAAABgAGAFkBAAAiBgAAAAA=&#10;">
                <v:fill on="t" focussize="0,0"/>
                <v:stroke weight="1.5pt" color="#4F81BD [3204]" miterlimit="8" joinstyle="miter"/>
                <v:imagedata o:title=""/>
                <o:lock v:ext="edit" aspectratio="f"/>
                <v:textbox>
                  <w:txbxContent>
                    <w:p w14:paraId="01B58E14">
                      <w:pPr>
                        <w:spacing w:before="100" w:beforeAutospacing="1" w:after="100" w:afterAutospacing="1"/>
                        <w:contextualSpacing/>
                        <w:rPr>
                          <w:rFonts w:ascii="Times New Roman" w:hAnsi="Times New Roman" w:eastAsia="Times New Roman" w:cs="Times New Roman"/>
                          <w:sz w:val="24"/>
                          <w:szCs w:val="24"/>
                        </w:rPr>
                      </w:pPr>
                      <w:bookmarkStart w:id="589" w:name="_Hlk197901796"/>
                      <w:r>
                        <w:rPr>
                          <w:rFonts w:ascii="Times New Roman" w:hAnsi="Times New Roman" w:eastAsia="Times New Roman" w:cs="Times New Roman"/>
                          <w:b/>
                          <w:bCs/>
                          <w:sz w:val="24"/>
                          <w:szCs w:val="24"/>
                        </w:rPr>
                        <w:t xml:space="preserve">Experience and Attitude towards immunization program </w:t>
                      </w:r>
                    </w:p>
                    <w:bookmarkEnd w:id="589"/>
                    <w:p w14:paraId="30ED9F58">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Time to reach vaccination site </w:t>
                      </w:r>
                    </w:p>
                    <w:p w14:paraId="7A057175">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Previous vaccination history </w:t>
                      </w:r>
                    </w:p>
                    <w:p w14:paraId="0B36259B">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Waiting time at vaccination site</w:t>
                      </w:r>
                    </w:p>
                    <w:p w14:paraId="69E8BBBC">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Confidence in vaccination programs</w:t>
                      </w:r>
                    </w:p>
                    <w:p w14:paraId="37AF1DE1">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Attitude towards previous vaccinators </w:t>
                      </w:r>
                    </w:p>
                    <w:p w14:paraId="258A3E3C">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Perceived rate of vaccine importance</w:t>
                      </w:r>
                    </w:p>
                    <w:p w14:paraId="417A5F4C">
                      <w:pPr>
                        <w:pStyle w:val="51"/>
                        <w:numPr>
                          <w:ilvl w:val="0"/>
                          <w:numId w:val="1"/>
                        </w:numPr>
                        <w:spacing w:before="100" w:beforeAutospacing="1" w:after="100" w:afterAutospacing="1"/>
                        <w:rPr>
                          <w:rFonts w:ascii="Times New Roman" w:hAnsi="Times New Roman" w:eastAsia="Times New Roman" w:cs="Times New Roman"/>
                          <w:sz w:val="18"/>
                          <w:szCs w:val="18"/>
                        </w:rPr>
                      </w:pPr>
                      <w:r>
                        <w:rPr>
                          <w:rFonts w:ascii="Times New Roman" w:hAnsi="Times New Roman" w:eastAsia="Times New Roman" w:cs="Times New Roman"/>
                          <w:sz w:val="18"/>
                          <w:szCs w:val="18"/>
                        </w:rPr>
                        <w:t xml:space="preserve">Recommendation of vaccine to other  </w:t>
                      </w:r>
                    </w:p>
                    <w:p w14:paraId="03EF195E">
                      <w:pPr>
                        <w:spacing w:before="100" w:beforeAutospacing="1" w:after="100" w:afterAutospacing="1"/>
                        <w:ind w:left="720"/>
                        <w:rPr>
                          <w:rFonts w:ascii="Times New Roman" w:hAnsi="Times New Roman" w:eastAsia="Times New Roman" w:cs="Times New Roman"/>
                          <w:sz w:val="24"/>
                          <w:szCs w:val="24"/>
                        </w:rPr>
                      </w:pPr>
                      <w:r>
                        <w:rPr>
                          <w:rFonts w:ascii="Times New Roman" w:hAnsi="Times New Roman" w:eastAsia="Times New Roman" w:cs="Times New Roman"/>
                          <w:sz w:val="24"/>
                          <w:szCs w:val="24"/>
                          <w:highlight w:val="yellow"/>
                        </w:rPr>
                        <w:t xml:space="preserve"> </w:t>
                      </w:r>
                    </w:p>
                  </w:txbxContent>
                </v:textbox>
              </v:shape>
            </w:pict>
          </mc:Fallback>
        </mc:AlternateContent>
      </w:r>
    </w:p>
    <w:p w14:paraId="62E34EB7">
      <w:pPr>
        <w:jc w:val="both"/>
        <w:rPr>
          <w:rFonts w:ascii="Times New Roman" w:hAnsi="Times New Roman" w:cs="Times New Roman"/>
          <w:sz w:val="24"/>
          <w:szCs w:val="24"/>
        </w:rPr>
      </w:pPr>
    </w:p>
    <w:p w14:paraId="66CAE782">
      <w:pPr>
        <w:jc w:val="both"/>
        <w:rPr>
          <w:rFonts w:ascii="Times New Roman" w:hAnsi="Times New Roman" w:cs="Times New Roman"/>
          <w:sz w:val="24"/>
          <w:szCs w:val="24"/>
        </w:rPr>
      </w:pPr>
    </w:p>
    <w:p w14:paraId="29095C99">
      <w:pPr>
        <w:jc w:val="both"/>
        <w:rPr>
          <w:rFonts w:ascii="Times New Roman" w:hAnsi="Times New Roman" w:cs="Times New Roman"/>
          <w:sz w:val="24"/>
          <w:szCs w:val="24"/>
        </w:rPr>
      </w:pPr>
    </w:p>
    <w:p w14:paraId="21070341">
      <w:pPr>
        <w:jc w:val="both"/>
        <w:rPr>
          <w:rFonts w:ascii="Times New Roman" w:hAnsi="Times New Roman" w:cs="Times New Roman"/>
          <w:sz w:val="24"/>
          <w:szCs w:val="24"/>
        </w:rPr>
      </w:pPr>
    </w:p>
    <w:p w14:paraId="091F4281">
      <w:pPr>
        <w:jc w:val="both"/>
        <w:rPr>
          <w:rFonts w:ascii="Times New Roman" w:hAnsi="Times New Roman" w:cs="Times New Roman"/>
          <w:sz w:val="24"/>
          <w:szCs w:val="24"/>
        </w:rPr>
      </w:pPr>
    </w:p>
    <w:p w14:paraId="0A20848A">
      <w:pPr>
        <w:jc w:val="both"/>
        <w:rPr>
          <w:rFonts w:ascii="Times New Roman" w:hAnsi="Times New Roman" w:cs="Times New Roman"/>
          <w:sz w:val="24"/>
          <w:szCs w:val="24"/>
        </w:rPr>
      </w:pPr>
    </w:p>
    <w:p w14:paraId="5E8D0BAF">
      <w:pPr>
        <w:jc w:val="both"/>
        <w:rPr>
          <w:rFonts w:ascii="Times New Roman" w:hAnsi="Times New Roman" w:cs="Times New Roman"/>
          <w:sz w:val="24"/>
          <w:szCs w:val="24"/>
        </w:rPr>
      </w:pPr>
    </w:p>
    <w:p w14:paraId="188E1714">
      <w:pPr>
        <w:jc w:val="both"/>
        <w:rPr>
          <w:rFonts w:ascii="Times New Roman" w:hAnsi="Times New Roman" w:cs="Times New Roman"/>
          <w:sz w:val="24"/>
          <w:szCs w:val="24"/>
        </w:rPr>
      </w:pPr>
    </w:p>
    <w:p w14:paraId="60E1C906">
      <w:pPr>
        <w:jc w:val="both"/>
        <w:rPr>
          <w:rFonts w:ascii="Times New Roman" w:hAnsi="Times New Roman" w:cs="Times New Roman"/>
          <w:sz w:val="24"/>
          <w:szCs w:val="24"/>
        </w:rPr>
      </w:pPr>
    </w:p>
    <w:p w14:paraId="0E52C65F">
      <w:pPr>
        <w:jc w:val="both"/>
        <w:rPr>
          <w:rFonts w:ascii="Times New Roman" w:hAnsi="Times New Roman" w:cs="Times New Roman"/>
          <w:sz w:val="24"/>
          <w:szCs w:val="24"/>
        </w:rPr>
      </w:pPr>
    </w:p>
    <w:p w14:paraId="2F8A4E23">
      <w:pPr>
        <w:pStyle w:val="14"/>
        <w:rPr>
          <w:rFonts w:ascii="Times New Roman" w:hAnsi="Times New Roman" w:cs="Times New Roman"/>
          <w:sz w:val="24"/>
          <w:szCs w:val="24"/>
        </w:rPr>
      </w:pPr>
      <w:bookmarkStart w:id="241" w:name="_Toc197885023"/>
      <w:r>
        <w:rPr>
          <w:rFonts w:ascii="Times New Roman" w:hAnsi="Times New Roman" w:cs="Times New Roman"/>
          <w:sz w:val="24"/>
          <w:szCs w:val="24"/>
        </w:rPr>
        <w:t xml:space="preserve">Figure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Figure \* ARABIC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 xml:space="preserve"> Conceptual</w:t>
      </w:r>
      <w:r>
        <w:rPr>
          <w:rFonts w:ascii="Times New Roman" w:hAnsi="Times New Roman" w:eastAsia="Times New Roman" w:cs="Times New Roman"/>
          <w:sz w:val="24"/>
          <w:szCs w:val="24"/>
        </w:rPr>
        <w:t xml:space="preserve"> frame work for variables related to acceptance of the malaria vaccine - from different Literature review </w:t>
      </w:r>
      <w:r>
        <w:rPr>
          <w:rFonts w:ascii="Times New Roman" w:hAnsi="Times New Roman" w:eastAsia="Times New Roman" w:cs="Times New Roman"/>
          <w:sz w:val="24"/>
          <w:szCs w:val="24"/>
        </w:rPr>
        <w:fldChar w:fldCharType="begin" w:fldLock="1"/>
      </w:r>
      <w:r>
        <w:rPr>
          <w:rFonts w:ascii="Times New Roman" w:hAnsi="Times New Roman" w:eastAsia="Times New Roman" w:cs="Times New Roman"/>
          <w:sz w:val="24"/>
          <w:szCs w:val="24"/>
        </w:rPr>
        <w:instrText xml:space="preserve">ADDIN CSL_CITATION {"citationItems":[{"id":"ITEM-1","itemData":{"DOI":"10.1016/j.vaccine.2019.10.077","ISSN":"18732518","PMID":"31708182","abstract":"Background: We assessed the safety and immunogenicity of the RTS,S/AS01 malaria vaccine in a subset of children identified as HIV-infected during a large phase III randomized controlled trial conducted in seven sub-Saharan African countries. Methods: Infants 6–12 weeks and children 5–17 months old were randomized to receive 4 RTS,S/AS01 doses (R3R group), 3 RTS,S/AS01 doses plus 1 comparator vaccine dose (R3C group), or 4 comparator vaccine doses (C3C group) at study months 0, 1, 2 and 20. Infants and children with WHO stage III/IV HIV disease were excluded but HIV testing was not routinely performed on all participants; our analyses included children identified as HIV-infected based on medical history or clinical suspicion and confirmed by polymerase chain reaction or antibody testing. Serious adverse events (SAEs) and anti-circumsporozoite (CS) antibodies were assessed. Results: Of 15459 children enrolled in the trial, at least 1953 were tested for HIV and 153 were confirmed as HIV-infected (R3R: 51; R3C: 54; C3C: 48). Among these children, SAEs were reported for 92.2% (95% CI: 81.1–97.8) in the R3R, 85.2% (72.9–93.4) in the R3C and 87.5% (74.8–95.3) in the C3C group over a median follow-up of 39.3, 39.4 and 38.3 months, respectively. Fifteen HIV-infected participants in each group (R3R: 29.4%, R3C: 27.8%, C3C: 31.3%) died during the study. No deaths were considered vaccination-related. In a matched case-control analysis, 1 month post dose 3 anti-CS geometric mean antibody concentrations were 193.3 EU/mL in RTS,S/AS01-vaccinated HIV-infected children and 491.5 EU/mL in RTS,S/AS01-vaccinated immunogenicity controls with unknown or negative HIV status (p = 0.0001). Conclusions: The safety profile of RTS,S/AS01 in HIV-infected children was comparable to that of the comparator (meningococcal or rabies) vaccines. RTS,S/AS01 was immunogenic in HIV-infected children but antibody concentrations were lower than in children with an unknown or negative HIV status. Clinical trial registration: ClinicalTrials.gov: NCT00866619.","author":[{"dropping-particle":"","family":"Otieno","given":"Lucas","non-dropping-particle":"","parse-names":false,"suffix":""},{"dropping-particle":"","family":"Guerra Mendoza","given":"Yolanda","non-dropping-particle":"","parse-names":false,"suffix":""},{"dropping-particle":"","family":"Adjei","given":"Samuel","non-dropping-particle":"","parse-names":false,"suffix":""},{"dropping-particle":"","family":"Agbenyega","given":"Tsiri","non-dropping-particle":"","parse-names":false,"suffix":""},{"dropping-particle":"","family":"Agnandji","given":"Selidji Todagbe","non-dropping-particle":"","parse-names":false,"suffix":""},{"dropping-particle":"","family":"Aide","given":"Pedro","non-dropping-particle":"","parse-names":false,"suffix":""},{"dropping-particle":"","family":"Akoo","given":"Pauline","non-dropping-particle":"","parse-names":false,"suffix":""},{"dropping-particle":"","family":"Ansong","given":"Daniel","non-dropping-particle":"","parse-names":false,"suffix":""},{"dropping-particle":"","family":"Asante","given":"Kwaku Poku","non-dropping-particle":"","parse-names":false,"suffix":""},{"dropping-particle":"","family":"Berkley","given":"James A.","non-dropping-particle":"","parse-names":false,"suffix":""},{"dropping-particle":"","family":"Gesase","given":"Samwel","non-dropping-particle":"","parse-names":false,"suffix":""},{"dropping-particle":"","family":"Hamel","given":"Mary J.","non-dropping-particle":"","parse-names":false,"suffix":""},{"dropping-particle":"","family":"Hoffman","given":"Irving","non-dropping-particle":"","parse-names":false,"suffix":""},{"dropping-particle":"","family":"Kaali","given":"Seyram","non-dropping-particle":"","parse-names":false,"suffix":""},{"dropping-particle":"","family":"Kamthunzi","given":"Portia","non-dropping-particle":"","parse-names":false,"suffix":""},{"dropping-particle":"","family":"Kariuki","given":"Simon","non-dropping-particle":"","parse-names":false,"suffix":""},{"dropping-particle":"","family":"Kremsner","given":"Peter","non-dropping-particle":"","parse-names":false,"suffix":""},{"dropping-particle":"","family":"Lanaspa","given":"Miguel","non-dropping-particle":"","parse-names":false,"suffix":""},{"dropping-particle":"","family":"Lell","given":"Bertrand","non-dropping-particle":"","parse-names":false,"suffix":""},{"dropping-particle":"","family":"Lievens","given":"Marc","non-dropping-particle":"","parse-names":false,"suffix":""},{"dropping-particle":"","family":"Lusingu","given":"John","non-dropping-particle":"","parse-names":false,"suffix":""},{"dropping-particle":"","family":"Malabeja","given":"Anangisye","non-dropping-particle":"","parse-names":false,"suffix":""},{"dropping-particle":"","family":"Masoud","given":"Nahya Salim","non-dropping-particle":"","parse-names":false,"suffix":""},{"dropping-particle":"","family":"Mtoro","given":"Ali Takadir","non-dropping-particle":"","parse-names":false,"suffix":""},{"dropping-particle":"","family":"Njuguna","given":"Patricia","non-dropping-particle":"","parse-names":false,"suffix":""},{"dropping-particle":"","family":"Ofori-Anyinam","given":"Opokua","non-dropping-particle":"","parse-names":false,"suffix":""},{"dropping-particle":"","family":"Otieno","given":"Godfrey Allan","non-dropping-particle":"","parse-names":false,"suffix":""},{"dropping-particle":"","family":"Otieno","given":"Walter","non-dropping-particle":"","parse-names":false,"suffix":""},{"dropping-particle":"","family":"Owusu-Agyei","given":"Seth","non-dropping-particle":"","parse-names":false,"suffix":""},{"dropping-particle":"","family":"Schuerman","given":"Lode","non-dropping-particle":"","parse-names":false,"suffix":""},{"dropping-particle":"","family":"Sorgho","given":"Hermann","non-dropping-particle":"","parse-names":false,"suffix":""},{"dropping-particle":"","family":"Tanner","given":"Marcel","non-dropping-particle":"","parse-names":false,"suffix":""},{"dropping-particle":"","family":"Tinto","given":"Halidou","non-dropping-particle":"","parse-names":false,"suffix":""},{"dropping-particle":"","family":"Valea","given":"Innocent","non-dropping-particle":"","parse-names":false,"suffix":""},{"dropping-particle":"","family":"Vandoolaeghe","given":"Pascale","non-dropping-particle":"","parse-names":false,"suffix":""},{"dropping-particle":"","family":"Sacarlal","given":"Jahit","non-dropping-particle":"","parse-names":false,"suffix":""},{"dropping-particle":"","family":"Oneko","given":"Martina","non-dropping-particle":"","parse-names":false,"suffix":""}],"container-title":"Vaccine","id":"ITEM-1","issue":"4","issued":{"date-parts":[["2020"]]},"page":"897-906","publisher":"GlaxoSmithKline Biologicals S.A.","title":"Safety and immunogenicity of the RTS,S/AS01 malaria vaccine in infants and children identified as HIV-infected during a randomized trial in sub-Saharan Africa","type":"article-journal","volume":"38"},"uris":["http://www.mendeley.com/documents/?uuid=1f04c89f-3f74-43f4-9440-4318c4def7e6"]},{"id":"ITEM-2","itemData":{"DOI":"10.1056/nejmoa1515257","ISSN":"0028-4793","PMID":"27355532","abstract":"BACKGROUND The candidate malaria vaccine RTS,S/AS01 is being evaluated in order to inform a decision regarding its inclusion in routine vaccination schedules. METHODS We conducted 7 years of follow-up in children who had been randomly assigned, at 5 to 17 months of age, to receive three doses of either the RTS,S/AS01 vaccine or a rabies (control) vaccine. The end point was clinical malaria (temperature of ≥37.5°C and infection with Plasmodium falciparum of &gt;2500 parasites per cubic millimeter). In an analysis that was not prespecified, the malaria exposure of each child was estimated with the use of information on the prevalence of malaria among residents within a 1-km radius of the child's home. Vaccine efficacy was defined as 1 minus the hazard ratio or the incidence-rate ratio, multiplied by 100, in the RTS,S/AS01 group versus the control group. RESULTS Over 7 years of follow-up, we identified 1002 episodes of clinical malaria among 223 children randomly assigned to the RTS,S/AS01 group and 992 episodes among 224 children randomly assigned to the control group. The vaccine efficacy, as assessed by negative binomial regression, was 4.4% (95% confidence interval [CI], -17.0 to 21.9; P=0.66) in the intention-to-treat analysis and 7.0% (95% CI, -14.5 to 24.6; P=0.52) in the per-protocol analysis. Vaccine efficacy waned over time (P=0.006 for the interaction between vaccination and time), including negative efficacy during the fifth year among children with higher-than-average exposure to malaria parasites (intention-to-treat analysis: -43.5%; 95% CI, -100.3 to -2.8 [P=0.03]; per-protocol analysis: -56.8%; 95% CI, -118.7 to -12.3 [P=0.008]). CONCLUSIONS A three-dose vaccination with RTS,S/AS01 was initially protective against clinical malaria, but this result was offset by rebound in later years in areas with higher-than-average exposure to malaria parasites. (Funded by the PATH Malaria Vaccine Initiative and others; ClinicalTrials.gov number, NCT00872963.).","author":[{"dropping-particle":"","family":"Olotu","given":"Ally","non-dropping-particle":"","parse-names":false,"suffix":""},{"dropping-particle":"","family":"Fegan","given":"Gregory","non-dropping-particle":"","parse-names":false,"suffix":""},{"dropping-particle":"","family":"Wambua","given":"Juliana","non-dropping-particle":"","parse-names":false,"suffix":""},{"dropping-particle":"","family":"Nyangweso","given":"George","non-dropping-particle":"","parse-names":false,"suffix":""},{"dropping-particle":"","family":"Leach","given":"Amanda","non-dropping-particle":"","parse-names":false,"suffix":""},{"dropping-particle":"","family":"Lievens","given":"Marc","non-dropping-particle":"","parse-names":false,"suffix":""},{"dropping-particle":"","family":"Kaslow","given":"David C.","non-dropping-particle":"","parse-names":false,"suffix":""},{"dropping-particle":"","family":"Njuguna","given":"Patricia","non-dropping-particle":"","parse-names":false,"suffix":""},{"dropping-particle":"","family":"Marsh","given":"Kevin","non-dropping-particle":"","parse-names":false,"suffix":""},{"dropping-particle":"","family":"Bejon","given":"Philip","non-dropping-particle":"","parse-names":false,"suffix":""}],"container-title":"New England Journal of Medicine","id":"ITEM-2","issue":"26","issued":{"date-parts":[["2016"]]},"page":"2519-2529","title":"Seven-Year Efficacy of RTS,S/AS01 Malaria Vaccine among Young African Children","type":"article-journal","volume":"374"},"uris":["http://www.mendeley.com/documents/?uuid=f1c3f4f7-bea5-4a01-a8e0-4409ea6caab3"]},{"id":"ITEM-3","itemData":{"DOI":"10.3390/vaccines12040346","ISSN":"2076393X","abstract":"Cameroon introduced the malaria vaccine in its routine immunization program on 22 January 2024 in the 42 districts out of 200 that are among the most at risk of malaria. A cross-sectional analysis of the data on key vaccine events in the introduction roadmap and the vaccine uptake during the first 30 days was conducted. In addition to available gray literature related to the introduction of the malaria vaccine, data on the malaria vaccine uptake by vaccination session, collected through a digital platform, were analyzed. A total of 1893 reports were received from 22 January 2024 to 21 February 2024 from 766 health facilities (84% of overall completeness). Two regions out of ten recorded less than 80% completeness. As of 21 February 2024, 13,811 children had received the first dose of the malaria vaccine, including 7124 girls (51.6%) and 6687 boys (48.4%). In total, 36% of the children were vaccinated through outreach sessions, while 61.5% were vaccinated through sessions in fixed posts. The overall monthly immunization coverage with the first dose was 37%. Early results have shown positive attitudes towards and acceptance of malaria vaccines. Suboptimal completeness of data reporting and a low coverage highlight persistent gaps and challenges in the vaccine rollout.","author":[{"dropping-particle":"","family":"Ndoula","given":"Shalom Tchokfe","non-dropping-particle":"","parse-names":false,"suffix":""},{"dropping-particle":"","family":"Mboussou","given":"Frank","non-dropping-particle":"","parse-names":false,"suffix":""},{"dropping-particle":"","family":"Njoh","given":"Andreas Ateke","non-dropping-particle":"","parse-names":false,"suffix":""},{"dropping-particle":"","family":"Nembot","given":"Raoul","non-dropping-particle":"","parse-names":false,"suffix":""},{"dropping-particle":"","family":"Baonga","given":"Simon Franky","non-dropping-particle":"","parse-names":false,"suffix":""},{"dropping-particle":"","family":"Njinkeu","given":"Arnaud","non-dropping-particle":"","parse-names":false,"suffix":""},{"dropping-particle":"","family":"Biey","given":"Joseph","non-dropping-particle":"","parse-names":false,"suffix":""},{"dropping-particle":"","family":"Kaba","given":"Mohamed I.I.","non-dropping-particle":"","parse-names":false,"suffix":""},{"dropping-particle":"","family":"Amani","given":"Adidja","non-dropping-particle":"","parse-names":false,"suffix":""},{"dropping-particle":"","family":"Farham","given":"Bridget","non-dropping-particle":"","parse-names":false,"suffix":""},{"dropping-particle":"","family":"Kouontchou Mimbe","given":"Jean Christian","non-dropping-particle":"","parse-names":false,"suffix":""},{"dropping-particle":"","family":"Kouakam","given":"Christian Armel","non-dropping-particle":"","parse-names":false,"suffix":""},{"dropping-particle":"","family":"Volkmann","given":"Konstantin","non-dropping-particle":"","parse-names":false,"suffix":""},{"dropping-particle":"","family":"Dadjo","given":"Crépin Hilaire","non-dropping-particle":"","parse-names":false,"suffix":""},{"dropping-particle":"","family":"Habimana","given":"Phanuel","non-dropping-particle":"","parse-names":false,"suffix":""},{"dropping-particle":"","family":"Impouma","given":"Benido","non-dropping-particle":"","parse-names":false,"suffix":""}],"container-title":"Vaccines","id":"ITEM-3","issue":"4","issued":{"date-parts":[["2024"]]},"title":"Malaria Vaccine Introduction in Cameroon: Early Results 30 Days into Rollout","type":"article-journal","volume":"12"},"uris":["http://www.mendeley.com/documents/?uuid=304a01ac-024f-4621-bbde-7ff63e3340c5"]},{"id":"ITEM-4","itemData":{"DOI":"10.1186/s12936-016-1209-6","ISSN":"1475-2875","author":[{"dropping-particle":"","family":"Mtenga","given":"Sally","non-dropping-particle":"","parse-names":false,"suffix":""},{"dropping-particle":"","family":"Kimweri","given":"Angela","non-dropping-particle":"","parse-names":false,"suffix":""},{"dropping-particle":"","family":"Romore","given":"Idda","non-dropping-particle":"","parse-names":false,"suffix":""},{"dropping-particle":"","family":"Ali","given":"Ali","non-dropping-particle":"","parse-names":false,"suffix":""},{"dropping-particle":"","family":"Exavery","given":"Amon","non-dropping-particle":"","parse-names":false,"suffix":""},{"dropping-particle":"","family":"Sicuri","given":"Elisa","non-dropping-particle":"","parse-names":false,"suffix":""},{"dropping-particle":"","family":"Tanner","given":"Marcel","non-dropping-particle":"","parse-names":false,"suffix":""},{"dropping-particle":"","family":"Abdulla","given":"Salim","non-dropping-particle":"","parse-names":false,"suffix":""},{"dropping-particle":"","family":"Lusingu","given":"John","non-dropping-particle":"","parse-names":false,"suffix":""},{"dropping-particle":"","family":"Kafuruki","given":"Shubi","non-dropping-particle":"","parse-names":false,"suffix":""}],"container-title":"Malaria Journal","id":"ITEM-4","issue":"1","issued":{"date-parts":[["2016","12","5"]]},"page":"189","title":"Stakeholders’ opinions and questions regarding the anticipated malaria vaccine in Tanzania","type":"article-journal","volume":"15"},"uris":["http://www.mendeley.com/documents/?uuid=931ff60f-c293-3a70-992c-b96583772286"]}],"mendeley":{"formattedCitation":"(19,32–34)","plainTextFormattedCitation":"(19,32–34)","previouslyFormattedCitation":"(19,32–34)"},"properties":{"noteIndex":0},"schema":"https://github.com/citation-style-language/schema/raw/master/csl-citation.json"}</w:instrText>
      </w:r>
      <w:r>
        <w:rPr>
          <w:rFonts w:ascii="Times New Roman" w:hAnsi="Times New Roman" w:eastAsia="Times New Roman" w:cs="Times New Roman"/>
          <w:sz w:val="24"/>
          <w:szCs w:val="24"/>
        </w:rPr>
        <w:fldChar w:fldCharType="separate"/>
      </w:r>
      <w:r>
        <w:rPr>
          <w:rFonts w:ascii="Times New Roman" w:hAnsi="Times New Roman" w:eastAsia="Times New Roman" w:cs="Times New Roman"/>
          <w:sz w:val="24"/>
          <w:szCs w:val="24"/>
        </w:rPr>
        <w:t>(19,32–34)</w:t>
      </w:r>
      <w:bookmarkEnd w:id="241"/>
      <w:r>
        <w:rPr>
          <w:rFonts w:ascii="Times New Roman" w:hAnsi="Times New Roman" w:eastAsia="Times New Roman" w:cs="Times New Roman"/>
          <w:sz w:val="24"/>
          <w:szCs w:val="24"/>
        </w:rPr>
        <w:fldChar w:fldCharType="end"/>
      </w:r>
    </w:p>
    <w:p w14:paraId="6834DC5C">
      <w:pPr>
        <w:pStyle w:val="14"/>
        <w:rPr>
          <w:rFonts w:eastAsia="Times New Roman"/>
          <w:color w:val="auto"/>
        </w:rPr>
      </w:pPr>
    </w:p>
    <w:p w14:paraId="48739B21"/>
    <w:p w14:paraId="4F43E56D"/>
    <w:p w14:paraId="775684DC">
      <w:pPr>
        <w:pStyle w:val="22"/>
        <w:spacing w:before="0" w:line="360" w:lineRule="auto"/>
      </w:pPr>
    </w:p>
    <w:bookmarkEnd w:id="240"/>
    <w:p w14:paraId="20830AAA">
      <w:pPr>
        <w:pStyle w:val="2"/>
      </w:pPr>
      <w:r>
        <w:rPr>
          <w:sz w:val="26"/>
          <w:szCs w:val="26"/>
        </w:rPr>
        <w:br w:type="page"/>
      </w:r>
      <w:bookmarkStart w:id="242" w:name="_Toc198635470"/>
      <w:bookmarkStart w:id="243" w:name="_Toc181910657"/>
      <w:bookmarkStart w:id="244" w:name="_Toc185190145"/>
      <w:r>
        <w:t>CHAPTER 3 OBJECTIVES</w:t>
      </w:r>
      <w:bookmarkEnd w:id="242"/>
      <w:bookmarkEnd w:id="243"/>
      <w:bookmarkEnd w:id="244"/>
    </w:p>
    <w:p w14:paraId="6AAD33C8">
      <w:pPr>
        <w:pStyle w:val="3"/>
      </w:pPr>
      <w:bookmarkStart w:id="245" w:name="_Toc198635471"/>
      <w:bookmarkStart w:id="246" w:name="_Toc181910658"/>
      <w:bookmarkStart w:id="247" w:name="_Toc185190146"/>
      <w:r>
        <w:t>3.1. General Objective</w:t>
      </w:r>
      <w:bookmarkEnd w:id="245"/>
      <w:bookmarkEnd w:id="246"/>
      <w:bookmarkEnd w:id="247"/>
      <w:r>
        <w:t xml:space="preserve"> </w:t>
      </w:r>
    </w:p>
    <w:p w14:paraId="0E484285">
      <w:pPr>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general objective is to assess the willingness of </w:t>
      </w:r>
      <w:r>
        <w:rPr>
          <w:rFonts w:hint="default" w:ascii="Times New Roman" w:hAnsi="Times New Roman" w:eastAsia="Times New Roman" w:cs="Times New Roman"/>
          <w:sz w:val="24"/>
          <w:szCs w:val="24"/>
          <w:lang w:val="en-US"/>
        </w:rPr>
        <w:t>mother</w:t>
      </w:r>
      <w:r>
        <w:rPr>
          <w:rFonts w:ascii="Times New Roman" w:hAnsi="Times New Roman" w:eastAsia="Times New Roman" w:cs="Times New Roman"/>
          <w:sz w:val="24"/>
          <w:szCs w:val="24"/>
        </w:rPr>
        <w:t xml:space="preserve"> to accept a malaria vaccine at public Health facilities in Nekemte. Ethiopia 2025.  </w:t>
      </w:r>
    </w:p>
    <w:p w14:paraId="68527425">
      <w:pPr>
        <w:pStyle w:val="3"/>
      </w:pPr>
      <w:bookmarkStart w:id="248" w:name="_Toc198635472"/>
      <w:bookmarkStart w:id="249" w:name="_Toc181910659"/>
      <w:bookmarkStart w:id="250" w:name="_Toc185190147"/>
      <w:r>
        <w:t>3.2. Specific objectives</w:t>
      </w:r>
      <w:bookmarkEnd w:id="248"/>
      <w:bookmarkEnd w:id="249"/>
      <w:bookmarkEnd w:id="250"/>
    </w:p>
    <w:p w14:paraId="4C24B7CC">
      <w:pPr>
        <w:numPr>
          <w:ilvl w:val="0"/>
          <w:numId w:val="3"/>
        </w:numPr>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To determine the willingness of </w:t>
      </w:r>
      <w:r>
        <w:rPr>
          <w:rFonts w:hint="default" w:ascii="Times New Roman" w:hAnsi="Times New Roman" w:eastAsia="Times New Roman" w:cs="Times New Roman"/>
          <w:sz w:val="24"/>
          <w:szCs w:val="24"/>
          <w:lang w:val="en-US"/>
        </w:rPr>
        <w:t>mother</w:t>
      </w:r>
      <w:r>
        <w:rPr>
          <w:rFonts w:ascii="Times New Roman" w:hAnsi="Times New Roman" w:eastAsia="Times New Roman" w:cs="Times New Roman"/>
          <w:sz w:val="24"/>
          <w:szCs w:val="24"/>
        </w:rPr>
        <w:t xml:space="preserve"> to accept malaria vaccine for their children </w:t>
      </w:r>
      <w:r>
        <w:rPr>
          <w:rFonts w:ascii="Times New Roman" w:hAnsi="Times New Roman" w:eastAsia="Calibri" w:cs="Times New Roman"/>
          <w:sz w:val="24"/>
          <w:szCs w:val="24"/>
        </w:rPr>
        <w:t>at public health facilities in Nekemte town East Wollega, Oromia, Ethiopia, 2025.</w:t>
      </w:r>
    </w:p>
    <w:p w14:paraId="04022D7B">
      <w:pPr>
        <w:numPr>
          <w:ilvl w:val="0"/>
          <w:numId w:val="3"/>
        </w:numPr>
        <w:spacing w:before="100" w:beforeAutospacing="1" w:after="100" w:afterAutospacing="1" w:line="360" w:lineRule="auto"/>
        <w:contextual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To identify factors associated with willingness or hesitancy to accept the malaria vaccine among mothers </w:t>
      </w:r>
      <w:r>
        <w:rPr>
          <w:rFonts w:ascii="Times New Roman" w:hAnsi="Times New Roman" w:eastAsia="Calibri" w:cs="Times New Roman"/>
          <w:sz w:val="24"/>
          <w:szCs w:val="24"/>
        </w:rPr>
        <w:t>at public health facilities in Nekemte town, East Wollega, Oromia, Ethiopia, 2025.</w:t>
      </w:r>
    </w:p>
    <w:p w14:paraId="7E2DD976">
      <w:pPr>
        <w:spacing w:before="100" w:beforeAutospacing="1" w:after="100" w:afterAutospacing="1" w:line="360" w:lineRule="auto"/>
        <w:contextualSpacing/>
        <w:outlineLvl w:val="2"/>
        <w:rPr>
          <w:rFonts w:ascii="Times New Roman" w:hAnsi="Times New Roman" w:eastAsia="Times New Roman" w:cs="Times New Roman"/>
          <w:b/>
          <w:bCs/>
          <w:sz w:val="24"/>
          <w:szCs w:val="24"/>
        </w:rPr>
      </w:pPr>
    </w:p>
    <w:p w14:paraId="5EA2A18F">
      <w:pPr>
        <w:spacing w:before="100" w:beforeAutospacing="1" w:after="100" w:afterAutospacing="1" w:line="360" w:lineRule="auto"/>
        <w:contextualSpacing/>
        <w:outlineLvl w:val="2"/>
        <w:rPr>
          <w:rFonts w:ascii="Times New Roman" w:hAnsi="Times New Roman" w:eastAsia="Times New Roman" w:cs="Times New Roman"/>
          <w:b/>
          <w:bCs/>
          <w:sz w:val="24"/>
          <w:szCs w:val="24"/>
        </w:rPr>
      </w:pPr>
    </w:p>
    <w:p w14:paraId="3B2EF168">
      <w:pPr>
        <w:spacing w:before="100" w:beforeAutospacing="1" w:after="100" w:afterAutospacing="1" w:line="360" w:lineRule="auto"/>
        <w:contextualSpacing/>
        <w:outlineLvl w:val="2"/>
        <w:rPr>
          <w:rFonts w:ascii="Times New Roman" w:hAnsi="Times New Roman" w:eastAsia="Times New Roman" w:cs="Times New Roman"/>
          <w:b/>
          <w:bCs/>
          <w:sz w:val="24"/>
          <w:szCs w:val="24"/>
        </w:rPr>
      </w:pPr>
    </w:p>
    <w:p w14:paraId="44CA5076">
      <w:pPr>
        <w:spacing w:before="100" w:beforeAutospacing="1" w:after="100" w:afterAutospacing="1" w:line="360" w:lineRule="auto"/>
        <w:contextualSpacing/>
        <w:outlineLvl w:val="2"/>
        <w:rPr>
          <w:rFonts w:ascii="Times New Roman" w:hAnsi="Times New Roman" w:eastAsia="Times New Roman" w:cs="Times New Roman"/>
          <w:b/>
          <w:bCs/>
          <w:sz w:val="24"/>
          <w:szCs w:val="24"/>
        </w:rPr>
      </w:pPr>
    </w:p>
    <w:p w14:paraId="4FF494AC">
      <w:pPr>
        <w:spacing w:before="100" w:beforeAutospacing="1" w:after="100" w:afterAutospacing="1" w:line="360" w:lineRule="auto"/>
        <w:contextualSpacing/>
        <w:outlineLvl w:val="2"/>
        <w:rPr>
          <w:rFonts w:ascii="Times New Roman" w:hAnsi="Times New Roman" w:eastAsia="Times New Roman" w:cs="Times New Roman"/>
          <w:b/>
          <w:bCs/>
          <w:sz w:val="24"/>
          <w:szCs w:val="24"/>
        </w:rPr>
      </w:pPr>
    </w:p>
    <w:p w14:paraId="17ECBDF3">
      <w:pPr>
        <w:spacing w:before="100" w:beforeAutospacing="1" w:after="100" w:afterAutospacing="1" w:line="360" w:lineRule="auto"/>
        <w:contextualSpacing/>
        <w:outlineLvl w:val="2"/>
        <w:rPr>
          <w:rFonts w:ascii="Times New Roman" w:hAnsi="Times New Roman" w:eastAsia="Times New Roman" w:cs="Times New Roman"/>
          <w:b/>
          <w:bCs/>
          <w:sz w:val="24"/>
          <w:szCs w:val="24"/>
        </w:rPr>
      </w:pPr>
    </w:p>
    <w:p w14:paraId="6069B45E">
      <w:pPr>
        <w:spacing w:before="100" w:beforeAutospacing="1" w:after="100" w:afterAutospacing="1" w:line="360" w:lineRule="auto"/>
        <w:contextualSpacing/>
        <w:outlineLvl w:val="2"/>
        <w:rPr>
          <w:rFonts w:ascii="Times New Roman" w:hAnsi="Times New Roman" w:eastAsia="Times New Roman" w:cs="Times New Roman"/>
          <w:b/>
          <w:bCs/>
          <w:sz w:val="24"/>
          <w:szCs w:val="24"/>
        </w:rPr>
      </w:pPr>
    </w:p>
    <w:p w14:paraId="133C6306">
      <w:pPr>
        <w:spacing w:before="100" w:beforeAutospacing="1" w:after="100" w:afterAutospacing="1" w:line="360" w:lineRule="auto"/>
        <w:contextualSpacing/>
        <w:outlineLvl w:val="2"/>
        <w:rPr>
          <w:rFonts w:ascii="Times New Roman" w:hAnsi="Times New Roman" w:eastAsia="Times New Roman" w:cs="Times New Roman"/>
          <w:b/>
          <w:bCs/>
          <w:sz w:val="24"/>
          <w:szCs w:val="24"/>
        </w:rPr>
      </w:pPr>
    </w:p>
    <w:p w14:paraId="28DDA64E">
      <w:pPr>
        <w:spacing w:before="100" w:beforeAutospacing="1" w:after="100" w:afterAutospacing="1" w:line="360" w:lineRule="auto"/>
        <w:contextualSpacing/>
        <w:outlineLvl w:val="2"/>
        <w:rPr>
          <w:rFonts w:ascii="Times New Roman" w:hAnsi="Times New Roman" w:eastAsia="Times New Roman" w:cs="Times New Roman"/>
          <w:b/>
          <w:bCs/>
          <w:sz w:val="24"/>
          <w:szCs w:val="24"/>
        </w:rPr>
      </w:pPr>
    </w:p>
    <w:p w14:paraId="28110275">
      <w:pPr>
        <w:spacing w:before="100" w:beforeAutospacing="1" w:after="100" w:afterAutospacing="1" w:line="360" w:lineRule="auto"/>
        <w:contextualSpacing/>
        <w:outlineLvl w:val="2"/>
        <w:rPr>
          <w:rFonts w:ascii="Times New Roman" w:hAnsi="Times New Roman" w:eastAsia="Times New Roman" w:cs="Times New Roman"/>
          <w:b/>
          <w:bCs/>
          <w:sz w:val="24"/>
          <w:szCs w:val="24"/>
        </w:rPr>
      </w:pPr>
    </w:p>
    <w:p w14:paraId="2CA292FC">
      <w:pPr>
        <w:spacing w:before="100" w:beforeAutospacing="1" w:after="100" w:afterAutospacing="1" w:line="360" w:lineRule="auto"/>
        <w:contextualSpacing/>
        <w:outlineLvl w:val="2"/>
        <w:rPr>
          <w:rFonts w:ascii="Times New Roman" w:hAnsi="Times New Roman" w:eastAsia="Times New Roman" w:cs="Times New Roman"/>
          <w:b/>
          <w:bCs/>
          <w:sz w:val="24"/>
          <w:szCs w:val="24"/>
        </w:rPr>
      </w:pPr>
    </w:p>
    <w:p w14:paraId="175138EF">
      <w:pPr>
        <w:spacing w:before="100" w:beforeAutospacing="1" w:after="100" w:afterAutospacing="1" w:line="360" w:lineRule="auto"/>
        <w:contextualSpacing/>
        <w:outlineLvl w:val="2"/>
        <w:rPr>
          <w:rFonts w:ascii="Times New Roman" w:hAnsi="Times New Roman" w:eastAsia="Times New Roman" w:cs="Times New Roman"/>
          <w:b/>
          <w:bCs/>
          <w:sz w:val="24"/>
          <w:szCs w:val="24"/>
        </w:rPr>
      </w:pPr>
    </w:p>
    <w:p w14:paraId="62BC4496">
      <w:pPr>
        <w:spacing w:before="100" w:beforeAutospacing="1" w:after="100" w:afterAutospacing="1" w:line="360" w:lineRule="auto"/>
        <w:contextualSpacing/>
        <w:outlineLvl w:val="2"/>
        <w:rPr>
          <w:rFonts w:ascii="Times New Roman" w:hAnsi="Times New Roman" w:eastAsia="Times New Roman" w:cs="Times New Roman"/>
          <w:b/>
          <w:bCs/>
          <w:sz w:val="24"/>
          <w:szCs w:val="24"/>
        </w:rPr>
      </w:pPr>
    </w:p>
    <w:p w14:paraId="05596583">
      <w:pPr>
        <w:spacing w:before="100" w:beforeAutospacing="1" w:after="100" w:afterAutospacing="1" w:line="360" w:lineRule="auto"/>
        <w:contextualSpacing/>
        <w:outlineLvl w:val="2"/>
        <w:rPr>
          <w:rFonts w:ascii="Times New Roman" w:hAnsi="Times New Roman" w:eastAsia="Times New Roman" w:cs="Times New Roman"/>
          <w:b/>
          <w:bCs/>
          <w:sz w:val="24"/>
          <w:szCs w:val="24"/>
        </w:rPr>
      </w:pPr>
    </w:p>
    <w:p w14:paraId="2CCA27DB">
      <w:pPr>
        <w:spacing w:before="100" w:beforeAutospacing="1" w:after="100" w:afterAutospacing="1" w:line="360" w:lineRule="auto"/>
        <w:contextualSpacing/>
        <w:outlineLvl w:val="2"/>
        <w:rPr>
          <w:rFonts w:ascii="Times New Roman" w:hAnsi="Times New Roman" w:eastAsia="Times New Roman" w:cs="Times New Roman"/>
          <w:b/>
          <w:bCs/>
          <w:sz w:val="24"/>
          <w:szCs w:val="24"/>
        </w:rPr>
      </w:pPr>
    </w:p>
    <w:p w14:paraId="2D2A854B">
      <w:pPr>
        <w:spacing w:before="100" w:beforeAutospacing="1" w:after="100" w:afterAutospacing="1" w:line="360" w:lineRule="auto"/>
        <w:contextualSpacing/>
        <w:outlineLvl w:val="2"/>
        <w:rPr>
          <w:rFonts w:ascii="Times New Roman" w:hAnsi="Times New Roman" w:eastAsia="Times New Roman" w:cs="Times New Roman"/>
          <w:b/>
          <w:bCs/>
          <w:sz w:val="24"/>
          <w:szCs w:val="24"/>
        </w:rPr>
      </w:pPr>
    </w:p>
    <w:p w14:paraId="281D15E6">
      <w:pPr>
        <w:spacing w:before="100" w:beforeAutospacing="1" w:after="100" w:afterAutospacing="1" w:line="360" w:lineRule="auto"/>
        <w:contextualSpacing/>
        <w:outlineLvl w:val="2"/>
        <w:rPr>
          <w:rFonts w:ascii="Times New Roman" w:hAnsi="Times New Roman" w:eastAsia="Times New Roman" w:cs="Times New Roman"/>
          <w:b/>
          <w:bCs/>
          <w:sz w:val="24"/>
          <w:szCs w:val="24"/>
        </w:rPr>
      </w:pPr>
    </w:p>
    <w:p w14:paraId="5016A424">
      <w:pPr>
        <w:pStyle w:val="2"/>
        <w:spacing w:line="360" w:lineRule="auto"/>
        <w:jc w:val="both"/>
      </w:pPr>
      <w:bookmarkStart w:id="251" w:name="_Toc181910660"/>
      <w:bookmarkStart w:id="252" w:name="_Toc185190148"/>
      <w:bookmarkStart w:id="253" w:name="_Toc198635473"/>
      <w:r>
        <w:t xml:space="preserve"> </w:t>
      </w:r>
      <w:bookmarkEnd w:id="251"/>
      <w:bookmarkEnd w:id="252"/>
      <w:r>
        <w:t>METHODS AND MATERIALS</w:t>
      </w:r>
      <w:bookmarkEnd w:id="253"/>
    </w:p>
    <w:p w14:paraId="6DB5722E">
      <w:pPr>
        <w:pStyle w:val="3"/>
        <w:spacing w:line="360" w:lineRule="auto"/>
        <w:jc w:val="both"/>
      </w:pPr>
      <w:r>
        <w:t xml:space="preserve"> </w:t>
      </w:r>
      <w:bookmarkStart w:id="254" w:name="_Toc181910661"/>
      <w:bookmarkStart w:id="255" w:name="_Toc198635474"/>
      <w:bookmarkStart w:id="256" w:name="_Toc185190149"/>
      <w:r>
        <w:t>4.1. Study Area and Period</w:t>
      </w:r>
      <w:bookmarkEnd w:id="254"/>
      <w:bookmarkEnd w:id="255"/>
      <w:bookmarkEnd w:id="256"/>
    </w:p>
    <w:p w14:paraId="6D09C876">
      <w:pPr>
        <w:spacing w:line="360" w:lineRule="auto"/>
        <w:jc w:val="both"/>
        <w:rPr>
          <w:rFonts w:ascii="Times New Roman" w:hAnsi="Times New Roman" w:eastAsia="Times New Roman" w:cs="Times New Roman"/>
          <w:sz w:val="24"/>
          <w:szCs w:val="24"/>
        </w:rPr>
      </w:pPr>
      <w:bookmarkStart w:id="257" w:name="_Toc34042594"/>
      <w:bookmarkStart w:id="258" w:name="_Toc181910668"/>
      <w:r>
        <w:rPr>
          <w:rFonts w:ascii="Times New Roman" w:hAnsi="Times New Roman" w:eastAsia="Calibri" w:cs="Times New Roman"/>
          <w:sz w:val="24"/>
          <w:szCs w:val="24"/>
        </w:rPr>
        <w:t xml:space="preserve">Nekemte town is the East Wollega Zone's capital city which is 331 km from the city of Addis Ababa to western Ethiopia. It is situated between 1960 and 2170 feet above sea level. and its annual rain fall ranging from 1500mm-2200mm which reaches the months of April through the start of December. The town's entire surface area is 32km2. </w:t>
      </w:r>
      <w:r>
        <w:rPr>
          <w:rFonts w:ascii="Times New Roman" w:hAnsi="Times New Roman" w:eastAsia="Calibri" w:cs="Times New Roman"/>
          <w:sz w:val="24"/>
          <w:szCs w:val="24"/>
          <w:lang w:val="en-US"/>
        </w:rPr>
        <w:t>Attitudinal</w:t>
      </w:r>
      <w:r>
        <w:rPr>
          <w:rFonts w:ascii="Times New Roman" w:hAnsi="Times New Roman" w:eastAsia="Calibri" w:cs="Times New Roman"/>
          <w:sz w:val="24"/>
          <w:szCs w:val="24"/>
        </w:rPr>
        <w:t xml:space="preserve">, the town is </w:t>
      </w:r>
      <w:r>
        <w:rPr>
          <w:rFonts w:ascii="Times New Roman" w:hAnsi="Times New Roman" w:eastAsia="Calibri" w:cs="Times New Roman"/>
          <w:sz w:val="24"/>
          <w:szCs w:val="24"/>
          <w:lang w:val="en-US"/>
        </w:rPr>
        <w:t>mid-highland</w:t>
      </w:r>
      <w:r>
        <w:rPr>
          <w:rFonts w:ascii="Times New Roman" w:hAnsi="Times New Roman" w:eastAsia="Calibri" w:cs="Times New Roman"/>
          <w:sz w:val="24"/>
          <w:szCs w:val="24"/>
        </w:rPr>
        <w:t xml:space="preserve"> with yearly environmental temperature which ranges from 14-26C0.  </w:t>
      </w:r>
      <w:r>
        <w:rPr>
          <w:rFonts w:ascii="Times New Roman" w:hAnsi="Times New Roman" w:eastAsia="Times New Roman" w:cs="Times New Roman"/>
          <w:sz w:val="24"/>
          <w:szCs w:val="24"/>
        </w:rPr>
        <w:t>The town population is 157923.  According to the town health office, there are two public Hospitals, two health centers, fifty-one clinics, eight pharmacies, three drug whole sales, twenty-eight drug shops and four rural drug vendor providing health services to the population of Nekemte town and nearby areas. This study was conducted in Wallaga university teaching hospital, Nekemte Specialized hospital and Nekemte health center, from january10 to march 10, 2025</w:t>
      </w:r>
    </w:p>
    <w:p w14:paraId="1CFE6D95">
      <w:pPr>
        <w:pStyle w:val="3"/>
        <w:spacing w:line="360" w:lineRule="auto"/>
        <w:jc w:val="both"/>
      </w:pPr>
      <w:bookmarkStart w:id="259" w:name="_Toc185190150"/>
      <w:bookmarkStart w:id="260" w:name="_Toc198635475"/>
      <w:r>
        <w:t>4.2. Study design</w:t>
      </w:r>
      <w:bookmarkEnd w:id="259"/>
      <w:bookmarkEnd w:id="260"/>
      <w:r>
        <w:t xml:space="preserve"> </w:t>
      </w:r>
    </w:p>
    <w:p w14:paraId="50F184A9">
      <w:pPr>
        <w:spacing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w:t>
      </w:r>
      <w:r>
        <w:rPr>
          <w:rFonts w:hint="default" w:ascii="Times New Roman" w:hAnsi="Times New Roman" w:eastAsia="Times New Roman"/>
          <w:sz w:val="24"/>
          <w:szCs w:val="24"/>
        </w:rPr>
        <w:t>facility based</w:t>
      </w:r>
      <w:r>
        <w:rPr>
          <w:rFonts w:hint="default" w:ascii="Times New Roman" w:hAnsi="Times New Roman" w:eastAsia="Times New Roman"/>
          <w:sz w:val="24"/>
          <w:szCs w:val="24"/>
          <w:lang w:val="en-US"/>
        </w:rPr>
        <w:t xml:space="preserve"> </w:t>
      </w:r>
      <w:r>
        <w:rPr>
          <w:rFonts w:ascii="Times New Roman" w:hAnsi="Times New Roman" w:eastAsia="Times New Roman" w:cs="Times New Roman"/>
          <w:sz w:val="24"/>
          <w:szCs w:val="24"/>
        </w:rPr>
        <w:t xml:space="preserve">cross-sectional study design was conducted among parents attending Facilities for public health for immunization services in Nekemte, Ethiopia. </w:t>
      </w:r>
    </w:p>
    <w:p w14:paraId="558F5F08">
      <w:pPr>
        <w:pStyle w:val="3"/>
        <w:spacing w:line="360" w:lineRule="auto"/>
        <w:jc w:val="both"/>
      </w:pPr>
      <w:bookmarkStart w:id="261" w:name="_Toc185190151"/>
      <w:bookmarkStart w:id="262" w:name="_Toc181910663"/>
      <w:bookmarkStart w:id="263" w:name="_Toc198635476"/>
      <w:r>
        <w:t>4</w:t>
      </w:r>
      <w:r>
        <w:rPr>
          <w:rStyle w:val="38"/>
          <w:b/>
          <w:bCs/>
        </w:rPr>
        <w:t xml:space="preserve">.3. </w:t>
      </w:r>
      <w:bookmarkEnd w:id="261"/>
      <w:bookmarkEnd w:id="262"/>
      <w:r>
        <w:rPr>
          <w:rStyle w:val="38"/>
          <w:b/>
          <w:bCs/>
        </w:rPr>
        <w:t>Source population</w:t>
      </w:r>
      <w:bookmarkEnd w:id="263"/>
    </w:p>
    <w:p w14:paraId="472FB6BD">
      <w:pPr>
        <w:spacing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All mothers attending vaccination services at selected public health facilities to vaccinate their children during the study period  in Nekemte town.</w:t>
      </w:r>
    </w:p>
    <w:p w14:paraId="7868D1F8">
      <w:pPr>
        <w:pStyle w:val="3"/>
        <w:spacing w:line="360" w:lineRule="auto"/>
        <w:jc w:val="both"/>
      </w:pPr>
      <w:bookmarkStart w:id="264" w:name="_Toc185190152"/>
      <w:bookmarkStart w:id="265" w:name="_Toc181910664"/>
      <w:bookmarkStart w:id="266" w:name="_Toc198635477"/>
      <w:r>
        <w:rPr>
          <w:rStyle w:val="38"/>
          <w:b/>
          <w:bCs/>
        </w:rPr>
        <w:t xml:space="preserve">4.4. </w:t>
      </w:r>
      <w:r>
        <w:rPr>
          <w:rStyle w:val="38"/>
          <w:rFonts w:hint="default"/>
          <w:b/>
          <w:bCs/>
          <w:lang w:val="en-US"/>
        </w:rPr>
        <w:t xml:space="preserve">Study </w:t>
      </w:r>
      <w:r>
        <w:rPr>
          <w:rStyle w:val="38"/>
          <w:b/>
          <w:bCs/>
        </w:rPr>
        <w:t xml:space="preserve"> Populat</w:t>
      </w:r>
      <w:bookmarkEnd w:id="264"/>
      <w:bookmarkEnd w:id="265"/>
      <w:r>
        <w:rPr>
          <w:rStyle w:val="38"/>
          <w:b/>
          <w:bCs/>
        </w:rPr>
        <w:t>ion</w:t>
      </w:r>
      <w:bookmarkEnd w:id="266"/>
      <w:r>
        <w:t xml:space="preserve">  </w:t>
      </w:r>
    </w:p>
    <w:p w14:paraId="27632471">
      <w:pPr>
        <w:spacing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Randomly selected mothers who were  attending selected public health facilities</w:t>
      </w:r>
      <w:r>
        <w:t xml:space="preserve"> </w:t>
      </w:r>
      <w:bookmarkStart w:id="267" w:name="_Hlk198601759"/>
      <w:r>
        <w:rPr>
          <w:rFonts w:ascii="Times New Roman" w:hAnsi="Times New Roman" w:eastAsia="Times New Roman" w:cs="Times New Roman"/>
          <w:sz w:val="24"/>
          <w:szCs w:val="24"/>
        </w:rPr>
        <w:t>to vaccinate their children</w:t>
      </w:r>
      <w:bookmarkEnd w:id="267"/>
      <w:r>
        <w:rPr>
          <w:rFonts w:ascii="Times New Roman" w:hAnsi="Times New Roman" w:eastAsia="Times New Roman" w:cs="Times New Roman"/>
          <w:sz w:val="24"/>
          <w:szCs w:val="24"/>
        </w:rPr>
        <w:t xml:space="preserve">  in three health facilities in Nekemte City. </w:t>
      </w:r>
    </w:p>
    <w:p w14:paraId="6DF1D66E">
      <w:pPr>
        <w:spacing w:line="360" w:lineRule="auto"/>
        <w:jc w:val="both"/>
        <w:rPr>
          <w:rFonts w:ascii="Times New Roman" w:hAnsi="Times New Roman" w:eastAsia="Times New Roman" w:cs="Times New Roman"/>
          <w:sz w:val="24"/>
          <w:szCs w:val="24"/>
        </w:rPr>
      </w:pPr>
      <w:bookmarkStart w:id="268" w:name="_Toc198635478"/>
      <w:bookmarkStart w:id="269" w:name="_Toc181910665"/>
      <w:bookmarkStart w:id="270" w:name="_Toc185190154"/>
      <w:r>
        <w:rPr>
          <w:rStyle w:val="38"/>
        </w:rPr>
        <w:t>4.5. Inclusion criteria:</w:t>
      </w:r>
      <w:bookmarkEnd w:id="268"/>
      <w:bookmarkEnd w:id="269"/>
      <w:bookmarkEnd w:id="270"/>
      <w:r>
        <w:rPr>
          <w:rFonts w:ascii="Times New Roman" w:hAnsi="Times New Roman" w:eastAsia="Times New Roman" w:cs="Times New Roman"/>
          <w:sz w:val="24"/>
          <w:szCs w:val="24"/>
        </w:rPr>
        <w:t xml:space="preserve"> All mothers</w:t>
      </w:r>
      <w:r>
        <w:t xml:space="preserve"> </w:t>
      </w:r>
      <w:r>
        <w:rPr>
          <w:rFonts w:ascii="Times New Roman" w:hAnsi="Times New Roman" w:eastAsia="Times New Roman" w:cs="Times New Roman"/>
          <w:sz w:val="24"/>
          <w:szCs w:val="24"/>
        </w:rPr>
        <w:t>those  participate on study attending selected public health facilities to vaccinate their children   in three government health facilities in Nekemte town.</w:t>
      </w:r>
    </w:p>
    <w:p w14:paraId="4D18499C">
      <w:pPr>
        <w:spacing w:line="360" w:lineRule="auto"/>
        <w:jc w:val="both"/>
        <w:rPr>
          <w:rFonts w:ascii="Times New Roman" w:hAnsi="Times New Roman" w:eastAsia="Times New Roman" w:cs="Times New Roman"/>
          <w:sz w:val="24"/>
          <w:szCs w:val="24"/>
        </w:rPr>
      </w:pPr>
      <w:bookmarkStart w:id="271" w:name="_Toc185190155"/>
      <w:bookmarkStart w:id="272" w:name="_Toc181910666"/>
      <w:bookmarkStart w:id="273" w:name="_Toc198635479"/>
      <w:r>
        <w:rPr>
          <w:rStyle w:val="38"/>
        </w:rPr>
        <w:t>4.6. Exclusion Criteria</w:t>
      </w:r>
      <w:bookmarkEnd w:id="271"/>
      <w:bookmarkEnd w:id="272"/>
      <w:r>
        <w:rPr>
          <w:rStyle w:val="38"/>
        </w:rPr>
        <w:t>:</w:t>
      </w:r>
      <w:bookmarkEnd w:id="273"/>
      <w:r>
        <w:rPr>
          <w:rFonts w:ascii="Times New Roman" w:hAnsi="Times New Roman" w:eastAsia="Times New Roman" w:cs="Times New Roman"/>
          <w:sz w:val="24"/>
          <w:szCs w:val="24"/>
        </w:rPr>
        <w:t xml:space="preserve"> Mothers who were unable to respond were  excluded during the data collection time. </w:t>
      </w:r>
    </w:p>
    <w:p w14:paraId="7580FB34">
      <w:pPr>
        <w:pStyle w:val="3"/>
        <w:spacing w:line="360" w:lineRule="auto"/>
      </w:pPr>
      <w:bookmarkStart w:id="274" w:name="_Toc185190156"/>
      <w:bookmarkStart w:id="275" w:name="_Toc198635480"/>
      <w:bookmarkStart w:id="276" w:name="_Toc181910667"/>
      <w:r>
        <w:t>4.7. Sample Size Determination</w:t>
      </w:r>
      <w:bookmarkEnd w:id="274"/>
      <w:bookmarkEnd w:id="275"/>
      <w:bookmarkEnd w:id="276"/>
    </w:p>
    <w:p w14:paraId="4B4EF859">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single population proportion formula was used to calculate the sample size for this specific study, assuming a 95% confidence level, a 5% margin of error, and 32% proportion (P) of </w:t>
      </w:r>
      <w:r>
        <w:t>accept</w:t>
      </w:r>
      <w:r>
        <w:rPr>
          <w:rFonts w:ascii="Times New Roman" w:hAnsi="Times New Roman" w:eastAsia="Times New Roman" w:cs="Times New Roman"/>
          <w:sz w:val="24"/>
          <w:szCs w:val="24"/>
        </w:rPr>
        <w:t xml:space="preserve"> malaria vaccine among parents attending immunization services rate from the previous study information, use the following formula to get estimated p=0.3[5].           </w:t>
      </w:r>
    </w:p>
    <w:p w14:paraId="1B7D37B5">
      <w:pPr>
        <w:spacing w:line="360" w:lineRule="auto"/>
        <w:rPr>
          <w:rFonts w:ascii="Times New Roman" w:hAnsi="Times New Roman" w:eastAsia="Times New Roman" w:cs="Times New Roman"/>
          <w:bCs/>
          <w:sz w:val="24"/>
          <w:szCs w:val="24"/>
        </w:rPr>
      </w:pPr>
      <w:r>
        <w:rPr>
          <w:rFonts w:ascii="Times New Roman" w:hAnsi="Times New Roman" w:eastAsia="Times New Roman" w:cs="Times New Roman"/>
          <w:sz w:val="32"/>
          <w:szCs w:val="32"/>
        </w:rPr>
        <w:t xml:space="preserve"> </w:t>
      </w:r>
      <m:oMath>
        <m:r>
          <m:rPr/>
          <w:rPr>
            <w:rFonts w:ascii="Cambria Math" w:hAnsi="Cambria Math" w:eastAsia="Arial Unicode MS" w:cs="Times New Roman"/>
            <w:sz w:val="32"/>
            <w:szCs w:val="32"/>
          </w:rPr>
          <m:t>n=</m:t>
        </m:r>
        <m:f>
          <m:fPr>
            <m:ctrlPr>
              <w:rPr>
                <w:rFonts w:ascii="Cambria Math" w:hAnsi="Cambria Math" w:eastAsia="Arial Unicode MS" w:cs="Times New Roman"/>
                <w:i/>
                <w:sz w:val="32"/>
                <w:szCs w:val="32"/>
              </w:rPr>
            </m:ctrlPr>
          </m:fPr>
          <m:num>
            <m:r>
              <m:rPr/>
              <w:rPr>
                <w:rFonts w:ascii="Cambria Math" w:hAnsi="Cambria Math" w:eastAsia="Arial Unicode MS" w:cs="Times New Roman"/>
                <w:sz w:val="32"/>
                <w:szCs w:val="32"/>
              </w:rPr>
              <m:t>(Z(1−</m:t>
            </m:r>
            <m:f>
              <m:fPr>
                <m:type m:val="skw"/>
                <m:ctrlPr>
                  <w:rPr>
                    <w:rFonts w:ascii="Cambria Math" w:hAnsi="Cambria Math" w:eastAsia="Arial Unicode MS" w:cs="Times New Roman"/>
                    <w:i/>
                    <w:sz w:val="32"/>
                    <w:szCs w:val="32"/>
                  </w:rPr>
                </m:ctrlPr>
              </m:fPr>
              <m:num>
                <m:r>
                  <m:rPr/>
                  <w:rPr>
                    <w:rFonts w:ascii="Cambria Math" w:hAnsi="Cambria Math" w:eastAsia="Arial Unicode MS" w:cs="Times New Roman"/>
                    <w:sz w:val="32"/>
                    <w:szCs w:val="32"/>
                  </w:rPr>
                  <m:t>α</m:t>
                </m:r>
                <m:ctrlPr>
                  <w:rPr>
                    <w:rFonts w:ascii="Cambria Math" w:hAnsi="Cambria Math" w:eastAsia="Arial Unicode MS" w:cs="Times New Roman"/>
                    <w:i/>
                    <w:sz w:val="32"/>
                    <w:szCs w:val="32"/>
                  </w:rPr>
                </m:ctrlPr>
              </m:num>
              <m:den>
                <m:r>
                  <m:rPr/>
                  <w:rPr>
                    <w:rFonts w:ascii="Cambria Math" w:hAnsi="Cambria Math" w:eastAsia="Arial Unicode MS" w:cs="Times New Roman"/>
                    <w:sz w:val="32"/>
                    <w:szCs w:val="32"/>
                  </w:rPr>
                  <m:t>2</m:t>
                </m:r>
                <m:ctrlPr>
                  <w:rPr>
                    <w:rFonts w:ascii="Cambria Math" w:hAnsi="Cambria Math" w:eastAsia="Arial Unicode MS" w:cs="Times New Roman"/>
                    <w:i/>
                    <w:sz w:val="32"/>
                    <w:szCs w:val="32"/>
                  </w:rPr>
                </m:ctrlPr>
              </m:den>
            </m:f>
            <m:sSup>
              <m:sSupPr>
                <m:ctrlPr>
                  <w:rPr>
                    <w:rFonts w:ascii="Cambria Math" w:hAnsi="Cambria Math" w:eastAsia="Arial Unicode MS" w:cs="Times New Roman"/>
                    <w:i/>
                    <w:sz w:val="32"/>
                    <w:szCs w:val="32"/>
                  </w:rPr>
                </m:ctrlPr>
              </m:sSupPr>
              <m:e>
                <m:r>
                  <m:rPr/>
                  <w:rPr>
                    <w:rFonts w:ascii="Cambria Math" w:hAnsi="Cambria Math" w:eastAsia="Arial Unicode MS" w:cs="Times New Roman"/>
                    <w:sz w:val="32"/>
                    <w:szCs w:val="32"/>
                  </w:rPr>
                  <m:t>)</m:t>
                </m:r>
                <m:ctrlPr>
                  <w:rPr>
                    <w:rFonts w:ascii="Cambria Math" w:hAnsi="Cambria Math" w:eastAsia="Arial Unicode MS" w:cs="Times New Roman"/>
                    <w:i/>
                    <w:sz w:val="32"/>
                    <w:szCs w:val="32"/>
                  </w:rPr>
                </m:ctrlPr>
              </m:e>
              <m:sup>
                <m:r>
                  <m:rPr/>
                  <w:rPr>
                    <w:rFonts w:ascii="Cambria Math" w:hAnsi="Cambria Math" w:eastAsia="Arial Unicode MS" w:cs="Times New Roman"/>
                    <w:sz w:val="32"/>
                    <w:szCs w:val="32"/>
                  </w:rPr>
                  <m:t>2</m:t>
                </m:r>
                <m:ctrlPr>
                  <w:rPr>
                    <w:rFonts w:ascii="Cambria Math" w:hAnsi="Cambria Math" w:eastAsia="Arial Unicode MS" w:cs="Times New Roman"/>
                    <w:i/>
                    <w:sz w:val="32"/>
                    <w:szCs w:val="32"/>
                  </w:rPr>
                </m:ctrlPr>
              </m:sup>
            </m:sSup>
            <m:r>
              <m:rPr/>
              <w:rPr>
                <w:rFonts w:ascii="Cambria Math" w:hAnsi="Cambria Math" w:eastAsia="Arial Unicode MS" w:cs="Times New Roman"/>
                <w:sz w:val="32"/>
                <w:szCs w:val="32"/>
              </w:rPr>
              <m:t>p(1−p)</m:t>
            </m:r>
            <m:ctrlPr>
              <w:rPr>
                <w:rFonts w:ascii="Cambria Math" w:hAnsi="Cambria Math" w:eastAsia="Arial Unicode MS" w:cs="Times New Roman"/>
                <w:i/>
                <w:sz w:val="32"/>
                <w:szCs w:val="32"/>
              </w:rPr>
            </m:ctrlPr>
          </m:num>
          <m:den>
            <m:sSup>
              <m:sSupPr>
                <m:ctrlPr>
                  <w:rPr>
                    <w:rFonts w:ascii="Cambria Math" w:hAnsi="Cambria Math" w:eastAsia="Arial Unicode MS" w:cs="Times New Roman"/>
                    <w:i/>
                    <w:sz w:val="32"/>
                    <w:szCs w:val="32"/>
                  </w:rPr>
                </m:ctrlPr>
              </m:sSupPr>
              <m:e>
                <m:r>
                  <m:rPr/>
                  <w:rPr>
                    <w:rFonts w:ascii="Cambria Math" w:hAnsi="Cambria Math" w:eastAsia="Arial Unicode MS" w:cs="Times New Roman"/>
                    <w:sz w:val="32"/>
                    <w:szCs w:val="32"/>
                  </w:rPr>
                  <m:t>d</m:t>
                </m:r>
                <m:ctrlPr>
                  <w:rPr>
                    <w:rFonts w:ascii="Cambria Math" w:hAnsi="Cambria Math" w:eastAsia="Arial Unicode MS" w:cs="Times New Roman"/>
                    <w:i/>
                    <w:sz w:val="32"/>
                    <w:szCs w:val="32"/>
                  </w:rPr>
                </m:ctrlPr>
              </m:e>
              <m:sup>
                <m:r>
                  <m:rPr/>
                  <w:rPr>
                    <w:rFonts w:ascii="Cambria Math" w:hAnsi="Cambria Math" w:eastAsia="Arial Unicode MS" w:cs="Times New Roman"/>
                    <w:sz w:val="32"/>
                    <w:szCs w:val="32"/>
                  </w:rPr>
                  <m:t>2</m:t>
                </m:r>
                <m:ctrlPr>
                  <w:rPr>
                    <w:rFonts w:ascii="Cambria Math" w:hAnsi="Cambria Math" w:eastAsia="Arial Unicode MS" w:cs="Times New Roman"/>
                    <w:i/>
                    <w:sz w:val="32"/>
                    <w:szCs w:val="32"/>
                  </w:rPr>
                </m:ctrlPr>
              </m:sup>
            </m:sSup>
            <m:ctrlPr>
              <w:rPr>
                <w:rFonts w:ascii="Cambria Math" w:hAnsi="Cambria Math" w:eastAsia="Arial Unicode MS" w:cs="Times New Roman"/>
                <w:i/>
                <w:sz w:val="32"/>
                <w:szCs w:val="32"/>
              </w:rPr>
            </m:ctrlPr>
          </m:den>
        </m:f>
      </m:oMath>
      <w:r>
        <w:rPr>
          <w:rFonts w:ascii="Times New Roman" w:hAnsi="Times New Roman" w:eastAsia="Arial Unicode MS" w:cs="Times New Roman"/>
          <w:sz w:val="32"/>
          <w:szCs w:val="32"/>
        </w:rPr>
        <w:t xml:space="preserve">            </w:t>
      </w:r>
      <w:r>
        <w:rPr>
          <w:rFonts w:ascii="Times New Roman" w:hAnsi="Times New Roman" w:eastAsia="Arial Unicode MS" w:cs="Times New Roman"/>
          <w:sz w:val="24"/>
          <w:szCs w:val="24"/>
        </w:rPr>
        <w:t xml:space="preserve">n= </w:t>
      </w:r>
      <w:r>
        <w:rPr>
          <w:rFonts w:ascii="Times New Roman" w:hAnsi="Times New Roman" w:eastAsia="Arial Unicode MS" w:cs="Times New Roman"/>
          <w:sz w:val="24"/>
          <w:szCs w:val="24"/>
          <w:u w:val="single"/>
        </w:rPr>
        <w:t>(1.96)</w:t>
      </w:r>
      <w:r>
        <w:rPr>
          <w:rFonts w:ascii="Times New Roman" w:hAnsi="Times New Roman" w:eastAsia="Arial Unicode MS" w:cs="Times New Roman"/>
          <w:sz w:val="24"/>
          <w:szCs w:val="24"/>
          <w:u w:val="single"/>
          <w:vertAlign w:val="superscript"/>
        </w:rPr>
        <w:t>2</w:t>
      </w:r>
      <w:r>
        <w:rPr>
          <w:rFonts w:ascii="Times New Roman" w:hAnsi="Times New Roman" w:eastAsia="Arial Unicode MS" w:cs="Times New Roman"/>
          <w:sz w:val="24"/>
          <w:szCs w:val="24"/>
          <w:u w:val="single"/>
        </w:rPr>
        <w:t xml:space="preserve"> 0.32(1-0.32)</w:t>
      </w:r>
      <w:r>
        <w:rPr>
          <w:rFonts w:ascii="Times New Roman" w:hAnsi="Times New Roman" w:eastAsia="Arial Unicode MS" w:cs="Times New Roman"/>
          <w:sz w:val="24"/>
          <w:szCs w:val="24"/>
        </w:rPr>
        <w:t xml:space="preserve"> =303</w:t>
      </w:r>
      <w:r>
        <w:rPr>
          <w:rFonts w:ascii="Times New Roman" w:hAnsi="Times New Roman" w:eastAsia="Times New Roman" w:cs="Times New Roman"/>
          <w:bCs/>
          <w:sz w:val="24"/>
          <w:szCs w:val="24"/>
        </w:rPr>
        <w:t xml:space="preserve"> women  </w:t>
      </w:r>
    </w:p>
    <w:p w14:paraId="555D806A">
      <w:pPr>
        <w:spacing w:line="360" w:lineRule="auto"/>
        <w:rPr>
          <w:rFonts w:ascii="Times New Roman" w:hAnsi="Times New Roman" w:eastAsia="Arial Unicode MS" w:cs="Times New Roman"/>
          <w:sz w:val="24"/>
          <w:szCs w:val="24"/>
          <w:vertAlign w:val="superscript"/>
        </w:rPr>
      </w:pPr>
      <w:r>
        <w:rPr>
          <w:rFonts w:ascii="Times New Roman" w:hAnsi="Times New Roman" w:eastAsia="Arial Unicode MS" w:cs="Times New Roman"/>
          <w:sz w:val="24"/>
          <w:szCs w:val="24"/>
        </w:rPr>
        <w:t xml:space="preserve">                                                                                (0.05)</w:t>
      </w:r>
      <w:r>
        <w:rPr>
          <w:rFonts w:ascii="Times New Roman" w:hAnsi="Times New Roman" w:eastAsia="Arial Unicode MS" w:cs="Times New Roman"/>
          <w:sz w:val="24"/>
          <w:szCs w:val="24"/>
          <w:vertAlign w:val="superscript"/>
        </w:rPr>
        <w:t>2</w:t>
      </w:r>
    </w:p>
    <w:p w14:paraId="033DFCD5">
      <w:pPr>
        <w:spacing w:line="36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n=number of minimum sample required</w:t>
      </w:r>
    </w:p>
    <w:p w14:paraId="6A71FD43">
      <w:pPr>
        <w:spacing w:line="360" w:lineRule="auto"/>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p=</w:t>
      </w:r>
      <w:r>
        <w:rPr>
          <w:rFonts w:ascii="Times New Roman" w:hAnsi="Times New Roman" w:eastAsia="Times New Roman" w:cs="Times New Roman"/>
          <w:sz w:val="24"/>
          <w:szCs w:val="24"/>
        </w:rPr>
        <w:t xml:space="preserve"> proportion </w:t>
      </w:r>
      <w:r>
        <w:rPr>
          <w:rFonts w:ascii="Times New Roman" w:hAnsi="Times New Roman" w:eastAsia="Times New Roman" w:cs="Times New Roman"/>
          <w:bCs/>
          <w:sz w:val="24"/>
          <w:szCs w:val="24"/>
        </w:rPr>
        <w:t>accept malaria vaccine among mothers attending immunization services</w:t>
      </w:r>
      <w:r>
        <w:rPr>
          <w:rFonts w:ascii="Times New Roman" w:hAnsi="Times New Roman" w:eastAsia="Times New Roman" w:cs="Times New Roman"/>
          <w:sz w:val="24"/>
          <w:szCs w:val="24"/>
        </w:rPr>
        <w:t xml:space="preserve"> (50%).</w:t>
      </w:r>
    </w:p>
    <w:p w14:paraId="7871CD97">
      <w:pPr>
        <w:spacing w:line="360" w:lineRule="auto"/>
        <w:rPr>
          <w:rFonts w:ascii="Times New Roman" w:hAnsi="Times New Roman" w:eastAsia="Times New Roman" w:cs="Times New Roman"/>
          <w:sz w:val="24"/>
          <w:szCs w:val="24"/>
        </w:rPr>
      </w:pPr>
      <w:r>
        <w:rPr>
          <w:rFonts w:ascii="Times New Roman" w:hAnsi="Times New Roman" w:eastAsia="Times New Roman" w:cs="Times New Roman"/>
          <w:bCs/>
          <w:sz w:val="24"/>
          <w:szCs w:val="24"/>
        </w:rPr>
        <w:t>d=</w:t>
      </w:r>
      <w:r>
        <w:rPr>
          <w:rFonts w:ascii="Times New Roman" w:hAnsi="Times New Roman" w:eastAsia="Times New Roman" w:cs="Times New Roman"/>
          <w:sz w:val="24"/>
          <w:szCs w:val="24"/>
        </w:rPr>
        <w:t xml:space="preserve">5% (degree of precision) = 0.05 with 10% non-respondent rate </w:t>
      </w:r>
    </w:p>
    <w:p w14:paraId="298E5511">
      <w:pPr>
        <w:spacing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There were 334 samples in total.</w:t>
      </w:r>
    </w:p>
    <w:p w14:paraId="37C7C044">
      <w:pPr>
        <w:spacing w:line="36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For second objective; -</w:t>
      </w:r>
      <w:r>
        <w:t xml:space="preserve"> </w:t>
      </w:r>
      <w:r>
        <w:rPr>
          <w:rFonts w:ascii="Times New Roman" w:hAnsi="Times New Roman" w:eastAsia="Times New Roman" w:cs="Times New Roman"/>
          <w:sz w:val="24"/>
          <w:szCs w:val="24"/>
        </w:rPr>
        <w:t>factors associated with willingness to accept the malaria vaccine among mothers at public health facilities,</w:t>
      </w:r>
      <w:r>
        <w:t xml:space="preserve"> </w:t>
      </w:r>
      <w:r>
        <w:rPr>
          <w:rFonts w:ascii="Times New Roman" w:hAnsi="Times New Roman" w:eastAsia="Times New Roman" w:cs="Times New Roman"/>
          <w:sz w:val="24"/>
          <w:szCs w:val="24"/>
        </w:rPr>
        <w:t>from previous studies, by using double proportion ratio, sample size was calculated using</w:t>
      </w:r>
      <w:r>
        <w:t xml:space="preserve"> </w:t>
      </w:r>
      <w:r>
        <w:rPr>
          <w:rFonts w:ascii="Times New Roman" w:hAnsi="Times New Roman" w:eastAsia="Times New Roman" w:cs="Times New Roman"/>
          <w:sz w:val="24"/>
          <w:szCs w:val="24"/>
        </w:rPr>
        <w:t>stat calc. menu of Epi info version 7 by considering 95% CI,80% power.</w:t>
      </w:r>
    </w:p>
    <w:p w14:paraId="5299B5F2">
      <w:pPr>
        <w:spacing w:line="360" w:lineRule="auto"/>
        <w:rPr>
          <w:rFonts w:ascii="Times New Roman" w:hAnsi="Times New Roman" w:eastAsia="Times New Roman" w:cs="Times New Roman"/>
          <w:b/>
          <w:sz w:val="24"/>
          <w:szCs w:val="24"/>
        </w:rPr>
      </w:pPr>
    </w:p>
    <w:p w14:paraId="16D49187">
      <w:pPr>
        <w:pStyle w:val="14"/>
        <w:rPr>
          <w:rFonts w:ascii="Times New Roman" w:hAnsi="Times New Roman" w:cs="Times New Roman"/>
          <w:sz w:val="24"/>
          <w:szCs w:val="24"/>
        </w:rPr>
      </w:pPr>
      <w:bookmarkStart w:id="277" w:name="_Toc197884917"/>
      <w:r>
        <w:rPr>
          <w:rFonts w:ascii="Times New Roman" w:hAnsi="Times New Roman" w:cs="Times New Roman"/>
          <w:sz w:val="24"/>
          <w:szCs w:val="24"/>
        </w:rPr>
        <w:t xml:space="preserve">Table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Table \* ARABIC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 Sample size calculation for factors associated with willingness to accept the malaria vaccine among mothers at  public health facilities in Nekemte town  East wollega, Oromia, Ethiopia, 2024.</w:t>
      </w:r>
      <w:bookmarkEnd w:id="277"/>
    </w:p>
    <w:p w14:paraId="4325F173"/>
    <w:tbl>
      <w:tblPr>
        <w:tblStyle w:val="66"/>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2492"/>
        <w:gridCol w:w="1076"/>
        <w:gridCol w:w="1356"/>
        <w:gridCol w:w="1256"/>
        <w:gridCol w:w="876"/>
        <w:gridCol w:w="1359"/>
        <w:gridCol w:w="693"/>
      </w:tblGrid>
      <w:tr w14:paraId="6A8631B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492" w:type="dxa"/>
          </w:tcPr>
          <w:p w14:paraId="5419C559">
            <w:pPr>
              <w:spacing w:line="360" w:lineRule="auto"/>
              <w:rPr>
                <w:rFonts w:ascii="Times New Roman" w:hAnsi="Times New Roman" w:eastAsia="Times New Roman"/>
                <w:sz w:val="24"/>
                <w:szCs w:val="24"/>
              </w:rPr>
            </w:pPr>
            <w:r>
              <w:rPr>
                <w:rFonts w:ascii="Times New Roman" w:hAnsi="Times New Roman" w:eastAsia="Times New Roman"/>
                <w:sz w:val="24"/>
                <w:szCs w:val="24"/>
              </w:rPr>
              <w:t>Variables</w:t>
            </w:r>
          </w:p>
        </w:tc>
        <w:tc>
          <w:tcPr>
            <w:tcW w:w="1076" w:type="dxa"/>
          </w:tcPr>
          <w:p w14:paraId="5C3E0DBF">
            <w:pPr>
              <w:spacing w:line="360" w:lineRule="auto"/>
              <w:rPr>
                <w:rFonts w:hint="default" w:ascii="Times New Roman" w:hAnsi="Times New Roman" w:eastAsia="Times New Roman"/>
                <w:sz w:val="24"/>
                <w:szCs w:val="24"/>
                <w:lang w:val="en-US"/>
              </w:rPr>
            </w:pPr>
            <w:r>
              <w:rPr>
                <w:rFonts w:hint="default" w:ascii="Times New Roman" w:hAnsi="Times New Roman" w:eastAsia="Times New Roman"/>
                <w:sz w:val="24"/>
                <w:szCs w:val="24"/>
                <w:lang w:val="en-US"/>
              </w:rPr>
              <w:t>Power</w:t>
            </w:r>
          </w:p>
        </w:tc>
        <w:tc>
          <w:tcPr>
            <w:tcW w:w="1356" w:type="dxa"/>
            <w:vAlign w:val="top"/>
          </w:tcPr>
          <w:p w14:paraId="023D374E">
            <w:pPr>
              <w:spacing w:line="360" w:lineRule="auto"/>
              <w:rPr>
                <w:rFonts w:ascii="Times New Roman" w:hAnsi="Times New Roman" w:eastAsia="Times New Roman"/>
                <w:sz w:val="24"/>
                <w:szCs w:val="24"/>
              </w:rPr>
            </w:pPr>
            <w:r>
              <w:rPr>
                <w:rFonts w:ascii="Times New Roman" w:hAnsi="Times New Roman" w:eastAsia="Times New Roman"/>
                <w:sz w:val="24"/>
                <w:szCs w:val="24"/>
              </w:rPr>
              <w:t>AOR</w:t>
            </w:r>
          </w:p>
        </w:tc>
        <w:tc>
          <w:tcPr>
            <w:tcW w:w="1256" w:type="dxa"/>
          </w:tcPr>
          <w:p w14:paraId="5C1F195E">
            <w:pPr>
              <w:spacing w:line="360" w:lineRule="auto"/>
              <w:rPr>
                <w:rFonts w:ascii="Times New Roman" w:hAnsi="Times New Roman" w:eastAsia="Times New Roman"/>
                <w:sz w:val="24"/>
                <w:szCs w:val="24"/>
              </w:rPr>
            </w:pPr>
            <w:r>
              <w:rPr>
                <w:rFonts w:ascii="Times New Roman" w:hAnsi="Times New Roman" w:eastAsia="Times New Roman"/>
                <w:sz w:val="24"/>
                <w:szCs w:val="24"/>
              </w:rPr>
              <w:t>Sample size</w:t>
            </w:r>
          </w:p>
        </w:tc>
        <w:tc>
          <w:tcPr>
            <w:tcW w:w="876" w:type="dxa"/>
          </w:tcPr>
          <w:p w14:paraId="10285A34">
            <w:pPr>
              <w:spacing w:line="360" w:lineRule="auto"/>
              <w:rPr>
                <w:rFonts w:ascii="Times New Roman" w:hAnsi="Times New Roman" w:eastAsia="Times New Roman"/>
                <w:sz w:val="24"/>
                <w:szCs w:val="24"/>
              </w:rPr>
            </w:pPr>
            <w:r>
              <w:rPr>
                <w:rFonts w:ascii="Times New Roman" w:hAnsi="Times New Roman" w:eastAsia="Times New Roman"/>
                <w:sz w:val="24"/>
                <w:szCs w:val="24"/>
              </w:rPr>
              <w:t>10%</w:t>
            </w:r>
          </w:p>
        </w:tc>
        <w:tc>
          <w:tcPr>
            <w:tcW w:w="1359" w:type="dxa"/>
          </w:tcPr>
          <w:p w14:paraId="7306329C">
            <w:pPr>
              <w:spacing w:line="360" w:lineRule="auto"/>
              <w:rPr>
                <w:rFonts w:ascii="Times New Roman" w:hAnsi="Times New Roman" w:eastAsia="Times New Roman"/>
                <w:sz w:val="24"/>
                <w:szCs w:val="24"/>
              </w:rPr>
            </w:pPr>
            <w:r>
              <w:rPr>
                <w:rFonts w:ascii="Times New Roman" w:hAnsi="Times New Roman" w:eastAsia="Times New Roman"/>
                <w:sz w:val="24"/>
                <w:szCs w:val="24"/>
              </w:rPr>
              <w:t>Total sample size</w:t>
            </w:r>
          </w:p>
        </w:tc>
        <w:tc>
          <w:tcPr>
            <w:tcW w:w="693" w:type="dxa"/>
          </w:tcPr>
          <w:p w14:paraId="12EB5232">
            <w:pPr>
              <w:spacing w:line="360" w:lineRule="auto"/>
              <w:rPr>
                <w:rFonts w:ascii="Times New Roman" w:hAnsi="Times New Roman" w:eastAsia="Times New Roman"/>
                <w:sz w:val="24"/>
                <w:szCs w:val="24"/>
              </w:rPr>
            </w:pPr>
            <w:r>
              <w:rPr>
                <w:rFonts w:ascii="Times New Roman" w:hAnsi="Times New Roman" w:eastAsia="Times New Roman"/>
                <w:sz w:val="24"/>
                <w:szCs w:val="24"/>
              </w:rPr>
              <w:t>Ref.</w:t>
            </w:r>
          </w:p>
        </w:tc>
      </w:tr>
      <w:tr w14:paraId="3179D12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492" w:type="dxa"/>
          </w:tcPr>
          <w:p w14:paraId="2F24FBE4">
            <w:pPr>
              <w:spacing w:line="360" w:lineRule="auto"/>
              <w:rPr>
                <w:rFonts w:ascii="Times New Roman" w:hAnsi="Times New Roman" w:eastAsia="Times New Roman"/>
                <w:sz w:val="24"/>
                <w:szCs w:val="24"/>
              </w:rPr>
            </w:pPr>
            <w:r>
              <w:rPr>
                <w:rFonts w:ascii="Times New Roman" w:hAnsi="Times New Roman" w:eastAsia="Times New Roman"/>
                <w:sz w:val="24"/>
                <w:szCs w:val="24"/>
              </w:rPr>
              <w:t>Marital status</w:t>
            </w:r>
          </w:p>
        </w:tc>
        <w:tc>
          <w:tcPr>
            <w:tcW w:w="1076" w:type="dxa"/>
          </w:tcPr>
          <w:p w14:paraId="73AF814E">
            <w:pPr>
              <w:spacing w:line="360" w:lineRule="auto"/>
              <w:rPr>
                <w:rFonts w:hint="default" w:ascii="Times New Roman" w:hAnsi="Times New Roman" w:eastAsia="Times New Roman"/>
                <w:sz w:val="24"/>
                <w:szCs w:val="24"/>
                <w:lang w:val="en-US"/>
              </w:rPr>
            </w:pPr>
            <w:r>
              <w:rPr>
                <w:rFonts w:hint="default" w:ascii="Times New Roman" w:hAnsi="Times New Roman" w:eastAsia="Times New Roman"/>
                <w:sz w:val="24"/>
                <w:szCs w:val="24"/>
                <w:lang w:val="en-US"/>
              </w:rPr>
              <w:t>80%</w:t>
            </w:r>
          </w:p>
        </w:tc>
        <w:tc>
          <w:tcPr>
            <w:tcW w:w="1356" w:type="dxa"/>
            <w:vAlign w:val="top"/>
          </w:tcPr>
          <w:p w14:paraId="20233BA1">
            <w:pPr>
              <w:spacing w:line="360" w:lineRule="auto"/>
              <w:rPr>
                <w:rFonts w:ascii="Times New Roman" w:hAnsi="Times New Roman" w:eastAsia="Times New Roman"/>
                <w:sz w:val="24"/>
                <w:szCs w:val="24"/>
              </w:rPr>
            </w:pPr>
            <w:r>
              <w:rPr>
                <w:rFonts w:ascii="Times New Roman" w:hAnsi="Times New Roman" w:eastAsia="Times New Roman"/>
                <w:sz w:val="24"/>
                <w:szCs w:val="24"/>
              </w:rPr>
              <w:t>1.243</w:t>
            </w:r>
          </w:p>
        </w:tc>
        <w:tc>
          <w:tcPr>
            <w:tcW w:w="1256" w:type="dxa"/>
          </w:tcPr>
          <w:p w14:paraId="3829BA76">
            <w:pPr>
              <w:spacing w:line="360" w:lineRule="auto"/>
              <w:rPr>
                <w:rFonts w:ascii="Times New Roman" w:hAnsi="Times New Roman" w:eastAsia="Times New Roman"/>
                <w:sz w:val="24"/>
                <w:szCs w:val="24"/>
              </w:rPr>
            </w:pPr>
            <w:r>
              <w:rPr>
                <w:rFonts w:ascii="Times New Roman" w:hAnsi="Times New Roman" w:eastAsia="Times New Roman"/>
                <w:sz w:val="24"/>
                <w:szCs w:val="24"/>
              </w:rPr>
              <w:t>112</w:t>
            </w:r>
          </w:p>
        </w:tc>
        <w:tc>
          <w:tcPr>
            <w:tcW w:w="876" w:type="dxa"/>
          </w:tcPr>
          <w:p w14:paraId="03EFE134">
            <w:pPr>
              <w:spacing w:line="360" w:lineRule="auto"/>
              <w:rPr>
                <w:rFonts w:ascii="Times New Roman" w:hAnsi="Times New Roman" w:eastAsia="Times New Roman"/>
                <w:sz w:val="24"/>
                <w:szCs w:val="24"/>
              </w:rPr>
            </w:pPr>
            <w:r>
              <w:rPr>
                <w:rFonts w:ascii="Times New Roman" w:hAnsi="Times New Roman" w:eastAsia="Times New Roman"/>
                <w:sz w:val="24"/>
                <w:szCs w:val="24"/>
              </w:rPr>
              <w:t>11</w:t>
            </w:r>
          </w:p>
        </w:tc>
        <w:tc>
          <w:tcPr>
            <w:tcW w:w="1359" w:type="dxa"/>
          </w:tcPr>
          <w:p w14:paraId="38BF2D55">
            <w:pPr>
              <w:spacing w:line="360" w:lineRule="auto"/>
              <w:rPr>
                <w:rFonts w:ascii="Times New Roman" w:hAnsi="Times New Roman" w:eastAsia="Times New Roman"/>
                <w:sz w:val="24"/>
                <w:szCs w:val="24"/>
              </w:rPr>
            </w:pPr>
            <w:r>
              <w:rPr>
                <w:rFonts w:ascii="Times New Roman" w:hAnsi="Times New Roman" w:eastAsia="Times New Roman"/>
                <w:sz w:val="24"/>
                <w:szCs w:val="24"/>
              </w:rPr>
              <w:t>123</w:t>
            </w:r>
          </w:p>
        </w:tc>
        <w:tc>
          <w:tcPr>
            <w:tcW w:w="693" w:type="dxa"/>
          </w:tcPr>
          <w:p w14:paraId="2214D240">
            <w:pPr>
              <w:spacing w:line="360" w:lineRule="auto"/>
              <w:rPr>
                <w:rFonts w:ascii="Times New Roman" w:hAnsi="Times New Roman" w:eastAsia="Times New Roman"/>
                <w:sz w:val="24"/>
                <w:szCs w:val="24"/>
              </w:rPr>
            </w:pPr>
            <w:r>
              <w:rPr>
                <w:rFonts w:ascii="Times New Roman" w:hAnsi="Times New Roman" w:eastAsia="Times New Roman"/>
                <w:sz w:val="24"/>
                <w:szCs w:val="24"/>
              </w:rPr>
              <w:t>5</w:t>
            </w:r>
          </w:p>
        </w:tc>
      </w:tr>
      <w:tr w14:paraId="73320443">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492" w:type="dxa"/>
          </w:tcPr>
          <w:p w14:paraId="5CFA1080">
            <w:pPr>
              <w:spacing w:line="360" w:lineRule="auto"/>
              <w:rPr>
                <w:rFonts w:ascii="Times New Roman" w:hAnsi="Times New Roman" w:eastAsia="Times New Roman"/>
                <w:sz w:val="24"/>
                <w:szCs w:val="24"/>
              </w:rPr>
            </w:pPr>
            <w:r>
              <w:rPr>
                <w:rFonts w:ascii="Times New Roman" w:hAnsi="Times New Roman" w:eastAsia="Times New Roman"/>
                <w:sz w:val="24"/>
                <w:szCs w:val="24"/>
              </w:rPr>
              <w:t>Knowledge</w:t>
            </w:r>
          </w:p>
        </w:tc>
        <w:tc>
          <w:tcPr>
            <w:tcW w:w="1076" w:type="dxa"/>
            <w:shd w:val="clear" w:color="auto" w:fill="auto"/>
            <w:vAlign w:val="top"/>
          </w:tcPr>
          <w:p w14:paraId="3F48B9C6">
            <w:pPr>
              <w:spacing w:line="360" w:lineRule="auto"/>
              <w:rPr>
                <w:rFonts w:hint="default" w:ascii="Times New Roman" w:hAnsi="Times New Roman" w:eastAsia="Times New Roman" w:cstheme="minorBidi"/>
                <w:sz w:val="24"/>
                <w:szCs w:val="24"/>
                <w:lang w:val="en-US" w:eastAsia="en-US" w:bidi="ar-SA"/>
              </w:rPr>
            </w:pPr>
            <w:r>
              <w:rPr>
                <w:rFonts w:hint="default" w:ascii="Times New Roman" w:hAnsi="Times New Roman" w:eastAsia="Times New Roman"/>
                <w:sz w:val="24"/>
                <w:szCs w:val="24"/>
                <w:lang w:val="en-US"/>
              </w:rPr>
              <w:t>80%</w:t>
            </w:r>
          </w:p>
        </w:tc>
        <w:tc>
          <w:tcPr>
            <w:tcW w:w="1356" w:type="dxa"/>
            <w:vAlign w:val="top"/>
          </w:tcPr>
          <w:p w14:paraId="64164BD1">
            <w:pPr>
              <w:spacing w:line="360" w:lineRule="auto"/>
              <w:rPr>
                <w:rFonts w:ascii="Times New Roman" w:hAnsi="Times New Roman" w:eastAsia="Times New Roman"/>
                <w:sz w:val="24"/>
                <w:szCs w:val="24"/>
              </w:rPr>
            </w:pPr>
            <w:r>
              <w:rPr>
                <w:rFonts w:ascii="Times New Roman" w:hAnsi="Times New Roman" w:eastAsia="Times New Roman"/>
                <w:sz w:val="24"/>
                <w:szCs w:val="24"/>
              </w:rPr>
              <w:t>3.120</w:t>
            </w:r>
          </w:p>
        </w:tc>
        <w:tc>
          <w:tcPr>
            <w:tcW w:w="1256" w:type="dxa"/>
          </w:tcPr>
          <w:p w14:paraId="400046AC">
            <w:pPr>
              <w:spacing w:line="360" w:lineRule="auto"/>
              <w:rPr>
                <w:rFonts w:ascii="Times New Roman" w:hAnsi="Times New Roman" w:eastAsia="Times New Roman"/>
                <w:sz w:val="24"/>
                <w:szCs w:val="24"/>
              </w:rPr>
            </w:pPr>
            <w:r>
              <w:rPr>
                <w:rFonts w:ascii="Times New Roman" w:hAnsi="Times New Roman" w:eastAsia="Times New Roman"/>
                <w:sz w:val="24"/>
                <w:szCs w:val="24"/>
              </w:rPr>
              <w:t>96</w:t>
            </w:r>
          </w:p>
        </w:tc>
        <w:tc>
          <w:tcPr>
            <w:tcW w:w="876" w:type="dxa"/>
          </w:tcPr>
          <w:p w14:paraId="11DEDB81">
            <w:pPr>
              <w:spacing w:line="360" w:lineRule="auto"/>
              <w:rPr>
                <w:rFonts w:ascii="Times New Roman" w:hAnsi="Times New Roman" w:eastAsia="Times New Roman"/>
                <w:sz w:val="24"/>
                <w:szCs w:val="24"/>
              </w:rPr>
            </w:pPr>
            <w:r>
              <w:rPr>
                <w:rFonts w:ascii="Times New Roman" w:hAnsi="Times New Roman" w:eastAsia="Times New Roman"/>
                <w:sz w:val="24"/>
                <w:szCs w:val="24"/>
              </w:rPr>
              <w:t>9</w:t>
            </w:r>
          </w:p>
        </w:tc>
        <w:tc>
          <w:tcPr>
            <w:tcW w:w="1359" w:type="dxa"/>
          </w:tcPr>
          <w:p w14:paraId="1E22DED6">
            <w:pPr>
              <w:spacing w:line="360" w:lineRule="auto"/>
              <w:rPr>
                <w:rFonts w:ascii="Times New Roman" w:hAnsi="Times New Roman" w:eastAsia="Times New Roman"/>
                <w:sz w:val="24"/>
                <w:szCs w:val="24"/>
              </w:rPr>
            </w:pPr>
            <w:r>
              <w:rPr>
                <w:rFonts w:ascii="Times New Roman" w:hAnsi="Times New Roman" w:eastAsia="Times New Roman"/>
                <w:sz w:val="24"/>
                <w:szCs w:val="24"/>
              </w:rPr>
              <w:t>106</w:t>
            </w:r>
          </w:p>
        </w:tc>
        <w:tc>
          <w:tcPr>
            <w:tcW w:w="693" w:type="dxa"/>
          </w:tcPr>
          <w:p w14:paraId="738D7AB7">
            <w:pPr>
              <w:spacing w:line="360" w:lineRule="auto"/>
              <w:rPr>
                <w:rFonts w:ascii="Times New Roman" w:hAnsi="Times New Roman" w:eastAsia="Times New Roman"/>
                <w:sz w:val="24"/>
                <w:szCs w:val="24"/>
              </w:rPr>
            </w:pPr>
            <w:r>
              <w:rPr>
                <w:rFonts w:ascii="Times New Roman" w:hAnsi="Times New Roman" w:eastAsia="Times New Roman"/>
                <w:sz w:val="24"/>
                <w:szCs w:val="24"/>
              </w:rPr>
              <w:t>5</w:t>
            </w:r>
          </w:p>
        </w:tc>
      </w:tr>
      <w:tr w14:paraId="5A8B6DC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492" w:type="dxa"/>
          </w:tcPr>
          <w:p w14:paraId="2536B555">
            <w:pPr>
              <w:spacing w:line="360" w:lineRule="auto"/>
              <w:rPr>
                <w:rFonts w:ascii="Times New Roman" w:hAnsi="Times New Roman" w:eastAsia="Times New Roman"/>
                <w:sz w:val="24"/>
                <w:szCs w:val="24"/>
              </w:rPr>
            </w:pPr>
            <w:r>
              <w:rPr>
                <w:rFonts w:ascii="Times New Roman" w:hAnsi="Times New Roman" w:eastAsia="Times New Roman"/>
                <w:sz w:val="24"/>
                <w:szCs w:val="24"/>
              </w:rPr>
              <w:t>Previous experience about childhood vaccination</w:t>
            </w:r>
          </w:p>
        </w:tc>
        <w:tc>
          <w:tcPr>
            <w:tcW w:w="1076" w:type="dxa"/>
            <w:shd w:val="clear" w:color="auto" w:fill="auto"/>
            <w:vAlign w:val="top"/>
          </w:tcPr>
          <w:p w14:paraId="2559CBAC">
            <w:pPr>
              <w:spacing w:line="360" w:lineRule="auto"/>
              <w:rPr>
                <w:rFonts w:hint="default" w:ascii="Times New Roman" w:hAnsi="Times New Roman" w:eastAsia="Times New Roman" w:cstheme="minorBidi"/>
                <w:sz w:val="24"/>
                <w:szCs w:val="24"/>
                <w:lang w:val="en-US" w:eastAsia="en-US" w:bidi="ar-SA"/>
              </w:rPr>
            </w:pPr>
            <w:r>
              <w:rPr>
                <w:rFonts w:hint="default" w:ascii="Times New Roman" w:hAnsi="Times New Roman" w:eastAsia="Times New Roman"/>
                <w:sz w:val="24"/>
                <w:szCs w:val="24"/>
                <w:lang w:val="en-US"/>
              </w:rPr>
              <w:t>80%</w:t>
            </w:r>
          </w:p>
        </w:tc>
        <w:tc>
          <w:tcPr>
            <w:tcW w:w="1356" w:type="dxa"/>
            <w:vAlign w:val="top"/>
          </w:tcPr>
          <w:p w14:paraId="60038D82">
            <w:pPr>
              <w:spacing w:line="360" w:lineRule="auto"/>
              <w:rPr>
                <w:rFonts w:ascii="Times New Roman" w:hAnsi="Times New Roman" w:eastAsia="Times New Roman"/>
                <w:sz w:val="24"/>
                <w:szCs w:val="24"/>
              </w:rPr>
            </w:pPr>
          </w:p>
          <w:p w14:paraId="13E06183">
            <w:pPr>
              <w:spacing w:line="360" w:lineRule="auto"/>
              <w:rPr>
                <w:rFonts w:ascii="Times New Roman" w:hAnsi="Times New Roman" w:eastAsia="Times New Roman"/>
                <w:sz w:val="24"/>
                <w:szCs w:val="24"/>
              </w:rPr>
            </w:pPr>
            <w:r>
              <w:rPr>
                <w:rFonts w:ascii="Times New Roman" w:hAnsi="Times New Roman" w:eastAsia="Times New Roman"/>
                <w:sz w:val="24"/>
                <w:szCs w:val="24"/>
              </w:rPr>
              <w:t>2.673</w:t>
            </w:r>
          </w:p>
        </w:tc>
        <w:tc>
          <w:tcPr>
            <w:tcW w:w="1256" w:type="dxa"/>
          </w:tcPr>
          <w:p w14:paraId="47EF8198">
            <w:pPr>
              <w:spacing w:line="360" w:lineRule="auto"/>
              <w:rPr>
                <w:rFonts w:ascii="Times New Roman" w:hAnsi="Times New Roman" w:eastAsia="Times New Roman"/>
                <w:sz w:val="24"/>
                <w:szCs w:val="24"/>
              </w:rPr>
            </w:pPr>
          </w:p>
          <w:p w14:paraId="3B878F3B">
            <w:pPr>
              <w:spacing w:line="360" w:lineRule="auto"/>
              <w:rPr>
                <w:rFonts w:ascii="Times New Roman" w:hAnsi="Times New Roman" w:eastAsia="Times New Roman"/>
                <w:sz w:val="24"/>
                <w:szCs w:val="24"/>
              </w:rPr>
            </w:pPr>
            <w:r>
              <w:rPr>
                <w:rFonts w:ascii="Times New Roman" w:hAnsi="Times New Roman" w:eastAsia="Times New Roman"/>
                <w:sz w:val="24"/>
                <w:szCs w:val="24"/>
              </w:rPr>
              <w:t>124</w:t>
            </w:r>
          </w:p>
        </w:tc>
        <w:tc>
          <w:tcPr>
            <w:tcW w:w="876" w:type="dxa"/>
          </w:tcPr>
          <w:p w14:paraId="7CA4947A">
            <w:pPr>
              <w:spacing w:line="360" w:lineRule="auto"/>
              <w:rPr>
                <w:rFonts w:ascii="Times New Roman" w:hAnsi="Times New Roman" w:eastAsia="Times New Roman"/>
                <w:sz w:val="24"/>
                <w:szCs w:val="24"/>
              </w:rPr>
            </w:pPr>
          </w:p>
          <w:p w14:paraId="2745B4F1">
            <w:pPr>
              <w:spacing w:line="360" w:lineRule="auto"/>
              <w:rPr>
                <w:rFonts w:ascii="Times New Roman" w:hAnsi="Times New Roman" w:eastAsia="Times New Roman"/>
                <w:sz w:val="24"/>
                <w:szCs w:val="24"/>
              </w:rPr>
            </w:pPr>
            <w:r>
              <w:rPr>
                <w:rFonts w:ascii="Times New Roman" w:hAnsi="Times New Roman" w:eastAsia="Times New Roman"/>
                <w:sz w:val="24"/>
                <w:szCs w:val="24"/>
              </w:rPr>
              <w:t>12</w:t>
            </w:r>
          </w:p>
        </w:tc>
        <w:tc>
          <w:tcPr>
            <w:tcW w:w="1359" w:type="dxa"/>
          </w:tcPr>
          <w:p w14:paraId="1018364A">
            <w:pPr>
              <w:spacing w:line="360" w:lineRule="auto"/>
              <w:rPr>
                <w:rFonts w:ascii="Times New Roman" w:hAnsi="Times New Roman" w:eastAsia="Times New Roman"/>
                <w:sz w:val="24"/>
                <w:szCs w:val="24"/>
              </w:rPr>
            </w:pPr>
          </w:p>
          <w:p w14:paraId="3130A2CE">
            <w:pPr>
              <w:spacing w:line="360" w:lineRule="auto"/>
              <w:rPr>
                <w:rFonts w:ascii="Times New Roman" w:hAnsi="Times New Roman" w:eastAsia="Times New Roman"/>
                <w:sz w:val="24"/>
                <w:szCs w:val="24"/>
              </w:rPr>
            </w:pPr>
            <w:r>
              <w:rPr>
                <w:rFonts w:ascii="Times New Roman" w:hAnsi="Times New Roman" w:eastAsia="Times New Roman"/>
                <w:sz w:val="24"/>
                <w:szCs w:val="24"/>
              </w:rPr>
              <w:t>136</w:t>
            </w:r>
          </w:p>
        </w:tc>
        <w:tc>
          <w:tcPr>
            <w:tcW w:w="693" w:type="dxa"/>
          </w:tcPr>
          <w:p w14:paraId="37BE1791">
            <w:pPr>
              <w:spacing w:line="360" w:lineRule="auto"/>
              <w:rPr>
                <w:rFonts w:ascii="Times New Roman" w:hAnsi="Times New Roman" w:eastAsia="Times New Roman"/>
                <w:sz w:val="24"/>
                <w:szCs w:val="24"/>
              </w:rPr>
            </w:pPr>
            <w:r>
              <w:rPr>
                <w:rFonts w:ascii="Times New Roman" w:hAnsi="Times New Roman" w:eastAsia="Times New Roman"/>
                <w:sz w:val="24"/>
                <w:szCs w:val="24"/>
              </w:rPr>
              <w:t>5</w:t>
            </w:r>
          </w:p>
        </w:tc>
      </w:tr>
    </w:tbl>
    <w:p w14:paraId="65F1B55F">
      <w:pPr>
        <w:spacing w:line="360" w:lineRule="auto"/>
        <w:rPr>
          <w:rFonts w:ascii="Times New Roman" w:hAnsi="Times New Roman" w:eastAsia="Times New Roman" w:cs="Times New Roman"/>
          <w:sz w:val="24"/>
          <w:szCs w:val="24"/>
        </w:rPr>
      </w:pPr>
    </w:p>
    <w:p w14:paraId="137A4A08">
      <w:pPr>
        <w:spacing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Among the calculated sample size options, the Largest Sample calculated using the P=.32 proportion of malaria vaccine acceptance which is 334 was selected as the final sample size for the study to</w:t>
      </w:r>
      <w:r>
        <w:t xml:space="preserve"> </w:t>
      </w:r>
      <w:r>
        <w:rPr>
          <w:rFonts w:ascii="Times New Roman" w:hAnsi="Times New Roman" w:eastAsia="Times New Roman" w:cs="Times New Roman"/>
          <w:sz w:val="24"/>
          <w:szCs w:val="24"/>
        </w:rPr>
        <w:t>obtain a study sample size that is adequate. Given that the sample size calculated by using the single population proportion is greater than the second goal (associated factors).</w:t>
      </w:r>
    </w:p>
    <w:p w14:paraId="0141E22D">
      <w:pPr>
        <w:pStyle w:val="3"/>
      </w:pPr>
      <w:bookmarkStart w:id="278" w:name="_Toc198635481"/>
      <w:bookmarkStart w:id="279" w:name="_Toc185190157"/>
      <w:r>
        <w:t>4.8. Sampling   procedures</w:t>
      </w:r>
      <w:bookmarkEnd w:id="257"/>
      <w:bookmarkEnd w:id="258"/>
      <w:bookmarkEnd w:id="278"/>
      <w:bookmarkEnd w:id="279"/>
    </w:p>
    <w:p w14:paraId="77DCFE0E"/>
    <w:p w14:paraId="6CF8A911">
      <w:pPr>
        <w:spacing w:line="360" w:lineRule="auto"/>
        <w:jc w:val="both"/>
      </w:pPr>
      <w:r>
        <w:rPr>
          <w:rFonts w:ascii="Times New Roman" w:hAnsi="Times New Roman" w:eastAsia="Calibri" w:cs="Times New Roman"/>
          <w:sz w:val="24"/>
          <w:szCs w:val="24"/>
        </w:rPr>
        <w:t>The average monthly flow of mothers attending immunization programs at each of the three health facilities were calculated based on the 2016 E.C. annual performance report of EPI of each facility. Accordingly, the average monthly flow of mothers at Wollega University Comprehensive Specialized was 118, and 198 for Nekemte Specialized Hospital, 426 for Nekemte Health Center. Then the total amount of mothers expected to attend the facilities within the two months of data collection period was calculated to be 1484 mothers in the three facilities. Finally, the amount of sample size to be selected from the three health facilities were proportionally allocated based on the two month’s</w:t>
      </w:r>
      <w:r>
        <w:rPr>
          <w:rFonts w:hint="default" w:ascii="Times New Roman" w:hAnsi="Times New Roman" w:eastAsia="Calibri" w:cs="Times New Roman"/>
          <w:sz w:val="24"/>
          <w:szCs w:val="24"/>
          <w:lang w:val="en-US"/>
        </w:rPr>
        <w:t xml:space="preserve"> with the K value 4,</w:t>
      </w:r>
      <w:r>
        <w:rPr>
          <w:rFonts w:ascii="Times New Roman" w:hAnsi="Times New Roman" w:eastAsia="Calibri" w:cs="Times New Roman"/>
          <w:sz w:val="24"/>
          <w:szCs w:val="24"/>
        </w:rPr>
        <w:t xml:space="preserve"> figure as indicated below in the diagram. </w:t>
      </w:r>
      <w:r>
        <w:t xml:space="preserve">         </w:t>
      </w:r>
    </w:p>
    <w:p w14:paraId="50F60776">
      <w:pPr>
        <w:spacing w:line="360" w:lineRule="auto"/>
      </w:pPr>
      <w:r>
        <w:rPr>
          <w:lang w:val="en-GB" w:eastAsia="en-GB"/>
        </w:rPr>
        <mc:AlternateContent>
          <mc:Choice Requires="wpg">
            <w:drawing>
              <wp:anchor distT="0" distB="0" distL="114300" distR="114300" simplePos="0" relativeHeight="251659264" behindDoc="0" locked="0" layoutInCell="1" allowOverlap="1">
                <wp:simplePos x="0" y="0"/>
                <wp:positionH relativeFrom="column">
                  <wp:posOffset>154305</wp:posOffset>
                </wp:positionH>
                <wp:positionV relativeFrom="paragraph">
                  <wp:posOffset>57785</wp:posOffset>
                </wp:positionV>
                <wp:extent cx="5800725" cy="3761740"/>
                <wp:effectExtent l="0" t="0" r="28575" b="10160"/>
                <wp:wrapNone/>
                <wp:docPr id="21" name="Group 21"/>
                <wp:cNvGraphicFramePr/>
                <a:graphic xmlns:a="http://schemas.openxmlformats.org/drawingml/2006/main">
                  <a:graphicData uri="http://schemas.microsoft.com/office/word/2010/wordprocessingGroup">
                    <wpg:wgp>
                      <wpg:cNvGrpSpPr/>
                      <wpg:grpSpPr>
                        <a:xfrm>
                          <a:off x="0" y="0"/>
                          <a:ext cx="5800725" cy="3761740"/>
                          <a:chOff x="161854" y="-25899"/>
                          <a:chExt cx="5801466" cy="3762940"/>
                        </a:xfrm>
                      </wpg:grpSpPr>
                      <wpg:grpSp>
                        <wpg:cNvPr id="22" name="Group 56"/>
                        <wpg:cNvGrpSpPr/>
                        <wpg:grpSpPr>
                          <a:xfrm>
                            <a:off x="161854" y="-25899"/>
                            <a:ext cx="5801466" cy="3762940"/>
                            <a:chOff x="699" y="1940"/>
                            <a:chExt cx="6882" cy="6393"/>
                          </a:xfrm>
                        </wpg:grpSpPr>
                        <wpg:grpSp>
                          <wpg:cNvPr id="23" name="Group 51"/>
                          <wpg:cNvGrpSpPr/>
                          <wpg:grpSpPr>
                            <a:xfrm>
                              <a:off x="1529" y="5760"/>
                              <a:ext cx="4730" cy="2573"/>
                              <a:chOff x="1224" y="9481"/>
                              <a:chExt cx="4730" cy="2573"/>
                            </a:xfrm>
                          </wpg:grpSpPr>
                          <wps:wsp>
                            <wps:cNvPr id="24" name="Rectangle 30"/>
                            <wps:cNvSpPr>
                              <a:spLocks noChangeArrowheads="1"/>
                            </wps:cNvSpPr>
                            <wps:spPr bwMode="auto">
                              <a:xfrm>
                                <a:off x="2391" y="11278"/>
                                <a:ext cx="2359" cy="776"/>
                              </a:xfrm>
                              <a:prstGeom prst="rect">
                                <a:avLst/>
                              </a:prstGeom>
                              <a:solidFill>
                                <a:srgbClr val="FFFFFF"/>
                              </a:solidFill>
                              <a:ln w="9525">
                                <a:solidFill>
                                  <a:srgbClr val="000000"/>
                                </a:solidFill>
                                <a:miter lim="800000"/>
                              </a:ln>
                            </wps:spPr>
                            <wps:txbx>
                              <w:txbxContent>
                                <w:p w14:paraId="0D016E2F">
                                  <w:pPr>
                                    <w:rPr>
                                      <w:rFonts w:ascii="Times New Roman" w:hAnsi="Times New Roman" w:cs="Times New Roman"/>
                                      <w:sz w:val="20"/>
                                      <w:szCs w:val="20"/>
                                    </w:rPr>
                                  </w:pPr>
                                </w:p>
                                <w:p w14:paraId="7C7C4D5D">
                                  <w:pPr>
                                    <w:rPr>
                                      <w:rFonts w:ascii="Times New Roman" w:hAnsi="Times New Roman" w:cs="Times New Roman"/>
                                      <w:sz w:val="24"/>
                                      <w:szCs w:val="24"/>
                                    </w:rPr>
                                  </w:pPr>
                                  <w:r>
                                    <w:rPr>
                                      <w:rFonts w:ascii="Times New Roman" w:hAnsi="Times New Roman" w:cs="Times New Roman"/>
                                      <w:sz w:val="24"/>
                                      <w:szCs w:val="24"/>
                                    </w:rPr>
                                    <w:t xml:space="preserve">                     334 mothers </w:t>
                                  </w:r>
                                </w:p>
                              </w:txbxContent>
                            </wps:txbx>
                            <wps:bodyPr rot="0" vert="horz" wrap="square" lIns="91440" tIns="45720" rIns="91440" bIns="45720" anchor="t" anchorCtr="0" upright="1">
                              <a:noAutofit/>
                            </wps:bodyPr>
                          </wps:wsp>
                          <wpg:grpSp>
                            <wpg:cNvPr id="25" name="Group 47"/>
                            <wpg:cNvGrpSpPr/>
                            <wpg:grpSpPr>
                              <a:xfrm>
                                <a:off x="1224" y="9481"/>
                                <a:ext cx="4730" cy="2185"/>
                                <a:chOff x="1224" y="9481"/>
                                <a:chExt cx="4730" cy="2185"/>
                              </a:xfrm>
                            </wpg:grpSpPr>
                            <wps:wsp>
                              <wps:cNvPr id="26" name="AutoShape 33"/>
                              <wps:cNvCnPr>
                                <a:cxnSpLocks noChangeShapeType="1"/>
                                <a:endCxn id="24" idx="3"/>
                              </wps:cNvCnPr>
                              <wps:spPr bwMode="auto">
                                <a:xfrm flipH="1">
                                  <a:off x="4750" y="10339"/>
                                  <a:ext cx="1204" cy="1327"/>
                                </a:xfrm>
                                <a:prstGeom prst="straightConnector1">
                                  <a:avLst/>
                                </a:prstGeom>
                                <a:noFill/>
                                <a:ln w="63500">
                                  <a:solidFill>
                                    <a:schemeClr val="accent3">
                                      <a:lumMod val="100000"/>
                                      <a:lumOff val="0"/>
                                    </a:schemeClr>
                                  </a:solidFill>
                                  <a:round/>
                                  <a:tailEnd type="triangle" w="med" len="med"/>
                                </a:ln>
                                <a:effectLst/>
                              </wps:spPr>
                              <wps:bodyPr/>
                            </wps:wsp>
                            <wps:wsp>
                              <wps:cNvPr id="27" name="AutoShape 35"/>
                              <wps:cNvCnPr>
                                <a:cxnSpLocks noChangeShapeType="1"/>
                              </wps:cNvCnPr>
                              <wps:spPr bwMode="auto">
                                <a:xfrm>
                                  <a:off x="3665" y="9481"/>
                                  <a:ext cx="8" cy="567"/>
                                </a:xfrm>
                                <a:prstGeom prst="straightConnector1">
                                  <a:avLst/>
                                </a:prstGeom>
                                <a:noFill/>
                                <a:ln w="63500">
                                  <a:solidFill>
                                    <a:schemeClr val="accent3">
                                      <a:lumMod val="100000"/>
                                      <a:lumOff val="0"/>
                                    </a:schemeClr>
                                  </a:solidFill>
                                  <a:round/>
                                  <a:tailEnd type="triangle" w="med" len="med"/>
                                </a:ln>
                                <a:effectLst/>
                              </wps:spPr>
                              <wps:bodyPr/>
                            </wps:wsp>
                            <wps:wsp>
                              <wps:cNvPr id="28" name="AutoShape 43"/>
                              <wps:cNvCnPr>
                                <a:cxnSpLocks noChangeShapeType="1"/>
                                <a:stCxn id="33" idx="2"/>
                                <a:endCxn id="24" idx="1"/>
                              </wps:cNvCnPr>
                              <wps:spPr bwMode="auto">
                                <a:xfrm>
                                  <a:off x="1224" y="10501"/>
                                  <a:ext cx="1167" cy="1165"/>
                                </a:xfrm>
                                <a:prstGeom prst="straightConnector1">
                                  <a:avLst/>
                                </a:prstGeom>
                                <a:noFill/>
                                <a:ln w="63500">
                                  <a:solidFill>
                                    <a:schemeClr val="accent3">
                                      <a:lumMod val="100000"/>
                                      <a:lumOff val="0"/>
                                    </a:schemeClr>
                                  </a:solidFill>
                                  <a:round/>
                                  <a:tailEnd type="triangle" w="med" len="med"/>
                                </a:ln>
                                <a:effectLst/>
                              </wps:spPr>
                              <wps:bodyPr/>
                            </wps:wsp>
                          </wpg:grpSp>
                        </wpg:grpSp>
                        <wpg:grpSp>
                          <wpg:cNvPr id="29" name="Group 52"/>
                          <wpg:cNvGrpSpPr/>
                          <wpg:grpSpPr>
                            <a:xfrm>
                              <a:off x="699" y="1940"/>
                              <a:ext cx="6882" cy="5180"/>
                              <a:chOff x="611" y="5661"/>
                              <a:chExt cx="6688" cy="5180"/>
                            </a:xfrm>
                          </wpg:grpSpPr>
                          <wpg:grpSp>
                            <wpg:cNvPr id="30" name="Group 50"/>
                            <wpg:cNvGrpSpPr/>
                            <wpg:grpSpPr>
                              <a:xfrm>
                                <a:off x="611" y="8106"/>
                                <a:ext cx="6576" cy="2735"/>
                                <a:chOff x="611" y="8106"/>
                                <a:chExt cx="6576" cy="2735"/>
                              </a:xfrm>
                            </wpg:grpSpPr>
                            <wps:wsp>
                              <wps:cNvPr id="31" name="Rectangle 26"/>
                              <wps:cNvSpPr>
                                <a:spLocks noChangeArrowheads="1"/>
                              </wps:cNvSpPr>
                              <wps:spPr bwMode="auto">
                                <a:xfrm>
                                  <a:off x="5103" y="9902"/>
                                  <a:ext cx="2084" cy="745"/>
                                </a:xfrm>
                                <a:prstGeom prst="rect">
                                  <a:avLst/>
                                </a:prstGeom>
                                <a:solidFill>
                                  <a:srgbClr val="FFFFFF"/>
                                </a:solidFill>
                                <a:ln w="9525">
                                  <a:solidFill>
                                    <a:srgbClr val="000000"/>
                                  </a:solidFill>
                                  <a:miter lim="800000"/>
                                </a:ln>
                              </wps:spPr>
                              <wps:txbx>
                                <w:txbxContent>
                                  <w:p w14:paraId="28BA2DE6">
                                    <w:pPr>
                                      <w:rPr>
                                        <w:rFonts w:ascii="Times New Roman" w:hAnsi="Times New Roman" w:cs="Times New Roman"/>
                                      </w:rPr>
                                    </w:pPr>
                                    <w:r>
                                      <w:rPr>
                                        <w:rFonts w:ascii="Times New Roman" w:hAnsi="Times New Roman" w:cs="Times New Roman"/>
                                      </w:rPr>
                                      <w:t xml:space="preserve">191 Mothers  </w:t>
                                    </w:r>
                                  </w:p>
                                  <w:p w14:paraId="328B598F">
                                    <w:pPr>
                                      <w:rPr>
                                        <w:rFonts w:ascii="Times New Roman" w:hAnsi="Times New Roman" w:cs="Times New Roman"/>
                                      </w:rPr>
                                    </w:pPr>
                                  </w:p>
                                </w:txbxContent>
                              </wps:txbx>
                              <wps:bodyPr rot="0" vert="horz" wrap="square" lIns="91440" tIns="45720" rIns="91440" bIns="45720" anchor="t" anchorCtr="0" upright="1">
                                <a:noAutofit/>
                              </wps:bodyPr>
                            </wps:wsp>
                            <wps:wsp>
                              <wps:cNvPr id="32" name="Rectangle 27"/>
                              <wps:cNvSpPr>
                                <a:spLocks noChangeArrowheads="1"/>
                              </wps:cNvSpPr>
                              <wps:spPr bwMode="auto">
                                <a:xfrm>
                                  <a:off x="2519" y="9965"/>
                                  <a:ext cx="2226" cy="876"/>
                                </a:xfrm>
                                <a:prstGeom prst="rect">
                                  <a:avLst/>
                                </a:prstGeom>
                                <a:solidFill>
                                  <a:srgbClr val="FFFFFF"/>
                                </a:solidFill>
                                <a:ln w="9525">
                                  <a:solidFill>
                                    <a:srgbClr val="000000"/>
                                  </a:solidFill>
                                  <a:miter lim="800000"/>
                                </a:ln>
                              </wps:spPr>
                              <wps:txbx>
                                <w:txbxContent>
                                  <w:p w14:paraId="5AE39658">
                                    <w:pPr>
                                      <w:rPr>
                                        <w:rFonts w:ascii="Times New Roman" w:hAnsi="Times New Roman" w:cs="Times New Roman"/>
                                      </w:rPr>
                                    </w:pPr>
                                    <w:r>
                                      <w:rPr>
                                        <w:rFonts w:ascii="Times New Roman" w:hAnsi="Times New Roman" w:cs="Times New Roman"/>
                                      </w:rPr>
                                      <w:t xml:space="preserve">89 Mothers  </w:t>
                                    </w:r>
                                  </w:p>
                                  <w:p w14:paraId="38F7A509">
                                    <w:pPr>
                                      <w:rPr>
                                        <w:rFonts w:ascii="Times New Roman" w:hAnsi="Times New Roman" w:cs="Times New Roman"/>
                                      </w:rPr>
                                    </w:pPr>
                                  </w:p>
                                </w:txbxContent>
                              </wps:txbx>
                              <wps:bodyPr rot="0" vert="horz" wrap="square" lIns="91440" tIns="45720" rIns="91440" bIns="45720" anchor="t" anchorCtr="0" upright="1">
                                <a:noAutofit/>
                              </wps:bodyPr>
                            </wps:wsp>
                            <wps:wsp>
                              <wps:cNvPr id="33" name="Rectangle 32"/>
                              <wps:cNvSpPr>
                                <a:spLocks noChangeArrowheads="1"/>
                              </wps:cNvSpPr>
                              <wps:spPr bwMode="auto">
                                <a:xfrm>
                                  <a:off x="611" y="9611"/>
                                  <a:ext cx="1614" cy="890"/>
                                </a:xfrm>
                                <a:prstGeom prst="rect">
                                  <a:avLst/>
                                </a:prstGeom>
                                <a:solidFill>
                                  <a:srgbClr val="FFFFFF"/>
                                </a:solidFill>
                                <a:ln w="9525">
                                  <a:solidFill>
                                    <a:srgbClr val="000000"/>
                                  </a:solidFill>
                                  <a:miter lim="800000"/>
                                </a:ln>
                              </wps:spPr>
                              <wps:txbx>
                                <w:txbxContent>
                                  <w:p w14:paraId="384E6EF6">
                                    <w:pPr>
                                      <w:rPr>
                                        <w:rFonts w:ascii="Times New Roman" w:hAnsi="Times New Roman" w:cs="Times New Roman"/>
                                      </w:rPr>
                                    </w:pPr>
                                    <w:r>
                                      <w:rPr>
                                        <w:rFonts w:ascii="Times New Roman" w:hAnsi="Times New Roman" w:cs="Times New Roman"/>
                                      </w:rPr>
                                      <w:t xml:space="preserve">53 Mothers  </w:t>
                                    </w:r>
                                  </w:p>
                                </w:txbxContent>
                              </wps:txbx>
                              <wps:bodyPr rot="0" vert="horz" wrap="square" lIns="91440" tIns="45720" rIns="91440" bIns="45720" anchor="t" anchorCtr="0" upright="1">
                                <a:noAutofit/>
                              </wps:bodyPr>
                            </wps:wsp>
                            <wpg:grpSp>
                              <wpg:cNvPr id="34" name="Group 46"/>
                              <wpg:cNvGrpSpPr/>
                              <wpg:grpSpPr>
                                <a:xfrm>
                                  <a:off x="1029" y="8106"/>
                                  <a:ext cx="4864" cy="1812"/>
                                  <a:chOff x="1029" y="8106"/>
                                  <a:chExt cx="4864" cy="1812"/>
                                </a:xfrm>
                              </wpg:grpSpPr>
                              <wps:wsp>
                                <wps:cNvPr id="35" name="AutoShape 37"/>
                                <wps:cNvCnPr>
                                  <a:cxnSpLocks noChangeShapeType="1"/>
                                </wps:cNvCnPr>
                                <wps:spPr bwMode="auto">
                                  <a:xfrm>
                                    <a:off x="1029" y="8365"/>
                                    <a:ext cx="0" cy="842"/>
                                  </a:xfrm>
                                  <a:prstGeom prst="straightConnector1">
                                    <a:avLst/>
                                  </a:prstGeom>
                                  <a:noFill/>
                                  <a:ln w="63500">
                                    <a:solidFill>
                                      <a:schemeClr val="accent3">
                                        <a:lumMod val="100000"/>
                                        <a:lumOff val="0"/>
                                      </a:schemeClr>
                                    </a:solidFill>
                                    <a:round/>
                                    <a:tailEnd type="triangle" w="med" len="med"/>
                                  </a:ln>
                                  <a:effectLst/>
                                </wps:spPr>
                                <wps:bodyPr/>
                              </wps:wsp>
                              <wps:wsp>
                                <wps:cNvPr id="36" name="AutoShape 38"/>
                                <wps:cNvCnPr>
                                  <a:cxnSpLocks noChangeShapeType="1"/>
                                </wps:cNvCnPr>
                                <wps:spPr bwMode="auto">
                                  <a:xfrm>
                                    <a:off x="5893" y="8413"/>
                                    <a:ext cx="0" cy="1505"/>
                                  </a:xfrm>
                                  <a:prstGeom prst="straightConnector1">
                                    <a:avLst/>
                                  </a:prstGeom>
                                  <a:noFill/>
                                  <a:ln w="63500">
                                    <a:solidFill>
                                      <a:schemeClr val="accent3">
                                        <a:lumMod val="100000"/>
                                        <a:lumOff val="0"/>
                                      </a:schemeClr>
                                    </a:solidFill>
                                    <a:round/>
                                    <a:tailEnd type="triangle" w="med" len="med"/>
                                  </a:ln>
                                  <a:effectLst/>
                                </wps:spPr>
                                <wps:bodyPr/>
                              </wps:wsp>
                              <wps:wsp>
                                <wps:cNvPr id="37" name="AutoShape 40"/>
                                <wps:cNvCnPr>
                                  <a:cxnSpLocks noChangeShapeType="1"/>
                                </wps:cNvCnPr>
                                <wps:spPr bwMode="auto">
                                  <a:xfrm>
                                    <a:off x="3302" y="8106"/>
                                    <a:ext cx="11" cy="534"/>
                                  </a:xfrm>
                                  <a:prstGeom prst="straightConnector1">
                                    <a:avLst/>
                                  </a:prstGeom>
                                  <a:noFill/>
                                  <a:ln w="63500">
                                    <a:solidFill>
                                      <a:schemeClr val="accent3">
                                        <a:lumMod val="100000"/>
                                        <a:lumOff val="0"/>
                                      </a:schemeClr>
                                    </a:solidFill>
                                    <a:round/>
                                    <a:tailEnd type="triangle" w="med" len="med"/>
                                  </a:ln>
                                  <a:effectLst/>
                                </wps:spPr>
                                <wps:bodyPr/>
                              </wps:wsp>
                            </wpg:grpSp>
                          </wpg:grpSp>
                          <wpg:grpSp>
                            <wpg:cNvPr id="38" name="Group 49"/>
                            <wpg:cNvGrpSpPr/>
                            <wpg:grpSpPr>
                              <a:xfrm>
                                <a:off x="710" y="5661"/>
                                <a:ext cx="6589" cy="2720"/>
                                <a:chOff x="710" y="5661"/>
                                <a:chExt cx="6589" cy="2720"/>
                              </a:xfrm>
                            </wpg:grpSpPr>
                            <wps:wsp>
                              <wps:cNvPr id="39" name="Rectangle 21"/>
                              <wps:cNvSpPr>
                                <a:spLocks noChangeArrowheads="1"/>
                              </wps:cNvSpPr>
                              <wps:spPr bwMode="auto">
                                <a:xfrm>
                                  <a:off x="4844" y="7636"/>
                                  <a:ext cx="2455" cy="745"/>
                                </a:xfrm>
                                <a:prstGeom prst="rect">
                                  <a:avLst/>
                                </a:prstGeom>
                                <a:solidFill>
                                  <a:srgbClr val="FFFFFF"/>
                                </a:solidFill>
                                <a:ln w="9525">
                                  <a:solidFill>
                                    <a:srgbClr val="000000"/>
                                  </a:solidFill>
                                  <a:miter lim="800000"/>
                                </a:ln>
                              </wps:spPr>
                              <wps:txbx>
                                <w:txbxContent>
                                  <w:p w14:paraId="334A4446">
                                    <w:pPr>
                                      <w:jc w:val="center"/>
                                      <w:rPr>
                                        <w:rFonts w:ascii="Times New Roman" w:hAnsi="Times New Roman" w:cs="Times New Roman"/>
                                      </w:rPr>
                                    </w:pPr>
                                    <w:r>
                                      <w:rPr>
                                        <w:rFonts w:ascii="Times New Roman" w:hAnsi="Times New Roman" w:cs="Times New Roman"/>
                                      </w:rPr>
                                      <w:t>NHC</w:t>
                                    </w:r>
                                  </w:p>
                                  <w:p w14:paraId="656BA12F">
                                    <w:pPr>
                                      <w:jc w:val="center"/>
                                      <w:rPr>
                                        <w:rFonts w:ascii="Times New Roman" w:hAnsi="Times New Roman" w:cs="Times New Roman"/>
                                      </w:rPr>
                                    </w:pPr>
                                    <w:r>
                                      <w:rPr>
                                        <w:rFonts w:ascii="Times New Roman" w:hAnsi="Times New Roman" w:cs="Times New Roman"/>
                                      </w:rPr>
                                      <w:t>852</w:t>
                                    </w:r>
                                  </w:p>
                                </w:txbxContent>
                              </wps:txbx>
                              <wps:bodyPr rot="0" vert="horz" wrap="square" lIns="91440" tIns="45720" rIns="91440" bIns="45720" anchor="t" anchorCtr="0" upright="1">
                                <a:noAutofit/>
                              </wps:bodyPr>
                            </wps:wsp>
                            <wps:wsp>
                              <wps:cNvPr id="40" name="Rectangle 22"/>
                              <wps:cNvSpPr>
                                <a:spLocks noChangeArrowheads="1"/>
                              </wps:cNvSpPr>
                              <wps:spPr bwMode="auto">
                                <a:xfrm>
                                  <a:off x="2574" y="7442"/>
                                  <a:ext cx="2045" cy="712"/>
                                </a:xfrm>
                                <a:prstGeom prst="rect">
                                  <a:avLst/>
                                </a:prstGeom>
                                <a:solidFill>
                                  <a:srgbClr val="FFFFFF"/>
                                </a:solidFill>
                                <a:ln w="9525">
                                  <a:solidFill>
                                    <a:srgbClr val="000000"/>
                                  </a:solidFill>
                                  <a:miter lim="800000"/>
                                </a:ln>
                              </wps:spPr>
                              <wps:txbx>
                                <w:txbxContent>
                                  <w:p w14:paraId="70B8EEDD">
                                    <w:pPr>
                                      <w:jc w:val="center"/>
                                      <w:rPr>
                                        <w:rFonts w:ascii="Times New Roman" w:hAnsi="Times New Roman" w:cs="Times New Roman"/>
                                      </w:rPr>
                                    </w:pPr>
                                    <w:r>
                                      <w:rPr>
                                        <w:rFonts w:ascii="Times New Roman" w:hAnsi="Times New Roman" w:cs="Times New Roman"/>
                                      </w:rPr>
                                      <w:t>NSH</w:t>
                                    </w:r>
                                  </w:p>
                                  <w:p w14:paraId="15E6421A">
                                    <w:pPr>
                                      <w:jc w:val="center"/>
                                      <w:rPr>
                                        <w:rFonts w:ascii="Times New Roman" w:hAnsi="Times New Roman" w:cs="Times New Roman"/>
                                      </w:rPr>
                                    </w:pPr>
                                    <w:r>
                                      <w:rPr>
                                        <w:rFonts w:ascii="Times New Roman" w:hAnsi="Times New Roman" w:cs="Times New Roman"/>
                                      </w:rPr>
                                      <w:t>396</w:t>
                                    </w:r>
                                  </w:p>
                                </w:txbxContent>
                              </wps:txbx>
                              <wps:bodyPr rot="0" vert="horz" wrap="square" lIns="91440" tIns="45720" rIns="91440" bIns="45720" anchor="t" anchorCtr="0" upright="1">
                                <a:noAutofit/>
                              </wps:bodyPr>
                            </wps:wsp>
                            <wps:wsp>
                              <wps:cNvPr id="41" name="Rectangle 25"/>
                              <wps:cNvSpPr>
                                <a:spLocks noChangeArrowheads="1"/>
                              </wps:cNvSpPr>
                              <wps:spPr bwMode="auto">
                                <a:xfrm>
                                  <a:off x="710" y="7604"/>
                                  <a:ext cx="1581" cy="777"/>
                                </a:xfrm>
                                <a:prstGeom prst="rect">
                                  <a:avLst/>
                                </a:prstGeom>
                                <a:solidFill>
                                  <a:srgbClr val="FFFFFF"/>
                                </a:solidFill>
                                <a:ln w="9525">
                                  <a:solidFill>
                                    <a:srgbClr val="000000"/>
                                  </a:solidFill>
                                  <a:miter lim="800000"/>
                                </a:ln>
                              </wps:spPr>
                              <wps:txbx>
                                <w:txbxContent>
                                  <w:p w14:paraId="1F44C12B">
                                    <w:pPr>
                                      <w:jc w:val="center"/>
                                      <w:rPr>
                                        <w:rFonts w:ascii="Times New Roman" w:hAnsi="Times New Roman" w:cs="Times New Roman"/>
                                      </w:rPr>
                                    </w:pPr>
                                    <w:r>
                                      <w:rPr>
                                        <w:rFonts w:ascii="Times New Roman" w:hAnsi="Times New Roman" w:cs="Times New Roman"/>
                                      </w:rPr>
                                      <w:t>WUCSH</w:t>
                                    </w:r>
                                  </w:p>
                                  <w:p w14:paraId="2397E397">
                                    <w:pPr>
                                      <w:jc w:val="center"/>
                                      <w:rPr>
                                        <w:rFonts w:ascii="Times New Roman" w:hAnsi="Times New Roman" w:cs="Times New Roman"/>
                                        <w:sz w:val="20"/>
                                        <w:szCs w:val="20"/>
                                      </w:rPr>
                                    </w:pPr>
                                    <w:r>
                                      <w:rPr>
                                        <w:rFonts w:ascii="Times New Roman" w:hAnsi="Times New Roman" w:cs="Times New Roman"/>
                                      </w:rPr>
                                      <w:t>236</w:t>
                                    </w:r>
                                  </w:p>
                                </w:txbxContent>
                              </wps:txbx>
                              <wps:bodyPr rot="0" vert="horz" wrap="square" lIns="91440" tIns="45720" rIns="91440" bIns="45720" anchor="t" anchorCtr="0" upright="1">
                                <a:noAutofit/>
                              </wps:bodyPr>
                            </wps:wsp>
                            <wpg:grpSp>
                              <wpg:cNvPr id="42" name="Group 48"/>
                              <wpg:cNvGrpSpPr/>
                              <wpg:grpSpPr>
                                <a:xfrm>
                                  <a:off x="941" y="5661"/>
                                  <a:ext cx="6358" cy="2019"/>
                                  <a:chOff x="941" y="5661"/>
                                  <a:chExt cx="6358" cy="2019"/>
                                </a:xfrm>
                              </wpg:grpSpPr>
                              <wps:wsp>
                                <wps:cNvPr id="43" name="Rectangle 23"/>
                                <wps:cNvSpPr>
                                  <a:spLocks noChangeArrowheads="1"/>
                                </wps:cNvSpPr>
                                <wps:spPr bwMode="auto">
                                  <a:xfrm>
                                    <a:off x="941" y="5661"/>
                                    <a:ext cx="6358" cy="1263"/>
                                  </a:xfrm>
                                  <a:prstGeom prst="rect">
                                    <a:avLst/>
                                  </a:prstGeom>
                                  <a:solidFill>
                                    <a:srgbClr val="FFFFFF"/>
                                  </a:solidFill>
                                  <a:ln w="9525">
                                    <a:solidFill>
                                      <a:srgbClr val="000000"/>
                                    </a:solidFill>
                                    <a:miter lim="800000"/>
                                  </a:ln>
                                </wps:spPr>
                                <wps:txbx>
                                  <w:txbxContent>
                                    <w:p w14:paraId="0B3ED0F8">
                                      <w:pPr>
                                        <w:rPr>
                                          <w:rFonts w:ascii="Times New Roman" w:hAnsi="Times New Roman" w:cs="Times New Roman"/>
                                          <w:sz w:val="20"/>
                                          <w:szCs w:val="20"/>
                                        </w:rPr>
                                      </w:pPr>
                                    </w:p>
                                    <w:p w14:paraId="394736DD">
                                      <w:pPr>
                                        <w:jc w:val="center"/>
                                        <w:rPr>
                                          <w:rFonts w:ascii="Times New Roman" w:hAnsi="Times New Roman" w:cs="Times New Roman"/>
                                        </w:rPr>
                                      </w:pPr>
                                      <w:r>
                                        <w:rPr>
                                          <w:rFonts w:ascii="Times New Roman" w:hAnsi="Times New Roman" w:cs="Times New Roman"/>
                                        </w:rPr>
                                        <w:t>Total number of mothers attending EPI program at the three public health facilities in Nekemte within two months</w:t>
                                      </w:r>
                                    </w:p>
                                    <w:p w14:paraId="42C5BAF7">
                                      <w:pPr>
                                        <w:jc w:val="center"/>
                                        <w:rPr>
                                          <w:rFonts w:ascii="Times New Roman" w:hAnsi="Times New Roman" w:cs="Times New Roman"/>
                                        </w:rPr>
                                      </w:pPr>
                                      <w:r>
                                        <w:rPr>
                                          <w:rFonts w:ascii="Times New Roman" w:hAnsi="Times New Roman" w:cs="Times New Roman"/>
                                        </w:rPr>
                                        <w:t>1484</w:t>
                                      </w:r>
                                    </w:p>
                                  </w:txbxContent>
                                </wps:txbx>
                                <wps:bodyPr rot="0" vert="horz" wrap="square" lIns="91440" tIns="45720" rIns="91440" bIns="45720" anchor="t" anchorCtr="0" upright="1">
                                  <a:noAutofit/>
                                </wps:bodyPr>
                              </wps:wsp>
                              <wpg:grpSp>
                                <wpg:cNvPr id="44" name="Group 45"/>
                                <wpg:cNvGrpSpPr/>
                                <wpg:grpSpPr>
                                  <a:xfrm>
                                    <a:off x="1556" y="6924"/>
                                    <a:ext cx="4546" cy="756"/>
                                    <a:chOff x="1556" y="6924"/>
                                    <a:chExt cx="4546" cy="756"/>
                                  </a:xfrm>
                                </wpg:grpSpPr>
                                <wps:wsp>
                                  <wps:cNvPr id="45" name="AutoShape 41"/>
                                  <wps:cNvCnPr>
                                    <a:cxnSpLocks noChangeShapeType="1"/>
                                  </wps:cNvCnPr>
                                  <wps:spPr bwMode="auto">
                                    <a:xfrm flipH="1">
                                      <a:off x="1556" y="6924"/>
                                      <a:ext cx="46" cy="756"/>
                                    </a:xfrm>
                                    <a:prstGeom prst="straightConnector1">
                                      <a:avLst/>
                                    </a:prstGeom>
                                    <a:noFill/>
                                    <a:ln w="63500">
                                      <a:solidFill>
                                        <a:schemeClr val="accent3">
                                          <a:lumMod val="100000"/>
                                          <a:lumOff val="0"/>
                                        </a:schemeClr>
                                      </a:solidFill>
                                      <a:round/>
                                      <a:tailEnd type="triangle" w="med" len="med"/>
                                    </a:ln>
                                    <a:effectLst/>
                                  </wps:spPr>
                                  <wps:bodyPr/>
                                </wps:wsp>
                                <wps:wsp>
                                  <wps:cNvPr id="46" name="AutoShape 42"/>
                                  <wps:cNvCnPr>
                                    <a:cxnSpLocks noChangeShapeType="1"/>
                                    <a:stCxn id="43" idx="2"/>
                                  </wps:cNvCnPr>
                                  <wps:spPr bwMode="auto">
                                    <a:xfrm flipH="1">
                                      <a:off x="3763" y="6924"/>
                                      <a:ext cx="357" cy="599"/>
                                    </a:xfrm>
                                    <a:prstGeom prst="straightConnector1">
                                      <a:avLst/>
                                    </a:prstGeom>
                                    <a:noFill/>
                                    <a:ln w="63500">
                                      <a:solidFill>
                                        <a:schemeClr val="accent3">
                                          <a:lumMod val="100000"/>
                                          <a:lumOff val="0"/>
                                        </a:schemeClr>
                                      </a:solidFill>
                                      <a:round/>
                                      <a:tailEnd type="triangle" w="med" len="med"/>
                                    </a:ln>
                                    <a:effectLst/>
                                  </wps:spPr>
                                  <wps:bodyPr/>
                                </wps:wsp>
                                <wps:wsp>
                                  <wps:cNvPr id="47" name="AutoShape 44"/>
                                  <wps:cNvCnPr>
                                    <a:cxnSpLocks noChangeShapeType="1"/>
                                  </wps:cNvCnPr>
                                  <wps:spPr bwMode="auto">
                                    <a:xfrm flipH="1">
                                      <a:off x="5893" y="6924"/>
                                      <a:ext cx="209" cy="756"/>
                                    </a:xfrm>
                                    <a:prstGeom prst="straightConnector1">
                                      <a:avLst/>
                                    </a:prstGeom>
                                    <a:noFill/>
                                    <a:ln w="63500">
                                      <a:solidFill>
                                        <a:schemeClr val="accent3">
                                          <a:lumMod val="100000"/>
                                          <a:lumOff val="0"/>
                                        </a:schemeClr>
                                      </a:solidFill>
                                      <a:round/>
                                      <a:tailEnd type="triangle" w="med" len="med"/>
                                    </a:ln>
                                    <a:effectLst/>
                                  </wps:spPr>
                                  <wps:bodyPr/>
                                </wps:wsp>
                              </wpg:grpSp>
                            </wpg:grpSp>
                          </wpg:grpSp>
                        </wpg:grpSp>
                      </wpg:grpSp>
                      <wps:wsp>
                        <wps:cNvPr id="20" name="Text Box 20"/>
                        <wps:cNvSpPr txBox="1"/>
                        <wps:spPr>
                          <a:xfrm>
                            <a:off x="904875" y="1689269"/>
                            <a:ext cx="3429000" cy="50494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1F01C32">
                              <w:pPr>
                                <w:rPr>
                                  <w:rFonts w:hint="default" w:ascii="Times New Roman" w:hAnsi="Times New Roman" w:cs="Times New Roman"/>
                                  <w:lang w:val="en-US"/>
                                </w:rPr>
                              </w:pPr>
                              <w:r>
                                <w:rPr>
                                  <w:rFonts w:ascii="Times New Roman" w:hAnsi="Times New Roman" w:cs="Times New Roman"/>
                                </w:rPr>
                                <w:t>Systematic random sampling</w:t>
                              </w:r>
                              <w:r>
                                <w:rPr>
                                  <w:rFonts w:hint="default" w:ascii="Times New Roman" w:hAnsi="Times New Roman" w:cs="Times New Roman"/>
                                  <w:lang w:val="en-US"/>
                                </w:rPr>
                                <w:t xml:space="preserve">   k=4</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2.15pt;margin-top:4.55pt;height:296.2pt;width:456.75pt;z-index:251659264;mso-width-relative:page;mso-height-relative:page;" coordorigin="161854,-25899" coordsize="5801466,3762940" o:gfxdata="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">
                <o:lock v:ext="edit" aspectratio="f"/>
                <v:group id="Group 56" o:spid="_x0000_s1026" o:spt="203" style="position:absolute;left:161854;top:-25899;height:3762940;width:5801466;" coordorigin="699,1940" coordsize="6882,6393" o:gfxdata="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P8YES+AAAA2wAAAA8AAAAAAAAAAQAgAAAAIgAAAGRycy9kb3ducmV2Lnht&#10;bFBLAQIUABQAAAAIAIdO4kAzLwWeOwAAADkAAAAVAAAAAAAAAAEAIAAAAA0BAABkcnMvZ3JvdXBz&#10;aGFwZXhtbC54bWxQSwUGAAAAAAYABgBgAQAAygMAAAAA&#10;">
                  <o:lock v:ext="edit" aspectratio="f"/>
                  <v:group id="Group 51" o:spid="_x0000_s1026" o:spt="203" style="position:absolute;left:1529;top:5760;height:2573;width:4730;" coordorigin="1224,9481" coordsize="4730,2573" o:gfxdata="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zLDF370AAADbAAAADwAAAAAAAAABACAAAAAiAAAAZHJzL2Rvd25yZXYueG1s&#10;UEsBAhQAFAAAAAgAh07iQDMvBZ47AAAAOQAAABUAAAAAAAAAAQAgAAAADAEAAGRycy9ncm91cHNo&#10;YXBleG1sLnhtbFBLBQYAAAAABgAGAGABAADJAwAAAAA=&#10;">
                    <o:lock v:ext="edit" aspectratio="f"/>
                    <v:rect id="Rectangle 30" o:spid="_x0000_s1026" o:spt="1" style="position:absolute;left:2391;top:11278;height:776;width:2359;" fillcolor="#FFFFFF" filled="t" stroked="t" coordsize="21600,21600" o:gfxdata="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0y9Iv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0D016E2F">
                            <w:pPr>
                              <w:rPr>
                                <w:rFonts w:ascii="Times New Roman" w:hAnsi="Times New Roman" w:cs="Times New Roman"/>
                                <w:sz w:val="20"/>
                                <w:szCs w:val="20"/>
                              </w:rPr>
                            </w:pPr>
                          </w:p>
                          <w:p w14:paraId="7C7C4D5D">
                            <w:pPr>
                              <w:rPr>
                                <w:rFonts w:ascii="Times New Roman" w:hAnsi="Times New Roman" w:cs="Times New Roman"/>
                                <w:sz w:val="24"/>
                                <w:szCs w:val="24"/>
                              </w:rPr>
                            </w:pPr>
                            <w:r>
                              <w:rPr>
                                <w:rFonts w:ascii="Times New Roman" w:hAnsi="Times New Roman" w:cs="Times New Roman"/>
                                <w:sz w:val="24"/>
                                <w:szCs w:val="24"/>
                              </w:rPr>
                              <w:t xml:space="preserve">                     334 mothers </w:t>
                            </w:r>
                          </w:p>
                        </w:txbxContent>
                      </v:textbox>
                    </v:rect>
                    <v:group id="Group 47" o:spid="_x0000_s1026" o:spt="203" style="position:absolute;left:1224;top:9481;height:2185;width:4730;" coordorigin="1224,9481" coordsize="4730,2185" o:gfxdata="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BX4ML0AAADbAAAADwAAAAAAAAABACAAAAAiAAAAZHJzL2Rvd25yZXYueG1s&#10;UEsBAhQAFAAAAAgAh07iQDMvBZ47AAAAOQAAABUAAAAAAAAAAQAgAAAADAEAAGRycy9ncm91cHNo&#10;YXBleG1sLnhtbFBLBQYAAAAABgAGAGABAADJAwAAAAA=&#10;">
                      <o:lock v:ext="edit" aspectratio="f"/>
                      <v:shape id="AutoShape 33" o:spid="_x0000_s1026" o:spt="32" type="#_x0000_t32" style="position:absolute;left:4750;top:10339;flip:x;height:1327;width:1204;" filled="f" stroked="t" coordsize="21600,21600" o:gfxdata="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HNyvQAA&#10;ANsAAAAPAAAAAAAAAAEAIAAAACIAAABkcnMvZG93bnJldi54bWxQSwECFAAUAAAACACHTuJAMy8F&#10;njsAAAA5AAAAEAAAAAAAAAABACAAAAAMAQAAZHJzL3NoYXBleG1sLnhtbFBLBQYAAAAABgAGAFsB&#10;AAC2AwAAAAA=&#10;">
                        <v:fill on="f" focussize="0,0"/>
                        <v:stroke weight="5pt" color="#9BBB59 [3222]" joinstyle="round" endarrow="block"/>
                        <v:imagedata o:title=""/>
                        <o:lock v:ext="edit" aspectratio="f"/>
                      </v:shape>
                      <v:shape id="AutoShape 35" o:spid="_x0000_s1026" o:spt="32" type="#_x0000_t32" style="position:absolute;left:3665;top:9481;height:567;width:8;" filled="f" stroked="t" coordsize="21600,21600" o:gfxdata="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aspKq5AAAA2wAA&#10;AA8AAAAAAAAAAQAgAAAAIgAAAGRycy9kb3ducmV2LnhtbFBLAQIUABQAAAAIAIdO4kAzLwWeOwAA&#10;ADkAAAAQAAAAAAAAAAEAIAAAAAgBAABkcnMvc2hhcGV4bWwueG1sUEsFBgAAAAAGAAYAWwEAALID&#10;AAAAAA==&#10;">
                        <v:fill on="f" focussize="0,0"/>
                        <v:stroke weight="5pt" color="#9BBB59 [3222]" joinstyle="round" endarrow="block"/>
                        <v:imagedata o:title=""/>
                        <o:lock v:ext="edit" aspectratio="f"/>
                      </v:shape>
                      <v:shape id="AutoShape 43" o:spid="_x0000_s1026" o:spt="32" type="#_x0000_t32" style="position:absolute;left:1224;top:10501;height:1165;width:1167;" filled="f" stroked="t" coordsize="21600,21600" o:gfxdata="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MczMNi2AAAA2wAAAA8A&#10;AAAAAAAAAQAgAAAAIgAAAGRycy9kb3ducmV2LnhtbFBLAQIUABQAAAAIAIdO4kAzLwWeOwAAADkA&#10;AAAQAAAAAAAAAAEAIAAAAAUBAABkcnMvc2hhcGV4bWwueG1sUEsFBgAAAAAGAAYAWwEAAK8DAAAA&#10;AA==&#10;">
                        <v:fill on="f" focussize="0,0"/>
                        <v:stroke weight="5pt" color="#9BBB59 [3222]" joinstyle="round" endarrow="block"/>
                        <v:imagedata o:title=""/>
                        <o:lock v:ext="edit" aspectratio="f"/>
                      </v:shape>
                    </v:group>
                  </v:group>
                  <v:group id="Group 52" o:spid="_x0000_s1026" o:spt="203" style="position:absolute;left:699;top:1940;height:5180;width:6882;" coordorigin="611,5661" coordsize="6688,5180" o:gfxdata="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tWPI1vwAAANsAAAAPAAAAAAAAAAEAIAAAACIAAABkcnMvZG93bnJldi54&#10;bWxQSwECFAAUAAAACACHTuJAMy8FnjsAAAA5AAAAFQAAAAAAAAABACAAAAAOAQAAZHJzL2dyb3Vw&#10;c2hhcGV4bWwueG1sUEsFBgAAAAAGAAYAYAEAAMsDAAAAAA==&#10;">
                    <o:lock v:ext="edit" aspectratio="f"/>
                    <v:group id="Group 50" o:spid="_x0000_s1026" o:spt="203" style="position:absolute;left:611;top:8106;height:2735;width:6576;" coordorigin="611,8106" coordsize="6576,2735" o:gfxdata="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ubvNdboAAADbAAAADwAAAAAAAAABACAAAAAiAAAAZHJzL2Rvd25yZXYueG1sUEsB&#10;AhQAFAAAAAgAh07iQDMvBZ47AAAAOQAAABUAAAAAAAAAAQAgAAAACQEAAGRycy9ncm91cHNoYXBl&#10;eG1sLnhtbFBLBQYAAAAABgAGAGABAADGAwAAAAA=&#10;">
                      <o:lock v:ext="edit" aspectratio="f"/>
                      <v:rect id="Rectangle 26" o:spid="_x0000_s1026" o:spt="1" style="position:absolute;left:5103;top:9902;height:745;width:2084;" fillcolor="#FFFFFF" filled="t" stroked="t" coordsize="21600,21600" o:gfxdata="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Fl52q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14:paraId="28BA2DE6">
                              <w:pPr>
                                <w:rPr>
                                  <w:rFonts w:ascii="Times New Roman" w:hAnsi="Times New Roman" w:cs="Times New Roman"/>
                                </w:rPr>
                              </w:pPr>
                              <w:r>
                                <w:rPr>
                                  <w:rFonts w:ascii="Times New Roman" w:hAnsi="Times New Roman" w:cs="Times New Roman"/>
                                </w:rPr>
                                <w:t xml:space="preserve">191 Mothers  </w:t>
                              </w:r>
                            </w:p>
                            <w:p w14:paraId="328B598F">
                              <w:pPr>
                                <w:rPr>
                                  <w:rFonts w:ascii="Times New Roman" w:hAnsi="Times New Roman" w:cs="Times New Roman"/>
                                </w:rPr>
                              </w:pPr>
                            </w:p>
                          </w:txbxContent>
                        </v:textbox>
                      </v:rect>
                      <v:rect id="Rectangle 27" o:spid="_x0000_s1026" o:spt="1" style="position:absolute;left:2519;top:9965;height:876;width:2226;" fillcolor="#FFFFFF" filled="t" stroked="t" coordsize="21600,21600" o:gfxdata="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G3eR2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14:paraId="5AE39658">
                              <w:pPr>
                                <w:rPr>
                                  <w:rFonts w:ascii="Times New Roman" w:hAnsi="Times New Roman" w:cs="Times New Roman"/>
                                </w:rPr>
                              </w:pPr>
                              <w:r>
                                <w:rPr>
                                  <w:rFonts w:ascii="Times New Roman" w:hAnsi="Times New Roman" w:cs="Times New Roman"/>
                                </w:rPr>
                                <w:t xml:space="preserve">89 Mothers  </w:t>
                              </w:r>
                            </w:p>
                            <w:p w14:paraId="38F7A509">
                              <w:pPr>
                                <w:rPr>
                                  <w:rFonts w:ascii="Times New Roman" w:hAnsi="Times New Roman" w:cs="Times New Roman"/>
                                </w:rPr>
                              </w:pPr>
                            </w:p>
                          </w:txbxContent>
                        </v:textbox>
                      </v:rect>
                      <v:rect id="Rectangle 32" o:spid="_x0000_s1026" o:spt="1" style="position:absolute;left:611;top:9611;height:890;width:1614;" fillcolor="#FFFFFF" filled="t" stroked="t" coordsize="21600,21600" o:gfxdata="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773Ia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14:paraId="384E6EF6">
                              <w:pPr>
                                <w:rPr>
                                  <w:rFonts w:ascii="Times New Roman" w:hAnsi="Times New Roman" w:cs="Times New Roman"/>
                                </w:rPr>
                              </w:pPr>
                              <w:r>
                                <w:rPr>
                                  <w:rFonts w:ascii="Times New Roman" w:hAnsi="Times New Roman" w:cs="Times New Roman"/>
                                </w:rPr>
                                <w:t xml:space="preserve">53 Mothers  </w:t>
                              </w:r>
                            </w:p>
                          </w:txbxContent>
                        </v:textbox>
                      </v:rect>
                      <v:group id="Group 46" o:spid="_x0000_s1026" o:spt="203" style="position:absolute;left:1029;top:8106;height:1812;width:4864;" coordorigin="1029,8106" coordsize="4864,1812" o:gfxdata="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xoDLdr0AAADbAAAADwAAAAAAAAABACAAAAAiAAAAZHJzL2Rvd25yZXYueG1s&#10;UEsBAhQAFAAAAAgAh07iQDMvBZ47AAAAOQAAABUAAAAAAAAAAQAgAAAADAEAAGRycy9ncm91cHNo&#10;YXBleG1sLnhtbFBLBQYAAAAABgAGAGABAADJAwAAAAA=&#10;">
                        <o:lock v:ext="edit" aspectratio="f"/>
                        <v:shape id="AutoShape 37" o:spid="_x0000_s1026" o:spt="32" type="#_x0000_t32" style="position:absolute;left:1029;top:8365;height:842;width:0;" filled="f" stroked="t" coordsize="21600,21600" o:gfxdata="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OsJm7gAAADbAAAA&#10;DwAAAAAAAAABACAAAAAiAAAAZHJzL2Rvd25yZXYueG1sUEsBAhQAFAAAAAgAh07iQDMvBZ47AAAA&#10;OQAAABAAAAAAAAAAAQAgAAAABwEAAGRycy9zaGFwZXhtbC54bWxQSwUGAAAAAAYABgBbAQAAsQMA&#10;AAAA&#10;">
                          <v:fill on="f" focussize="0,0"/>
                          <v:stroke weight="5pt" color="#9BBB59 [3222]" joinstyle="round" endarrow="block"/>
                          <v:imagedata o:title=""/>
                          <o:lock v:ext="edit" aspectratio="f"/>
                        </v:shape>
                        <v:shape id="AutoShape 38" o:spid="_x0000_s1026" o:spt="32" type="#_x0000_t32" style="position:absolute;left:5893;top:8413;height:1505;width:0;" filled="f" stroked="t" coordsize="21600,21600" o:gfxdata="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w5l+y5AAAA2wAA&#10;AA8AAAAAAAAAAQAgAAAAIgAAAGRycy9kb3ducmV2LnhtbFBLAQIUABQAAAAIAIdO4kAzLwWeOwAA&#10;ADkAAAAQAAAAAAAAAAEAIAAAAAgBAABkcnMvc2hhcGV4bWwueG1sUEsFBgAAAAAGAAYAWwEAALID&#10;AAAAAA==&#10;">
                          <v:fill on="f" focussize="0,0"/>
                          <v:stroke weight="5pt" color="#9BBB59 [3222]" joinstyle="round" endarrow="block"/>
                          <v:imagedata o:title=""/>
                          <o:lock v:ext="edit" aspectratio="f"/>
                        </v:shape>
                        <v:shape id="AutoShape 40" o:spid="_x0000_s1026" o:spt="32" type="#_x0000_t32" style="position:absolute;left:3302;top:8106;height:534;width:11;" filled="f" stroked="t" coordsize="21600,21600" o:gfxdata="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N1Mne5AAAA2wAA&#10;AA8AAAAAAAAAAQAgAAAAIgAAAGRycy9kb3ducmV2LnhtbFBLAQIUABQAAAAIAIdO4kAzLwWeOwAA&#10;ADkAAAAQAAAAAAAAAAEAIAAAAAgBAABkcnMvc2hhcGV4bWwueG1sUEsFBgAAAAAGAAYAWwEAALID&#10;AAAAAA==&#10;">
                          <v:fill on="f" focussize="0,0"/>
                          <v:stroke weight="5pt" color="#9BBB59 [3222]" joinstyle="round" endarrow="block"/>
                          <v:imagedata o:title=""/>
                          <o:lock v:ext="edit" aspectratio="f"/>
                        </v:shape>
                      </v:group>
                    </v:group>
                    <v:group id="Group 49" o:spid="_x0000_s1026" o:spt="203" style="position:absolute;left:710;top:5661;height:2720;width:6589;" coordorigin="710,5661" coordsize="6589,2720" o:gfxdata="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R83Bc7oAAADbAAAADwAAAAAAAAABACAAAAAiAAAAZHJzL2Rvd25yZXYueG1sUEsB&#10;AhQAFAAAAAgAh07iQDMvBZ47AAAAOQAAABUAAAAAAAAAAQAgAAAACQEAAGRycy9ncm91cHNoYXBl&#10;eG1sLnhtbFBLBQYAAAAABgAGAGABAADGAwAAAAA=&#10;">
                      <o:lock v:ext="edit" aspectratio="f"/>
                      <v:rect id="Rectangle 21" o:spid="_x0000_s1026" o:spt="1" style="position:absolute;left:4844;top:7636;height:745;width:2455;" fillcolor="#FFFFFF" filled="t" stroked="t" coordsize="21600,21600" o:gfxdata="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E+ts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334A4446">
                              <w:pPr>
                                <w:jc w:val="center"/>
                                <w:rPr>
                                  <w:rFonts w:ascii="Times New Roman" w:hAnsi="Times New Roman" w:cs="Times New Roman"/>
                                </w:rPr>
                              </w:pPr>
                              <w:r>
                                <w:rPr>
                                  <w:rFonts w:ascii="Times New Roman" w:hAnsi="Times New Roman" w:cs="Times New Roman"/>
                                </w:rPr>
                                <w:t>NHC</w:t>
                              </w:r>
                            </w:p>
                            <w:p w14:paraId="656BA12F">
                              <w:pPr>
                                <w:jc w:val="center"/>
                                <w:rPr>
                                  <w:rFonts w:ascii="Times New Roman" w:hAnsi="Times New Roman" w:cs="Times New Roman"/>
                                </w:rPr>
                              </w:pPr>
                              <w:r>
                                <w:rPr>
                                  <w:rFonts w:ascii="Times New Roman" w:hAnsi="Times New Roman" w:cs="Times New Roman"/>
                                </w:rPr>
                                <w:t>852</w:t>
                              </w:r>
                            </w:p>
                          </w:txbxContent>
                        </v:textbox>
                      </v:rect>
                      <v:rect id="Rectangle 22" o:spid="_x0000_s1026" o:spt="1" style="position:absolute;left:2574;top:7442;height:712;width:2045;" fillcolor="#FFFFFF" filled="t" stroked="t" coordsize="21600,21600" o:gfxdata="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WLzGMugAAANs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textbox>
                          <w:txbxContent>
                            <w:p w14:paraId="70B8EEDD">
                              <w:pPr>
                                <w:jc w:val="center"/>
                                <w:rPr>
                                  <w:rFonts w:ascii="Times New Roman" w:hAnsi="Times New Roman" w:cs="Times New Roman"/>
                                </w:rPr>
                              </w:pPr>
                              <w:r>
                                <w:rPr>
                                  <w:rFonts w:ascii="Times New Roman" w:hAnsi="Times New Roman" w:cs="Times New Roman"/>
                                </w:rPr>
                                <w:t>NSH</w:t>
                              </w:r>
                            </w:p>
                            <w:p w14:paraId="15E6421A">
                              <w:pPr>
                                <w:jc w:val="center"/>
                                <w:rPr>
                                  <w:rFonts w:ascii="Times New Roman" w:hAnsi="Times New Roman" w:cs="Times New Roman"/>
                                </w:rPr>
                              </w:pPr>
                              <w:r>
                                <w:rPr>
                                  <w:rFonts w:ascii="Times New Roman" w:hAnsi="Times New Roman" w:cs="Times New Roman"/>
                                </w:rPr>
                                <w:t>396</w:t>
                              </w:r>
                            </w:p>
                          </w:txbxContent>
                        </v:textbox>
                      </v:rect>
                      <v:rect id="Rectangle 25" o:spid="_x0000_s1026" o:spt="1" style="position:absolute;left:710;top:7604;height:777;width:1581;" fillcolor="#FFFFFF" filled="t" stroked="t" coordsize="21600,21600" o:gfxdata="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Y5QX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1F44C12B">
                              <w:pPr>
                                <w:jc w:val="center"/>
                                <w:rPr>
                                  <w:rFonts w:ascii="Times New Roman" w:hAnsi="Times New Roman" w:cs="Times New Roman"/>
                                </w:rPr>
                              </w:pPr>
                              <w:r>
                                <w:rPr>
                                  <w:rFonts w:ascii="Times New Roman" w:hAnsi="Times New Roman" w:cs="Times New Roman"/>
                                </w:rPr>
                                <w:t>WUCSH</w:t>
                              </w:r>
                            </w:p>
                            <w:p w14:paraId="2397E397">
                              <w:pPr>
                                <w:jc w:val="center"/>
                                <w:rPr>
                                  <w:rFonts w:ascii="Times New Roman" w:hAnsi="Times New Roman" w:cs="Times New Roman"/>
                                  <w:sz w:val="20"/>
                                  <w:szCs w:val="20"/>
                                </w:rPr>
                              </w:pPr>
                              <w:r>
                                <w:rPr>
                                  <w:rFonts w:ascii="Times New Roman" w:hAnsi="Times New Roman" w:cs="Times New Roman"/>
                                </w:rPr>
                                <w:t>236</w:t>
                              </w:r>
                            </w:p>
                          </w:txbxContent>
                        </v:textbox>
                      </v:rect>
                      <v:group id="Group 48" o:spid="_x0000_s1026" o:spt="203" style="position:absolute;left:941;top:5661;height:2019;width:6358;" coordorigin="941,5661" coordsize="6358,2019" o:gfxdata="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I4XkvwAAANsAAAAPAAAAAAAAAAEAIAAAACIAAABkcnMvZG93bnJldi54&#10;bWxQSwECFAAUAAAACACHTuJAMy8FnjsAAAA5AAAAFQAAAAAAAAABACAAAAAOAQAAZHJzL2dyb3Vw&#10;c2hhcGV4bWwueG1sUEsFBgAAAAAGAAYAYAEAAMsDAAAAAA==&#10;">
                        <o:lock v:ext="edit" aspectratio="f"/>
                        <v:rect id="Rectangle 23" o:spid="_x0000_s1026" o:spt="1" style="position:absolute;left:941;top:5661;height:1263;width:6358;" fillcolor="#FFFFFF" filled="t" stroked="t" coordsize="21600,21600" o:gfxdata="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a/7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0B3ED0F8">
                                <w:pPr>
                                  <w:rPr>
                                    <w:rFonts w:ascii="Times New Roman" w:hAnsi="Times New Roman" w:cs="Times New Roman"/>
                                    <w:sz w:val="20"/>
                                    <w:szCs w:val="20"/>
                                  </w:rPr>
                                </w:pPr>
                              </w:p>
                              <w:p w14:paraId="394736DD">
                                <w:pPr>
                                  <w:jc w:val="center"/>
                                  <w:rPr>
                                    <w:rFonts w:ascii="Times New Roman" w:hAnsi="Times New Roman" w:cs="Times New Roman"/>
                                  </w:rPr>
                                </w:pPr>
                                <w:r>
                                  <w:rPr>
                                    <w:rFonts w:ascii="Times New Roman" w:hAnsi="Times New Roman" w:cs="Times New Roman"/>
                                  </w:rPr>
                                  <w:t>Total number of mothers attending EPI program at the three public health facilities in Nekemte within two months</w:t>
                                </w:r>
                              </w:p>
                              <w:p w14:paraId="42C5BAF7">
                                <w:pPr>
                                  <w:jc w:val="center"/>
                                  <w:rPr>
                                    <w:rFonts w:ascii="Times New Roman" w:hAnsi="Times New Roman" w:cs="Times New Roman"/>
                                  </w:rPr>
                                </w:pPr>
                                <w:r>
                                  <w:rPr>
                                    <w:rFonts w:ascii="Times New Roman" w:hAnsi="Times New Roman" w:cs="Times New Roman"/>
                                  </w:rPr>
                                  <w:t>1484</w:t>
                                </w:r>
                              </w:p>
                            </w:txbxContent>
                          </v:textbox>
                        </v:rect>
                        <v:group id="Group 45" o:spid="_x0000_s1026" o:spt="203" style="position:absolute;left:1556;top:6924;height:756;width:4546;" coordorigin="1556,6924" coordsize="4546,756" o:gfxdata="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noa4C70AAADbAAAADwAAAAAAAAABACAAAAAiAAAAZHJzL2Rvd25yZXYueG1s&#10;UEsBAhQAFAAAAAgAh07iQDMvBZ47AAAAOQAAABUAAAAAAAAAAQAgAAAADAEAAGRycy9ncm91cHNo&#10;YXBleG1sLnhtbFBLBQYAAAAABgAGAGABAADJAwAAAAA=&#10;">
                          <o:lock v:ext="edit" aspectratio="f"/>
                          <v:shape id="AutoShape 41" o:spid="_x0000_s1026" o:spt="32" type="#_x0000_t32" style="position:absolute;left:1556;top:6924;flip:x;height:756;width:46;" filled="f" stroked="t" coordsize="21600,21600" o:gfxdata="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9QilvQAA&#10;ANsAAAAPAAAAAAAAAAEAIAAAACIAAABkcnMvZG93bnJldi54bWxQSwECFAAUAAAACACHTuJAMy8F&#10;njsAAAA5AAAAEAAAAAAAAAABACAAAAAMAQAAZHJzL3NoYXBleG1sLnhtbFBLBQYAAAAABgAGAFsB&#10;AAC2AwAAAAA=&#10;">
                            <v:fill on="f" focussize="0,0"/>
                            <v:stroke weight="5pt" color="#9BBB59 [3222]" joinstyle="round" endarrow="block"/>
                            <v:imagedata o:title=""/>
                            <o:lock v:ext="edit" aspectratio="f"/>
                          </v:shape>
                          <v:shape id="AutoShape 42" o:spid="_x0000_s1026" o:spt="32" type="#_x0000_t32" style="position:absolute;left:3763;top:6924;flip:x;height:599;width:357;" filled="f" stroked="t" coordsize="21600,21600" o:gfxdata="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SeW0r4A&#10;AADbAAAADwAAAAAAAAABACAAAAAiAAAAZHJzL2Rvd25yZXYueG1sUEsBAhQAFAAAAAgAh07iQDMv&#10;BZ47AAAAOQAAABAAAAAAAAAAAQAgAAAADQEAAGRycy9zaGFwZXhtbC54bWxQSwUGAAAAAAYABgBb&#10;AQAAtwMAAAAA&#10;">
                            <v:fill on="f" focussize="0,0"/>
                            <v:stroke weight="5pt" color="#9BBB59 [3222]" joinstyle="round" endarrow="block"/>
                            <v:imagedata o:title=""/>
                            <o:lock v:ext="edit" aspectratio="f"/>
                          </v:shape>
                          <v:shape id="AutoShape 44" o:spid="_x0000_s1026" o:spt="32" type="#_x0000_t32" style="position:absolute;left:5893;top:6924;flip:x;height:756;width:209;" filled="f" stroked="t" coordsize="21600,21600" o:gfxdata="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azNJvQAA&#10;ANsAAAAPAAAAAAAAAAEAIAAAACIAAABkcnMvZG93bnJldi54bWxQSwECFAAUAAAACACHTuJAMy8F&#10;njsAAAA5AAAAEAAAAAAAAAABACAAAAAMAQAAZHJzL3NoYXBleG1sLnhtbFBLBQYAAAAABgAGAFsB&#10;AAC2AwAAAAA=&#10;">
                            <v:fill on="f" focussize="0,0"/>
                            <v:stroke weight="5pt" color="#9BBB59 [3222]" joinstyle="round" endarrow="block"/>
                            <v:imagedata o:title=""/>
                            <o:lock v:ext="edit" aspectratio="f"/>
                          </v:shape>
                        </v:group>
                      </v:group>
                    </v:group>
                  </v:group>
                </v:group>
                <v:shape id="_x0000_s1026" o:spid="_x0000_s1026" o:spt="202" type="#_x0000_t202" style="position:absolute;left:904875;top:1689269;height:504949;width:3429000;" fillcolor="#FFFFFF [3201]" filled="t" stroked="t" coordsize="21600,21600" o:gfxdata="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ymEibtAAAANsAAAAPAAAA&#10;AAAAAAEAIAAAACIAAABkcnMvZG93bnJldi54bWxQSwECFAAUAAAACACHTuJAMy8FnjsAAAA5AAAA&#10;EAAAAAAAAAABACAAAAADAQAAZHJzL3NoYXBleG1sLnhtbFBLBQYAAAAABgAGAFsBAACtAwAAAAA=&#10;">
                  <v:fill on="t" focussize="0,0"/>
                  <v:stroke weight="0.5pt" color="#000000 [3204]" joinstyle="round"/>
                  <v:imagedata o:title=""/>
                  <o:lock v:ext="edit" aspectratio="f"/>
                  <v:textbox>
                    <w:txbxContent>
                      <w:p w14:paraId="31F01C32">
                        <w:pPr>
                          <w:rPr>
                            <w:rFonts w:hint="default" w:ascii="Times New Roman" w:hAnsi="Times New Roman" w:cs="Times New Roman"/>
                            <w:lang w:val="en-US"/>
                          </w:rPr>
                        </w:pPr>
                        <w:r>
                          <w:rPr>
                            <w:rFonts w:ascii="Times New Roman" w:hAnsi="Times New Roman" w:cs="Times New Roman"/>
                          </w:rPr>
                          <w:t>Systematic random sampling</w:t>
                        </w:r>
                        <w:r>
                          <w:rPr>
                            <w:rFonts w:hint="default" w:ascii="Times New Roman" w:hAnsi="Times New Roman" w:cs="Times New Roman"/>
                            <w:lang w:val="en-US"/>
                          </w:rPr>
                          <w:t xml:space="preserve">   k=4</w:t>
                        </w:r>
                      </w:p>
                    </w:txbxContent>
                  </v:textbox>
                </v:shape>
              </v:group>
            </w:pict>
          </mc:Fallback>
        </mc:AlternateContent>
      </w:r>
    </w:p>
    <w:p w14:paraId="255D6204">
      <w:r>
        <w:t xml:space="preserve">                                               </w:t>
      </w:r>
    </w:p>
    <w:p w14:paraId="11B92C9C"/>
    <w:p w14:paraId="4E2AA73D"/>
    <w:p w14:paraId="5E71F8FE"/>
    <w:p w14:paraId="23475F8B"/>
    <w:p w14:paraId="605626EC"/>
    <w:p w14:paraId="2CE0D83E"/>
    <w:p w14:paraId="12EAB640"/>
    <w:p w14:paraId="23015119"/>
    <w:p w14:paraId="5437AF75"/>
    <w:p w14:paraId="7CBA61BF"/>
    <w:p w14:paraId="29CA424C"/>
    <w:p w14:paraId="51753B20"/>
    <w:p w14:paraId="45380667"/>
    <w:p w14:paraId="1D4C278A"/>
    <w:p w14:paraId="411D36C4"/>
    <w:p w14:paraId="1D754EA2"/>
    <w:p w14:paraId="208C3FBA"/>
    <w:p w14:paraId="79B2BA26">
      <w:pPr>
        <w:pStyle w:val="14"/>
        <w:jc w:val="both"/>
        <w:rPr>
          <w:rFonts w:ascii="Times New Roman" w:hAnsi="Times New Roman" w:eastAsia="Times New Roman" w:cs="Times New Roman"/>
          <w:b w:val="0"/>
          <w:color w:val="auto"/>
          <w:sz w:val="24"/>
          <w:szCs w:val="24"/>
        </w:rPr>
      </w:pPr>
    </w:p>
    <w:p w14:paraId="0EA54397">
      <w:pPr>
        <w:pStyle w:val="14"/>
        <w:jc w:val="both"/>
        <w:rPr>
          <w:rFonts w:ascii="Times New Roman" w:hAnsi="Times New Roman" w:eastAsia="Times New Roman" w:cs="Times New Roman"/>
          <w:b w:val="0"/>
          <w:color w:val="auto"/>
          <w:sz w:val="24"/>
          <w:szCs w:val="24"/>
        </w:rPr>
      </w:pPr>
    </w:p>
    <w:p w14:paraId="2F03AA91">
      <w:pPr>
        <w:pStyle w:val="14"/>
        <w:jc w:val="both"/>
        <w:rPr>
          <w:rFonts w:ascii="Times New Roman" w:hAnsi="Times New Roman" w:eastAsia="Times New Roman" w:cs="Times New Roman"/>
          <w:b w:val="0"/>
          <w:color w:val="auto"/>
          <w:sz w:val="24"/>
          <w:szCs w:val="24"/>
        </w:rPr>
      </w:pPr>
    </w:p>
    <w:p w14:paraId="2039ADC8">
      <w:pPr>
        <w:pStyle w:val="14"/>
      </w:pPr>
    </w:p>
    <w:p w14:paraId="3F274E2D">
      <w:pPr>
        <w:pStyle w:val="14"/>
      </w:pPr>
    </w:p>
    <w:p w14:paraId="0CE433B9">
      <w:pPr>
        <w:pStyle w:val="14"/>
        <w:rPr>
          <w:rFonts w:ascii="Times New Roman" w:hAnsi="Times New Roman" w:cs="Times New Roman"/>
          <w:sz w:val="24"/>
          <w:szCs w:val="24"/>
        </w:rPr>
      </w:pPr>
      <w:bookmarkStart w:id="280" w:name="_Toc197885024"/>
      <w:r>
        <w:rPr>
          <w:rFonts w:ascii="Times New Roman" w:hAnsi="Times New Roman" w:cs="Times New Roman"/>
          <w:sz w:val="24"/>
          <w:szCs w:val="24"/>
        </w:rPr>
        <w:t xml:space="preserve">Figure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Figure \* ARABIC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r>
        <w:rPr>
          <w:rFonts w:ascii="Times New Roman" w:hAnsi="Times New Roman" w:cs="Times New Roman"/>
          <w:sz w:val="24"/>
          <w:szCs w:val="24"/>
        </w:rPr>
        <w:t>: schematic presentation of sampling technique for the study.</w:t>
      </w:r>
      <w:bookmarkEnd w:id="280"/>
    </w:p>
    <w:p w14:paraId="401C05AA">
      <w:pPr>
        <w:pStyle w:val="14"/>
        <w:jc w:val="both"/>
        <w:rPr>
          <w:rFonts w:ascii="Times New Roman" w:hAnsi="Times New Roman" w:eastAsia="Times New Roman" w:cs="Times New Roman"/>
          <w:b w:val="0"/>
          <w:color w:val="auto"/>
          <w:sz w:val="24"/>
          <w:szCs w:val="24"/>
        </w:rPr>
      </w:pPr>
      <w:r>
        <w:rPr>
          <w:rFonts w:ascii="Times New Roman" w:hAnsi="Times New Roman" w:eastAsia="Times New Roman" w:cs="Times New Roman"/>
          <w:sz w:val="24"/>
          <w:szCs w:val="24"/>
        </w:rPr>
        <w:t xml:space="preserve">                                                                                        </w:t>
      </w:r>
    </w:p>
    <w:p w14:paraId="10BDBE7E">
      <w:pPr>
        <w:pStyle w:val="3"/>
        <w:spacing w:line="360" w:lineRule="auto"/>
        <w:jc w:val="both"/>
      </w:pPr>
      <w:bookmarkStart w:id="281" w:name="_Toc185190158"/>
      <w:bookmarkStart w:id="282" w:name="_Toc181910669"/>
      <w:bookmarkStart w:id="283" w:name="_Toc198635482"/>
      <w:r>
        <w:t xml:space="preserve">4.9. Data Collection instrument </w:t>
      </w:r>
      <w:bookmarkEnd w:id="281"/>
      <w:bookmarkEnd w:id="282"/>
      <w:r>
        <w:t>and process</w:t>
      </w:r>
      <w:bookmarkEnd w:id="283"/>
    </w:p>
    <w:p w14:paraId="2BD51CE7">
      <w:pPr>
        <w:pStyle w:val="3"/>
        <w:spacing w:line="360" w:lineRule="auto"/>
        <w:jc w:val="both"/>
        <w:rPr>
          <w:rFonts w:ascii="Times New Roman" w:hAnsi="Times New Roman" w:eastAsia="Calibri" w:cs="Times New Roman"/>
          <w:b w:val="0"/>
          <w:bCs w:val="0"/>
          <w:color w:val="auto"/>
          <w:sz w:val="24"/>
          <w:szCs w:val="24"/>
        </w:rPr>
      </w:pPr>
      <w:bookmarkStart w:id="284" w:name="_Toc198622015"/>
      <w:bookmarkStart w:id="285" w:name="_Toc198635483"/>
      <w:bookmarkStart w:id="286" w:name="_Toc197885211"/>
      <w:bookmarkStart w:id="287" w:name="_Toc181910673"/>
      <w:bookmarkStart w:id="288" w:name="_Toc185190159"/>
      <w:r>
        <w:rPr>
          <w:rFonts w:ascii="Times New Roman" w:hAnsi="Times New Roman" w:eastAsia="Calibri" w:cs="Times New Roman"/>
          <w:b w:val="0"/>
          <w:bCs w:val="0"/>
          <w:color w:val="auto"/>
          <w:sz w:val="24"/>
          <w:szCs w:val="24"/>
        </w:rPr>
        <w:t>The data was gathered using a pre-tested structured questionnaire. Initially, the questionnaires were created in English and then translated into Afaan Oromo by an expert, and subsequently translated back into English to check the questionnaire's coherence. Five BSc nurses who could read, write, and speak Afaan Oromo fluently were enrolled to collect the data, and two health professionals were selected to supervise the data collection process. Data was gathered through interviewer-administered interviews. Strict supervision was enforced during the completion of the questionnaires in each selected area by the principal investigator, and data cleaning was performed.</w:t>
      </w:r>
      <w:bookmarkEnd w:id="284"/>
      <w:bookmarkEnd w:id="285"/>
      <w:bookmarkEnd w:id="286"/>
    </w:p>
    <w:p w14:paraId="55D6757F">
      <w:pPr>
        <w:pStyle w:val="3"/>
        <w:spacing w:line="360" w:lineRule="auto"/>
        <w:jc w:val="both"/>
      </w:pPr>
      <w:bookmarkStart w:id="289" w:name="_Toc198635484"/>
      <w:r>
        <w:t>4.10. Data Quality Control</w:t>
      </w:r>
      <w:bookmarkEnd w:id="287"/>
      <w:bookmarkEnd w:id="288"/>
      <w:bookmarkEnd w:id="289"/>
    </w:p>
    <w:p w14:paraId="18F5F5D7">
      <w:pPr>
        <w:spacing w:line="360" w:lineRule="auto"/>
        <w:contextualSpacing/>
        <w:jc w:val="both"/>
        <w:rPr>
          <w:rFonts w:ascii="Times New Roman" w:hAnsi="Times New Roman" w:eastAsia="Calibri" w:cs="Times New Roman"/>
          <w:sz w:val="24"/>
          <w:szCs w:val="24"/>
        </w:rPr>
      </w:pPr>
      <w:r>
        <w:rPr>
          <w:rFonts w:ascii="Times New Roman" w:hAnsi="Times New Roman" w:eastAsia="Calibri" w:cs="Times New Roman"/>
          <w:sz w:val="24"/>
          <w:szCs w:val="24"/>
        </w:rPr>
        <w:t>The questionnaire was checked and pre-tested prior to data collection, on 5% of the actual sample size in Arjo hospital, which is not part of the study area. All data collected from respondents was checked for clarity, consistency, and completeness by the investigators and supervisor immediately at the end of each day. Any misunderstanding or ambiguity was cleared and corrected after gathering the comments during the tool piloting and the tool was amended accordingly. Data Collectors and Supervisors were oriented on the objective of the study and the tools.</w:t>
      </w:r>
    </w:p>
    <w:p w14:paraId="12036D51">
      <w:pPr>
        <w:spacing w:line="360" w:lineRule="auto"/>
        <w:contextualSpacing/>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To ensure the quality of the data collected in this study, a comprehensive data quality assurance plan was implemented. All data collectors were receiving training on the study objectives, data collection methods, and ethical considerations. </w:t>
      </w:r>
    </w:p>
    <w:p w14:paraId="511F1085">
      <w:pPr>
        <w:spacing w:line="360" w:lineRule="auto"/>
        <w:contextualSpacing/>
        <w:jc w:val="both"/>
        <w:rPr>
          <w:rFonts w:ascii="Times New Roman" w:hAnsi="Times New Roman" w:eastAsia="Calibri" w:cs="Times New Roman"/>
          <w:sz w:val="24"/>
          <w:szCs w:val="24"/>
        </w:rPr>
      </w:pPr>
      <w:r>
        <w:rPr>
          <w:rFonts w:hint="default" w:ascii="Times New Roman" w:hAnsi="Times New Roman" w:eastAsia="Calibri" w:cs="Times New Roman"/>
          <w:sz w:val="24"/>
          <w:szCs w:val="24"/>
          <w:lang w:val="en-US"/>
        </w:rPr>
        <w:t>T</w:t>
      </w:r>
      <w:r>
        <w:rPr>
          <w:rFonts w:ascii="Times New Roman" w:hAnsi="Times New Roman" w:eastAsia="Calibri" w:cs="Times New Roman"/>
          <w:sz w:val="24"/>
          <w:szCs w:val="24"/>
        </w:rPr>
        <w:t xml:space="preserve">he research supervisors were making regular monitoring and supervision during the data collection dates. Filled questionnaires are reviewed and checked for completeness and accuracy and feedback will be provided to the data collectors immediately daily. Data entry was performed by </w:t>
      </w:r>
      <w:r>
        <w:rPr>
          <w:rFonts w:hint="default" w:ascii="Times New Roman" w:hAnsi="Times New Roman" w:eastAsia="Calibri" w:cs="Times New Roman"/>
          <w:sz w:val="24"/>
          <w:szCs w:val="24"/>
          <w:lang w:val="en-US"/>
        </w:rPr>
        <w:t>using Epi-data version 4.6 and exported to SPSS versions 25.</w:t>
      </w:r>
      <w:r>
        <w:rPr>
          <w:rFonts w:ascii="Times New Roman" w:hAnsi="Times New Roman" w:eastAsia="Calibri" w:cs="Times New Roman"/>
          <w:sz w:val="24"/>
          <w:szCs w:val="24"/>
        </w:rPr>
        <w:t xml:space="preserve"> </w:t>
      </w:r>
    </w:p>
    <w:p w14:paraId="516072FE">
      <w:pPr>
        <w:pStyle w:val="3"/>
      </w:pPr>
      <w:bookmarkStart w:id="290" w:name="_Toc185190160"/>
      <w:bookmarkStart w:id="291" w:name="_Toc181910670"/>
      <w:bookmarkStart w:id="292" w:name="_Toc198635485"/>
      <w:r>
        <w:t xml:space="preserve">4.11. Study </w:t>
      </w:r>
      <w:bookmarkEnd w:id="290"/>
      <w:bookmarkEnd w:id="291"/>
      <w:r>
        <w:t>Variables</w:t>
      </w:r>
      <w:bookmarkEnd w:id="292"/>
    </w:p>
    <w:p w14:paraId="365748DF">
      <w:pPr>
        <w:pStyle w:val="48"/>
        <w:spacing w:line="360" w:lineRule="auto"/>
        <w:rPr>
          <w:rFonts w:eastAsia="Calibri"/>
        </w:rPr>
      </w:pPr>
      <w:bookmarkStart w:id="293" w:name="_Toc198635486"/>
      <w:bookmarkStart w:id="294" w:name="_Toc185190162"/>
      <w:bookmarkStart w:id="295" w:name="_Toc181910672"/>
      <w:r>
        <w:t>4.11.1. Dependent Variables</w:t>
      </w:r>
      <w:bookmarkEnd w:id="293"/>
      <w:r>
        <w:t xml:space="preserve"> </w:t>
      </w:r>
      <w:bookmarkEnd w:id="294"/>
      <w:bookmarkEnd w:id="295"/>
    </w:p>
    <w:p w14:paraId="66DB721C">
      <w:pPr>
        <w:numPr>
          <w:ilvl w:val="0"/>
          <w:numId w:val="4"/>
        </w:numPr>
        <w:spacing w:line="360" w:lineRule="auto"/>
        <w:contextualSpacing/>
        <w:jc w:val="both"/>
        <w:rPr>
          <w:rFonts w:ascii="Times New Roman" w:hAnsi="Times New Roman" w:eastAsia="Calibri" w:cs="Times New Roman"/>
          <w:sz w:val="24"/>
          <w:szCs w:val="24"/>
        </w:rPr>
      </w:pPr>
      <w:r>
        <w:rPr>
          <w:rFonts w:ascii="Times New Roman" w:hAnsi="Times New Roman" w:eastAsia="Times New Roman" w:cs="Times New Roman"/>
          <w:bCs/>
          <w:sz w:val="24"/>
          <w:szCs w:val="24"/>
        </w:rPr>
        <w:t>willingness to accept malaria vaccine</w:t>
      </w:r>
    </w:p>
    <w:p w14:paraId="0A52E922">
      <w:pPr>
        <w:pStyle w:val="48"/>
      </w:pPr>
      <w:bookmarkStart w:id="296" w:name="_Toc198635487"/>
      <w:bookmarkStart w:id="297" w:name="_Toc181910671"/>
      <w:bookmarkStart w:id="298" w:name="_Toc185190161"/>
    </w:p>
    <w:p w14:paraId="79F2248B">
      <w:pPr>
        <w:pStyle w:val="48"/>
      </w:pPr>
      <w:r>
        <w:t>4.11.2. Independent Variables</w:t>
      </w:r>
      <w:bookmarkEnd w:id="296"/>
      <w:r>
        <w:t xml:space="preserve"> </w:t>
      </w:r>
      <w:bookmarkEnd w:id="297"/>
      <w:bookmarkEnd w:id="298"/>
    </w:p>
    <w:p w14:paraId="56EAEB77">
      <w:pPr>
        <w:spacing w:before="100" w:beforeAutospacing="1" w:line="360" w:lineRule="auto"/>
        <w:contextualSpacing/>
        <w:rPr>
          <w:rFonts w:ascii="Times New Roman" w:hAnsi="Times New Roman" w:eastAsia="Times New Roman" w:cs="Times New Roman"/>
          <w:b/>
          <w:sz w:val="24"/>
          <w:szCs w:val="24"/>
        </w:rPr>
      </w:pPr>
      <w:r>
        <w:rPr>
          <w:rFonts w:ascii="Times New Roman" w:hAnsi="Times New Roman" w:eastAsia="Times New Roman" w:cs="Times New Roman"/>
          <w:b/>
          <w:sz w:val="24"/>
          <w:szCs w:val="24"/>
        </w:rPr>
        <w:t>Socio</w:t>
      </w:r>
      <w:r>
        <w:rPr>
          <w:rFonts w:ascii="Times New Roman" w:hAnsi="Times New Roman" w:eastAsia="Times New Roman" w:cs="Times New Roman"/>
          <w:b/>
          <w:bCs/>
          <w:sz w:val="24"/>
          <w:szCs w:val="24"/>
        </w:rPr>
        <w:t xml:space="preserve">-Demographic and Socio-economic Factors                                         </w:t>
      </w:r>
    </w:p>
    <w:p w14:paraId="0BE4DE28">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Age of the mother</w:t>
      </w:r>
    </w:p>
    <w:p w14:paraId="1013136C">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 xml:space="preserve">Gender of the Child </w:t>
      </w:r>
    </w:p>
    <w:p w14:paraId="6724C74E">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Age of the child</w:t>
      </w:r>
    </w:p>
    <w:p w14:paraId="2AE6311B">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Education level</w:t>
      </w:r>
    </w:p>
    <w:p w14:paraId="169C732E">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Marital status</w:t>
      </w:r>
    </w:p>
    <w:p w14:paraId="10E5F4DC">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Number of children alive</w:t>
      </w:r>
    </w:p>
    <w:p w14:paraId="417D9857">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 xml:space="preserve">Religion </w:t>
      </w:r>
    </w:p>
    <w:p w14:paraId="7FEFE729">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 xml:space="preserve">Ethnicity </w:t>
      </w:r>
    </w:p>
    <w:p w14:paraId="1C5846AF">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Occupation</w:t>
      </w:r>
    </w:p>
    <w:p w14:paraId="62A8DAC8">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Income</w:t>
      </w:r>
    </w:p>
    <w:p w14:paraId="6DB86D28">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 xml:space="preserve">Residence area  </w:t>
      </w:r>
    </w:p>
    <w:p w14:paraId="2395D14B">
      <w:pPr>
        <w:spacing w:before="100" w:beforeAutospacing="1" w:after="100" w:afterAutospacing="1"/>
        <w:contextualSpacing/>
        <w:rPr>
          <w:rFonts w:ascii="Times New Roman" w:hAnsi="Times New Roman" w:eastAsia="Times New Roman" w:cs="Times New Roman"/>
          <w:b/>
          <w:bCs/>
          <w:sz w:val="24"/>
          <w:szCs w:val="24"/>
        </w:rPr>
      </w:pPr>
      <w:r>
        <w:rPr>
          <w:rFonts w:ascii="Times New Roman" w:hAnsi="Times New Roman" w:eastAsia="Calibri" w:cs="Times New Roman"/>
          <w:b/>
          <w:sz w:val="24"/>
          <w:szCs w:val="24"/>
        </w:rPr>
        <w:t xml:space="preserve"> </w:t>
      </w:r>
      <w:r>
        <w:rPr>
          <w:rFonts w:ascii="Times New Roman" w:hAnsi="Times New Roman" w:eastAsia="Times New Roman" w:cs="Times New Roman"/>
          <w:b/>
          <w:bCs/>
          <w:sz w:val="24"/>
          <w:szCs w:val="24"/>
        </w:rPr>
        <w:t>Knowledge on the status of immunization (Health-Related Factors)</w:t>
      </w:r>
    </w:p>
    <w:p w14:paraId="56BAA2AA">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 xml:space="preserve">Informed about immunization </w:t>
      </w:r>
    </w:p>
    <w:p w14:paraId="6839E62C">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 xml:space="preserve">Source of Information on Immunization </w:t>
      </w:r>
    </w:p>
    <w:p w14:paraId="64470BFD">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Awareness of vaccination schedules</w:t>
      </w:r>
    </w:p>
    <w:p w14:paraId="5C367D83">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Knowledge of vaccine Benefit</w:t>
      </w:r>
    </w:p>
    <w:p w14:paraId="4AF6405B">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Awareness of malaria risks</w:t>
      </w:r>
    </w:p>
    <w:p w14:paraId="1494E74A">
      <w:pPr>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Experience and Attitude towards immunization program </w:t>
      </w:r>
    </w:p>
    <w:p w14:paraId="6C27DE23">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 xml:space="preserve">Time to reach vaccination site </w:t>
      </w:r>
    </w:p>
    <w:p w14:paraId="0DB12292">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 xml:space="preserve">Previous vaccination history </w:t>
      </w:r>
    </w:p>
    <w:p w14:paraId="1B16EE38">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Waiting time at vaccination site</w:t>
      </w:r>
    </w:p>
    <w:p w14:paraId="61C97113">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Confidence in vaccination programs</w:t>
      </w:r>
    </w:p>
    <w:p w14:paraId="0ABE1B8E">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 xml:space="preserve">Attitude towards previous vaccinators </w:t>
      </w:r>
    </w:p>
    <w:p w14:paraId="66E1453D">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Perceived rate of vaccine importance</w:t>
      </w:r>
    </w:p>
    <w:p w14:paraId="194A7CF1">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 xml:space="preserve">Recommendation of vaccine to other  </w:t>
      </w:r>
    </w:p>
    <w:p w14:paraId="785FED13">
      <w:pPr>
        <w:spacing w:before="100" w:beforeAutospacing="1" w:after="100" w:afterAutospacing="1"/>
        <w:rPr>
          <w:rFonts w:ascii="Times New Roman" w:hAnsi="Times New Roman" w:eastAsia="Times New Roman" w:cs="Times New Roman"/>
          <w:b/>
          <w:sz w:val="24"/>
          <w:szCs w:val="24"/>
        </w:rPr>
      </w:pPr>
      <w:bookmarkStart w:id="299" w:name="_Toc181910674"/>
      <w:bookmarkStart w:id="300" w:name="_Toc185190163"/>
    </w:p>
    <w:p w14:paraId="20C42C3E">
      <w:pPr>
        <w:spacing w:before="200"/>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Knowledge and practice regarding malaria    </w:t>
      </w:r>
    </w:p>
    <w:p w14:paraId="6896033A">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Information on malaria</w:t>
      </w:r>
    </w:p>
    <w:p w14:paraId="6AF59E11">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 xml:space="preserve">Cause of Malaria </w:t>
      </w:r>
    </w:p>
    <w:p w14:paraId="029C9007">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 xml:space="preserve">Risk of malaria </w:t>
      </w:r>
    </w:p>
    <w:p w14:paraId="17B95D1B">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Is malaria preventable</w:t>
      </w:r>
    </w:p>
    <w:p w14:paraId="6A97324F">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 xml:space="preserve">Methods of malaria prevention </w:t>
      </w:r>
    </w:p>
    <w:p w14:paraId="739E78A0">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ITN availability in HH</w:t>
      </w:r>
    </w:p>
    <w:p w14:paraId="45C5C448">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Utilization of ITN</w:t>
      </w:r>
    </w:p>
    <w:p w14:paraId="78F86E66">
      <w:pPr>
        <w:spacing w:before="100" w:beforeAutospacing="1" w:after="100" w:afterAutospacing="1"/>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Perceived attitude towards malaria </w:t>
      </w:r>
    </w:p>
    <w:p w14:paraId="2BB43B4D">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Perceived severity of malaria</w:t>
      </w:r>
    </w:p>
    <w:p w14:paraId="5F006095">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Attitude towards benefit of ITN Utilization</w:t>
      </w:r>
    </w:p>
    <w:p w14:paraId="74CA3B54">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Perceived susceptibility to malaria</w:t>
      </w:r>
    </w:p>
    <w:p w14:paraId="3D186791">
      <w:pPr>
        <w:spacing w:before="100" w:beforeAutospacing="1" w:after="100" w:afterAutospacing="1"/>
        <w:rPr>
          <w:rFonts w:ascii="Times New Roman" w:hAnsi="Times New Roman" w:eastAsia="Times New Roman" w:cs="Times New Roman"/>
          <w:b/>
          <w:sz w:val="24"/>
          <w:szCs w:val="24"/>
        </w:rPr>
      </w:pPr>
      <w:r>
        <w:rPr>
          <w:rFonts w:ascii="Times New Roman" w:hAnsi="Times New Roman" w:eastAsia="Times New Roman" w:cs="Times New Roman"/>
          <w:b/>
          <w:sz w:val="24"/>
          <w:szCs w:val="24"/>
        </w:rPr>
        <w:t>Malaria Vaccination administration</w:t>
      </w:r>
    </w:p>
    <w:p w14:paraId="635508E8">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 xml:space="preserve">Frequency/dose </w:t>
      </w:r>
    </w:p>
    <w:p w14:paraId="0E6FA83D">
      <w:pPr>
        <w:pStyle w:val="51"/>
        <w:numPr>
          <w:ilvl w:val="0"/>
          <w:numId w:val="1"/>
        </w:numPr>
        <w:spacing w:before="100" w:beforeAutospacing="1" w:after="100" w:afterAutospacing="1" w:line="360" w:lineRule="auto"/>
        <w:rPr>
          <w:rFonts w:ascii="Times New Roman" w:hAnsi="Times New Roman" w:eastAsia="Times New Roman" w:cs="Times New Roman"/>
        </w:rPr>
      </w:pPr>
      <w:r>
        <w:rPr>
          <w:rFonts w:ascii="Times New Roman" w:hAnsi="Times New Roman" w:eastAsia="Times New Roman" w:cs="Times New Roman"/>
        </w:rPr>
        <w:t xml:space="preserve">Route of administration </w:t>
      </w:r>
    </w:p>
    <w:p w14:paraId="1D2C0A88">
      <w:pPr>
        <w:pStyle w:val="16"/>
        <w:rPr>
          <w:rFonts w:hint="default" w:ascii="Times New Roman" w:hAnsi="Times New Roman" w:cs="Times New Roman"/>
          <w:b/>
          <w:bCs/>
          <w:color w:val="0000FF"/>
          <w:sz w:val="28"/>
          <w:szCs w:val="28"/>
        </w:rPr>
      </w:pPr>
      <w:bookmarkStart w:id="301" w:name="_Toc198635488"/>
      <w:r>
        <w:rPr>
          <w:rFonts w:ascii="Times New Roman" w:hAnsi="Times New Roman" w:cs="Times New Roman"/>
          <w:sz w:val="28"/>
          <w:szCs w:val="28"/>
        </w:rPr>
        <w:t xml:space="preserve">4.12. </w:t>
      </w:r>
      <w:bookmarkEnd w:id="299"/>
      <w:bookmarkEnd w:id="300"/>
      <w:bookmarkEnd w:id="301"/>
      <w:r>
        <w:rPr>
          <w:rFonts w:hint="default" w:ascii="Times New Roman" w:hAnsi="Times New Roman" w:cs="Times New Roman"/>
          <w:b/>
          <w:bCs/>
          <w:color w:val="0000FF"/>
          <w:sz w:val="28"/>
          <w:szCs w:val="28"/>
        </w:rPr>
        <w:t xml:space="preserve">Data processing and analysis </w:t>
      </w:r>
    </w:p>
    <w:p w14:paraId="28D8C35E">
      <w:pPr>
        <w:spacing w:line="360" w:lineRule="auto"/>
        <w:contextualSpacing/>
        <w:jc w:val="both"/>
        <w:rPr>
          <w:rFonts w:ascii="Times New Roman" w:hAnsi="Times New Roman" w:eastAsia="Times New Roman" w:cs="Times New Roman"/>
          <w:sz w:val="24"/>
          <w:szCs w:val="24"/>
        </w:rPr>
      </w:pPr>
    </w:p>
    <w:p w14:paraId="389C2180">
      <w:pPr>
        <w:spacing w:line="360" w:lineRule="auto"/>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Data were  entered by epidata software 4.6  analyzed </w:t>
      </w:r>
      <w:r>
        <w:rPr>
          <w:rFonts w:ascii="Times New Roman" w:hAnsi="Times New Roman" w:eastAsia="Times New Roman" w:cs="Times New Roman"/>
          <w:color w:val="000000" w:themeColor="text1"/>
          <w:sz w:val="24"/>
          <w:szCs w:val="24"/>
          <w14:textFill>
            <w14:solidFill>
              <w14:schemeClr w14:val="tx1"/>
            </w14:solidFill>
          </w14:textFill>
        </w:rPr>
        <w:t>by</w:t>
      </w:r>
      <w:r>
        <w:rPr>
          <w:rFonts w:ascii="Times New Roman" w:hAnsi="Times New Roman" w:eastAsia="Times New Roman" w:cs="Times New Roman"/>
          <w:sz w:val="24"/>
          <w:szCs w:val="24"/>
        </w:rPr>
        <w:t xml:space="preserve"> using SPSS Version 25.  The data set was checked for completeness; any missing data values were imputed. The variables in the data sets are transformed and categorized before the onset of the analysis. The initial analysis was involving descriptive statistics to summarize the socio demographic characteristics of the population under study. For categorical variables, percentages and frequencies were computed. The willingness to vaccinate against malaria was assessed and reported in proportions with 95% confidence intervals (CIs).</w:t>
      </w:r>
      <w:r>
        <w:rPr>
          <w:rFonts w:hint="default" w:ascii="Times New Roman" w:hAnsi="Times New Roman" w:eastAsia="Times New Roman" w:cs="Times New Roman"/>
          <w:sz w:val="24"/>
          <w:szCs w:val="24"/>
          <w:lang w:val="en-US"/>
        </w:rPr>
        <w:t xml:space="preserve"> </w:t>
      </w:r>
      <w:r>
        <w:rPr>
          <w:rFonts w:ascii="Times New Roman" w:hAnsi="Times New Roman" w:eastAsia="Times New Roman" w:cs="Times New Roman"/>
          <w:sz w:val="24"/>
          <w:szCs w:val="24"/>
        </w:rPr>
        <w:t>Before conducting multivariate analyses, Variance Inflation Factor was used to assess multicollinearity among the independent variables. High multicollinearity will be defined as variables having a VIF larger than 10 and was excluded from subsequent analyses. To find factors related to mothers' readiness to vaccinate their children against malaria, a binary logistic regression analysis was used. The model was built using a stepwise approach, starting from bivariable analysis to identify candidate variables for the final multivariable. The final multivariable model was identifying variables with statistical significance at a p-value of &lt;0.05. The results were presented with odds ratios and their corresponding 95% confidence intervals  to quantify the strength of the associations.</w:t>
      </w:r>
    </w:p>
    <w:p w14:paraId="55E4B257">
      <w:pPr>
        <w:pStyle w:val="3"/>
        <w:spacing w:line="360" w:lineRule="auto"/>
        <w:jc w:val="both"/>
      </w:pPr>
      <w:bookmarkStart w:id="302" w:name="_Toc198635489"/>
      <w:bookmarkStart w:id="303" w:name="_Toc181910675"/>
      <w:bookmarkStart w:id="304" w:name="_Toc185190164"/>
      <w:r>
        <w:t>4.13. Ethical Consideration</w:t>
      </w:r>
      <w:bookmarkEnd w:id="302"/>
      <w:r>
        <w:t xml:space="preserve"> </w:t>
      </w:r>
      <w:bookmarkEnd w:id="303"/>
      <w:bookmarkEnd w:id="304"/>
    </w:p>
    <w:p w14:paraId="58283CED">
      <w:pPr>
        <w:keepNext w:val="0"/>
        <w:keepLines w:val="0"/>
        <w:widowControl/>
        <w:suppressLineNumbers w:val="0"/>
        <w:spacing w:line="360" w:lineRule="auto"/>
        <w:jc w:val="both"/>
        <w:rPr>
          <w:rFonts w:hint="default" w:ascii="Times New Roman" w:hAnsi="Times New Roman" w:cs="Times New Roman"/>
          <w:sz w:val="24"/>
          <w:szCs w:val="24"/>
        </w:rPr>
      </w:pPr>
      <w:r>
        <w:rPr>
          <w:rFonts w:ascii="Times New Roman" w:hAnsi="Times New Roman" w:eastAsia="Times New Roman" w:cs="Times New Roman"/>
          <w:sz w:val="24"/>
          <w:szCs w:val="24"/>
        </w:rPr>
        <w:t>Ethical approval was acquired from the Committee for Ethical Review of Institute of Health sciences of Wollega University and Official letter was received from the university and submitted to Wu referral hospital, Nekemte specialized Hospital and Nekemte Health Center</w:t>
      </w:r>
      <w:r>
        <w:rPr>
          <w:rFonts w:hint="default" w:ascii="Times New Roman" w:hAnsi="Times New Roman" w:eastAsia="Times New Roman" w:cs="Times New Roman"/>
          <w:sz w:val="24"/>
          <w:szCs w:val="24"/>
          <w:lang w:val="en-US"/>
        </w:rPr>
        <w:t>.</w:t>
      </w:r>
      <w:r>
        <w:rPr>
          <w:rFonts w:hint="default" w:ascii="Times New Roman" w:hAnsi="Times New Roman" w:eastAsia="CIDFont" w:cs="Times New Roman"/>
          <w:color w:val="000000"/>
          <w:kern w:val="0"/>
          <w:sz w:val="24"/>
          <w:szCs w:val="24"/>
          <w:lang w:val="en-US" w:eastAsia="zh-CN" w:bidi="ar"/>
        </w:rPr>
        <w:t>After the purpose and objective of the study have been  informed, informed consent was obtained from each study participants. Participants were also being informed that participation was on voluntary basis and they can withdraw from the study at any time if they are not comfortable about the questionnaire</w:t>
      </w:r>
    </w:p>
    <w:p w14:paraId="13144502">
      <w:pPr>
        <w:spacing w:line="360" w:lineRule="auto"/>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Confidentiality was preserved during conduct of the study.</w:t>
      </w:r>
    </w:p>
    <w:p w14:paraId="4537D8A4">
      <w:pPr>
        <w:pStyle w:val="3"/>
        <w:spacing w:line="360" w:lineRule="auto"/>
      </w:pPr>
      <w:bookmarkStart w:id="305" w:name="_Toc181910676"/>
      <w:bookmarkStart w:id="306" w:name="_Toc185190165"/>
      <w:bookmarkStart w:id="307" w:name="_Toc198635490"/>
      <w:r>
        <w:t>4.14. Dissemination Plan</w:t>
      </w:r>
      <w:bookmarkEnd w:id="305"/>
      <w:bookmarkEnd w:id="306"/>
      <w:bookmarkEnd w:id="307"/>
    </w:p>
    <w:p w14:paraId="27FBBE96">
      <w:pPr>
        <w:spacing w:line="360" w:lineRule="auto"/>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The dissemination plan involves submitting hard and soft copies of the thesis to the Public Health Department and Wollega University's Institute of Health Sciences. The research will be presented at an appropriate research symposium to engage with peers and health professionals. Finally, the research findings were published online in an accessible platform to reach a broader audience and contribute to the existing body of knowledge on malaria vaccination.</w:t>
      </w:r>
    </w:p>
    <w:p w14:paraId="7051CBA9">
      <w:pPr>
        <w:pStyle w:val="3"/>
        <w:spacing w:line="360" w:lineRule="auto"/>
      </w:pPr>
      <w:bookmarkStart w:id="308" w:name="_Toc185190166"/>
      <w:bookmarkStart w:id="309" w:name="_Toc181910677"/>
      <w:bookmarkStart w:id="310" w:name="_Toc198635491"/>
      <w:r>
        <w:t>4.15. Operational definition</w:t>
      </w:r>
      <w:bookmarkEnd w:id="308"/>
      <w:bookmarkEnd w:id="309"/>
      <w:bookmarkEnd w:id="310"/>
    </w:p>
    <w:p w14:paraId="50AEF760">
      <w:pPr>
        <w:pStyle w:val="4"/>
        <w:spacing w:before="0" w:line="360" w:lineRule="auto"/>
        <w:jc w:val="both"/>
        <w:rPr>
          <w:rFonts w:ascii="Times New Roman" w:hAnsi="Times New Roman" w:eastAsia="Times New Roman" w:cs="Times New Roman"/>
          <w:b w:val="0"/>
          <w:bCs w:val="0"/>
          <w:color w:val="auto"/>
          <w:sz w:val="24"/>
          <w:szCs w:val="24"/>
        </w:rPr>
      </w:pPr>
      <w:bookmarkStart w:id="311" w:name="_Toc197767214"/>
      <w:bookmarkStart w:id="312" w:name="_Toc197885220"/>
      <w:bookmarkStart w:id="313" w:name="_Toc198622024"/>
      <w:bookmarkStart w:id="314" w:name="_Toc198635492"/>
      <w:bookmarkStart w:id="315" w:name="_Toc187328340"/>
      <w:bookmarkStart w:id="316" w:name="_Toc197374377"/>
      <w:bookmarkStart w:id="317" w:name="_Toc185492546"/>
      <w:bookmarkStart w:id="318" w:name="_Toc181910678"/>
      <w:bookmarkStart w:id="319" w:name="_Toc185491511"/>
      <w:bookmarkStart w:id="320" w:name="_Toc185190167"/>
      <w:r>
        <w:rPr>
          <w:rFonts w:ascii="Times New Roman" w:hAnsi="Times New Roman" w:cs="Times New Roman"/>
          <w:color w:val="auto"/>
          <w:sz w:val="24"/>
          <w:szCs w:val="24"/>
        </w:rPr>
        <w:t>Morbidity-</w:t>
      </w:r>
      <w:r>
        <w:rPr>
          <w:rFonts w:ascii="Times New Roman" w:hAnsi="Times New Roman" w:eastAsia="Times New Roman" w:cs="Times New Roman"/>
          <w:color w:val="auto"/>
          <w:sz w:val="24"/>
          <w:szCs w:val="24"/>
          <w:shd w:val="clear" w:color="auto" w:fill="FFFFFF"/>
        </w:rPr>
        <w:t xml:space="preserve"> </w:t>
      </w:r>
      <w:r>
        <w:rPr>
          <w:rFonts w:ascii="Times New Roman" w:hAnsi="Times New Roman" w:eastAsia="Times New Roman" w:cs="Times New Roman"/>
          <w:b w:val="0"/>
          <w:color w:val="auto"/>
          <w:sz w:val="24"/>
          <w:szCs w:val="24"/>
          <w:shd w:val="clear" w:color="auto" w:fill="FFFFFF"/>
        </w:rPr>
        <w:t>Acquiring a disease, its symptoms, or the severity of the disease</w:t>
      </w:r>
      <w:bookmarkEnd w:id="311"/>
      <w:bookmarkEnd w:id="312"/>
      <w:bookmarkEnd w:id="313"/>
      <w:bookmarkEnd w:id="314"/>
      <w:bookmarkEnd w:id="315"/>
      <w:bookmarkEnd w:id="316"/>
      <w:r>
        <w:rPr>
          <w:rFonts w:ascii="Times New Roman" w:hAnsi="Times New Roman" w:eastAsia="Times New Roman" w:cs="Times New Roman"/>
          <w:b w:val="0"/>
          <w:color w:val="auto"/>
          <w:sz w:val="24"/>
          <w:szCs w:val="24"/>
          <w:shd w:val="clear" w:color="auto" w:fill="FFFFFF"/>
        </w:rPr>
        <w:t xml:space="preserve"> </w:t>
      </w:r>
      <w:bookmarkEnd w:id="317"/>
      <w:bookmarkEnd w:id="318"/>
      <w:bookmarkEnd w:id="319"/>
      <w:bookmarkEnd w:id="320"/>
      <w:r>
        <w:rPr>
          <w:rFonts w:ascii="Times New Roman" w:hAnsi="Times New Roman" w:eastAsia="Times New Roman" w:cs="Times New Roman"/>
          <w:b w:val="0"/>
          <w:bCs w:val="0"/>
          <w:color w:val="auto"/>
          <w:sz w:val="24"/>
          <w:szCs w:val="24"/>
        </w:rPr>
        <w:t xml:space="preserve"> </w:t>
      </w:r>
    </w:p>
    <w:p w14:paraId="429FD8BC">
      <w:pPr>
        <w:pStyle w:val="4"/>
        <w:spacing w:before="0" w:line="360" w:lineRule="auto"/>
        <w:jc w:val="both"/>
        <w:rPr>
          <w:rFonts w:hint="default" w:ascii="Times New Roman" w:hAnsi="Times New Roman" w:eastAsia="Times New Roman" w:cs="Times New Roman"/>
          <w:b w:val="0"/>
          <w:bCs w:val="0"/>
          <w:color w:val="auto"/>
          <w:sz w:val="24"/>
          <w:szCs w:val="24"/>
          <w:lang w:val="en-US"/>
        </w:rPr>
      </w:pPr>
      <w:bookmarkStart w:id="321" w:name="_Toc198622025"/>
      <w:bookmarkStart w:id="322" w:name="_Toc181910679"/>
      <w:bookmarkStart w:id="323" w:name="_Toc187328341"/>
      <w:bookmarkStart w:id="324" w:name="_Toc197885221"/>
      <w:bookmarkStart w:id="325" w:name="_Toc197374378"/>
      <w:bookmarkStart w:id="326" w:name="_Toc185190168"/>
      <w:bookmarkStart w:id="327" w:name="_Toc197767215"/>
      <w:bookmarkStart w:id="328" w:name="_Toc185492547"/>
      <w:bookmarkStart w:id="329" w:name="_Toc185491512"/>
      <w:bookmarkStart w:id="330" w:name="_Toc198635493"/>
      <w:r>
        <w:rPr>
          <w:rFonts w:ascii="Times New Roman" w:hAnsi="Times New Roman" w:cs="Times New Roman"/>
          <w:color w:val="auto"/>
          <w:sz w:val="24"/>
          <w:szCs w:val="24"/>
        </w:rPr>
        <w:t>Willingness to Accept Malaria Vaccine:</w:t>
      </w:r>
      <w:r>
        <w:rPr>
          <w:rFonts w:ascii="Times New Roman" w:hAnsi="Times New Roman" w:eastAsia="Times New Roman" w:cs="Times New Roman"/>
          <w:b w:val="0"/>
          <w:bCs w:val="0"/>
          <w:color w:val="auto"/>
          <w:sz w:val="24"/>
          <w:szCs w:val="24"/>
        </w:rPr>
        <w:t xml:space="preserve"> Intention of mothers who will be </w:t>
      </w:r>
      <w:r>
        <w:rPr>
          <w:rFonts w:ascii="Times New Roman" w:hAnsi="Times New Roman" w:eastAsia="Times New Roman" w:cs="Times New Roman"/>
          <w:b w:val="0"/>
          <w:bCs w:val="0"/>
          <w:color w:val="auto"/>
          <w:sz w:val="24"/>
          <w:szCs w:val="24"/>
          <w:lang w:val="en-US"/>
        </w:rPr>
        <w:t>vaccinate</w:t>
      </w:r>
      <w:r>
        <w:rPr>
          <w:rFonts w:hint="default" w:ascii="Times New Roman" w:hAnsi="Times New Roman" w:eastAsia="Times New Roman" w:cs="Times New Roman"/>
          <w:b w:val="0"/>
          <w:bCs w:val="0"/>
          <w:color w:val="auto"/>
          <w:sz w:val="24"/>
          <w:szCs w:val="24"/>
          <w:lang w:val="en-US"/>
        </w:rPr>
        <w:t xml:space="preserve"> </w:t>
      </w:r>
      <w:r>
        <w:rPr>
          <w:rFonts w:ascii="Times New Roman" w:hAnsi="Times New Roman" w:eastAsia="Times New Roman" w:cs="Times New Roman"/>
          <w:b w:val="0"/>
          <w:bCs w:val="0"/>
          <w:color w:val="auto"/>
          <w:sz w:val="24"/>
          <w:szCs w:val="24"/>
        </w:rPr>
        <w:t xml:space="preserve"> against malaria for their children, assessed through self-reported likelihood and perceived </w:t>
      </w:r>
      <w:bookmarkEnd w:id="321"/>
      <w:bookmarkEnd w:id="322"/>
      <w:bookmarkEnd w:id="323"/>
      <w:bookmarkEnd w:id="324"/>
      <w:bookmarkEnd w:id="325"/>
      <w:bookmarkEnd w:id="326"/>
      <w:bookmarkEnd w:id="327"/>
      <w:bookmarkEnd w:id="328"/>
      <w:bookmarkEnd w:id="329"/>
      <w:bookmarkEnd w:id="330"/>
      <w:bookmarkStart w:id="331" w:name="_Toc197885222"/>
      <w:bookmarkStart w:id="332" w:name="_Toc198622026"/>
      <w:bookmarkStart w:id="333" w:name="_Toc185491513"/>
      <w:bookmarkStart w:id="334" w:name="_Toc187328342"/>
      <w:bookmarkStart w:id="335" w:name="_Toc181910680"/>
      <w:bookmarkStart w:id="336" w:name="_Toc198635494"/>
      <w:bookmarkStart w:id="337" w:name="_Toc197767216"/>
      <w:bookmarkStart w:id="338" w:name="_Toc185190169"/>
      <w:bookmarkStart w:id="339" w:name="_Toc185492548"/>
      <w:bookmarkStart w:id="340" w:name="_Toc197374379"/>
      <w:r>
        <w:rPr>
          <w:rFonts w:ascii="Times New Roman" w:hAnsi="Times New Roman" w:eastAsia="Times New Roman" w:cs="Times New Roman"/>
          <w:b w:val="0"/>
          <w:bCs w:val="0"/>
          <w:color w:val="auto"/>
          <w:sz w:val="24"/>
          <w:szCs w:val="24"/>
          <w:lang w:val="en-US"/>
        </w:rPr>
        <w:t>willingness</w:t>
      </w:r>
      <w:r>
        <w:rPr>
          <w:rFonts w:hint="default" w:ascii="Times New Roman" w:hAnsi="Times New Roman" w:eastAsia="Times New Roman" w:cs="Times New Roman"/>
          <w:b w:val="0"/>
          <w:bCs w:val="0"/>
          <w:color w:val="auto"/>
          <w:sz w:val="24"/>
          <w:szCs w:val="24"/>
          <w:lang w:val="en-US"/>
        </w:rPr>
        <w:t>.</w:t>
      </w:r>
    </w:p>
    <w:p w14:paraId="1BFF6B68">
      <w:pPr>
        <w:pStyle w:val="4"/>
        <w:spacing w:before="0" w:line="360" w:lineRule="auto"/>
        <w:jc w:val="both"/>
        <w:rPr>
          <w:rFonts w:hint="default" w:ascii="Times New Roman" w:hAnsi="Times New Roman" w:eastAsia="Times New Roman" w:cs="Times New Roman"/>
          <w:b w:val="0"/>
          <w:bCs w:val="0"/>
          <w:color w:val="auto"/>
          <w:sz w:val="24"/>
          <w:szCs w:val="24"/>
          <w:lang w:val="en-US"/>
        </w:rPr>
      </w:pPr>
      <w:r>
        <w:rPr>
          <w:rFonts w:ascii="Times New Roman" w:hAnsi="Times New Roman" w:cs="Times New Roman"/>
          <w:color w:val="auto"/>
          <w:sz w:val="24"/>
          <w:szCs w:val="24"/>
        </w:rPr>
        <w:t>Vaccine Hesitancy:</w:t>
      </w:r>
      <w:r>
        <w:rPr>
          <w:rFonts w:ascii="Times New Roman" w:hAnsi="Times New Roman" w:eastAsia="Times New Roman" w:cs="Times New Roman"/>
          <w:color w:val="auto"/>
          <w:sz w:val="24"/>
          <w:szCs w:val="24"/>
        </w:rPr>
        <w:t xml:space="preserve">  </w:t>
      </w:r>
      <w:r>
        <w:rPr>
          <w:rFonts w:ascii="Times New Roman" w:hAnsi="Times New Roman" w:eastAsia="Times New Roman" w:cs="Times New Roman"/>
          <w:b w:val="0"/>
          <w:color w:val="auto"/>
          <w:sz w:val="24"/>
          <w:szCs w:val="24"/>
        </w:rPr>
        <w:t>Delay or refusal to vaccinate despite availability, influenced by concerns about safety</w:t>
      </w:r>
      <w:r>
        <w:rPr>
          <w:rFonts w:hint="default" w:ascii="Times New Roman" w:hAnsi="Times New Roman" w:eastAsia="Times New Roman" w:cs="Times New Roman"/>
          <w:b w:val="0"/>
          <w:color w:val="auto"/>
          <w:sz w:val="24"/>
          <w:szCs w:val="24"/>
          <w:lang w:val="en-US"/>
        </w:rPr>
        <w:t xml:space="preserve"> and</w:t>
      </w:r>
      <w:r>
        <w:rPr>
          <w:rFonts w:ascii="Times New Roman" w:hAnsi="Times New Roman" w:eastAsia="Times New Roman" w:cs="Times New Roman"/>
          <w:b w:val="0"/>
          <w:color w:val="auto"/>
          <w:sz w:val="24"/>
          <w:szCs w:val="24"/>
        </w:rPr>
        <w:t xml:space="preserve"> effectiveness</w:t>
      </w:r>
      <w:bookmarkEnd w:id="331"/>
      <w:bookmarkEnd w:id="332"/>
      <w:bookmarkEnd w:id="333"/>
      <w:bookmarkEnd w:id="334"/>
      <w:bookmarkEnd w:id="335"/>
      <w:bookmarkEnd w:id="336"/>
      <w:bookmarkEnd w:id="337"/>
      <w:bookmarkEnd w:id="338"/>
      <w:bookmarkEnd w:id="339"/>
      <w:bookmarkEnd w:id="340"/>
      <w:r>
        <w:rPr>
          <w:rFonts w:hint="default" w:ascii="Times New Roman" w:hAnsi="Times New Roman" w:eastAsia="Times New Roman" w:cs="Times New Roman"/>
          <w:b w:val="0"/>
          <w:color w:val="auto"/>
          <w:sz w:val="24"/>
          <w:szCs w:val="24"/>
          <w:lang w:val="en-US"/>
        </w:rPr>
        <w:t>.</w:t>
      </w:r>
    </w:p>
    <w:p w14:paraId="23ABCACA">
      <w:pPr>
        <w:spacing w:line="360" w:lineRule="auto"/>
        <w:jc w:val="both"/>
        <w:rPr>
          <w:rFonts w:ascii="Times New Roman" w:hAnsi="Times New Roman" w:cs="Times New Roman"/>
          <w:sz w:val="24"/>
          <w:szCs w:val="24"/>
          <w:shd w:val="clear" w:color="auto" w:fill="FFFFFF"/>
        </w:rPr>
      </w:pPr>
      <w:r>
        <w:rPr>
          <w:rFonts w:ascii="Times New Roman" w:hAnsi="Times New Roman" w:eastAsia="Times New Roman" w:cs="Times New Roman"/>
          <w:b/>
          <w:sz w:val="24"/>
          <w:szCs w:val="24"/>
          <w:shd w:val="clear" w:color="auto" w:fill="FFFFFF"/>
        </w:rPr>
        <w:t>Factors Associated to willingness</w:t>
      </w:r>
      <w:r>
        <w:rPr>
          <w:rFonts w:ascii="Times New Roman" w:hAnsi="Times New Roman" w:eastAsia="Times New Roman" w:cs="Times New Roman"/>
          <w:sz w:val="24"/>
          <w:szCs w:val="24"/>
          <w:shd w:val="clear" w:color="auto" w:fill="FFFFFF"/>
        </w:rPr>
        <w:t xml:space="preserve"> -</w:t>
      </w:r>
      <w:r>
        <w:rPr>
          <w:rFonts w:ascii="Times New Roman" w:hAnsi="Times New Roman" w:cs="Times New Roman"/>
          <w:sz w:val="24"/>
          <w:szCs w:val="24"/>
          <w:shd w:val="clear" w:color="auto" w:fill="FFFFFF"/>
        </w:rPr>
        <w:t>factors that can influence community readiness for a malaria vaccine include Infrastructure, culture, and social aspects. The community engagement and empowerment are also important for fostering acceptance and building trust in the vaccine.</w:t>
      </w:r>
    </w:p>
    <w:p w14:paraId="00E1779F">
      <w:pPr>
        <w:shd w:val="clear" w:color="auto" w:fill="FFFFFF"/>
        <w:spacing w:line="360" w:lineRule="auto"/>
        <w:jc w:val="both"/>
        <w:rPr>
          <w:rFonts w:ascii="Times New Roman" w:hAnsi="Times New Roman" w:eastAsia="Times New Roman" w:cs="Times New Roman"/>
          <w:spacing w:val="2"/>
          <w:sz w:val="24"/>
          <w:szCs w:val="24"/>
        </w:rPr>
      </w:pPr>
      <w:r>
        <w:rPr>
          <w:rFonts w:ascii="Times New Roman" w:hAnsi="Times New Roman" w:eastAsia="Times New Roman" w:cs="Times New Roman"/>
          <w:b/>
          <w:bCs/>
          <w:sz w:val="24"/>
          <w:szCs w:val="24"/>
        </w:rPr>
        <w:t>Awareness</w:t>
      </w:r>
      <w:r>
        <w:rPr>
          <w:rFonts w:ascii="Times New Roman" w:hAnsi="Times New Roman" w:eastAsia="Times New Roman" w:cs="Times New Roman"/>
          <w:sz w:val="24"/>
          <w:szCs w:val="24"/>
        </w:rPr>
        <w:t>-</w:t>
      </w:r>
      <w:r>
        <w:rPr>
          <w:rFonts w:ascii="Times New Roman" w:hAnsi="Times New Roman" w:eastAsia="Times New Roman" w:cs="Times New Roman"/>
          <w:spacing w:val="2"/>
          <w:sz w:val="24"/>
          <w:szCs w:val="24"/>
        </w:rPr>
        <w:t>Caregivers who have a higher chance of accepting the vaccine if they are aware of it.</w:t>
      </w:r>
    </w:p>
    <w:p w14:paraId="6B52E9C7">
      <w:pPr>
        <w:shd w:val="clear" w:color="auto" w:fill="FFFFFF"/>
        <w:spacing w:line="360" w:lineRule="auto"/>
        <w:jc w:val="both"/>
        <w:rPr>
          <w:rFonts w:ascii="Times New Roman" w:hAnsi="Times New Roman" w:eastAsia="Times New Roman" w:cs="Times New Roman"/>
          <w:spacing w:val="2"/>
          <w:sz w:val="24"/>
          <w:szCs w:val="24"/>
        </w:rPr>
      </w:pPr>
      <w:r>
        <w:rPr>
          <w:rFonts w:ascii="Times New Roman" w:hAnsi="Times New Roman" w:eastAsia="Times New Roman" w:cs="Times New Roman"/>
          <w:b/>
          <w:bCs/>
          <w:sz w:val="24"/>
          <w:szCs w:val="24"/>
        </w:rPr>
        <w:t>Knowledge</w:t>
      </w:r>
      <w:r>
        <w:rPr>
          <w:rFonts w:ascii="Times New Roman" w:hAnsi="Times New Roman" w:eastAsia="Times New Roman" w:cs="Times New Roman"/>
          <w:sz w:val="24"/>
          <w:szCs w:val="24"/>
        </w:rPr>
        <w:t>-</w:t>
      </w:r>
      <w:r>
        <w:rPr>
          <w:rFonts w:ascii="Times New Roman" w:hAnsi="Times New Roman" w:eastAsia="Times New Roman" w:cs="Times New Roman"/>
          <w:spacing w:val="2"/>
          <w:sz w:val="24"/>
          <w:szCs w:val="24"/>
        </w:rPr>
        <w:t>Caregivers who have good knowledge of the vaccine</w:t>
      </w:r>
      <w:r>
        <w:rPr>
          <w:rFonts w:hint="default" w:ascii="Times New Roman" w:hAnsi="Times New Roman" w:eastAsia="Times New Roman" w:cs="Times New Roman"/>
          <w:spacing w:val="2"/>
          <w:sz w:val="24"/>
          <w:szCs w:val="24"/>
          <w:lang w:val="en-US"/>
        </w:rPr>
        <w:t>.</w:t>
      </w:r>
      <w:r>
        <w:rPr>
          <w:rFonts w:ascii="Times New Roman" w:hAnsi="Times New Roman" w:eastAsia="Times New Roman" w:cs="Times New Roman"/>
          <w:spacing w:val="2"/>
          <w:sz w:val="24"/>
          <w:szCs w:val="24"/>
        </w:rPr>
        <w:t> </w:t>
      </w:r>
    </w:p>
    <w:p w14:paraId="459366A3">
      <w:pPr>
        <w:shd w:val="clear" w:color="auto" w:fill="FFFFFF"/>
        <w:spacing w:line="360" w:lineRule="auto"/>
        <w:jc w:val="both"/>
        <w:rPr>
          <w:rFonts w:ascii="Times New Roman" w:hAnsi="Times New Roman" w:eastAsia="Times New Roman" w:cs="Times New Roman"/>
          <w:spacing w:val="2"/>
          <w:sz w:val="24"/>
          <w:szCs w:val="24"/>
        </w:rPr>
      </w:pPr>
      <w:r>
        <w:rPr>
          <w:rFonts w:ascii="Times New Roman" w:hAnsi="Times New Roman" w:eastAsia="Times New Roman" w:cs="Times New Roman"/>
          <w:b/>
          <w:bCs/>
          <w:sz w:val="24"/>
          <w:szCs w:val="24"/>
        </w:rPr>
        <w:t>Previous Experience</w:t>
      </w:r>
      <w:r>
        <w:rPr>
          <w:rFonts w:ascii="Times New Roman" w:hAnsi="Times New Roman" w:eastAsia="Times New Roman" w:cs="Times New Roman"/>
          <w:sz w:val="24"/>
          <w:szCs w:val="24"/>
        </w:rPr>
        <w:t>-</w:t>
      </w:r>
      <w:r>
        <w:rPr>
          <w:rFonts w:ascii="Times New Roman" w:hAnsi="Times New Roman" w:eastAsia="Times New Roman" w:cs="Times New Roman"/>
          <w:spacing w:val="2"/>
          <w:sz w:val="24"/>
          <w:szCs w:val="24"/>
        </w:rPr>
        <w:t>Mothers who have ever been exposed to any EPI vaccination for their child</w:t>
      </w:r>
    </w:p>
    <w:p w14:paraId="5312FB48">
      <w:pPr>
        <w:shd w:val="clear" w:color="auto" w:fill="FFFFFF"/>
        <w:spacing w:line="360" w:lineRule="auto"/>
        <w:jc w:val="both"/>
        <w:rPr>
          <w:rFonts w:ascii="Times New Roman" w:hAnsi="Times New Roman" w:eastAsia="Times New Roman" w:cs="Times New Roman"/>
          <w:spacing w:val="2"/>
          <w:sz w:val="24"/>
          <w:szCs w:val="24"/>
        </w:rPr>
      </w:pPr>
      <w:r>
        <w:rPr>
          <w:rFonts w:ascii="Times New Roman" w:hAnsi="Times New Roman" w:eastAsia="Times New Roman" w:cs="Times New Roman"/>
          <w:b/>
          <w:bCs/>
          <w:sz w:val="24"/>
          <w:szCs w:val="24"/>
        </w:rPr>
        <w:t>Socio-demographic Factors</w:t>
      </w:r>
      <w:r>
        <w:rPr>
          <w:rFonts w:ascii="Times New Roman" w:hAnsi="Times New Roman" w:eastAsia="Times New Roman" w:cs="Times New Roman"/>
          <w:sz w:val="24"/>
          <w:szCs w:val="24"/>
        </w:rPr>
        <w:t>-</w:t>
      </w:r>
      <w:r>
        <w:rPr>
          <w:rFonts w:ascii="Times New Roman" w:hAnsi="Times New Roman" w:eastAsia="Times New Roman" w:cs="Times New Roman"/>
          <w:spacing w:val="2"/>
          <w:sz w:val="24"/>
          <w:szCs w:val="24"/>
        </w:rPr>
        <w:t xml:space="preserve">Factors such as age, religion, education, and marital status can </w:t>
      </w:r>
    </w:p>
    <w:p w14:paraId="729BF84C">
      <w:pPr>
        <w:shd w:val="clear" w:color="auto" w:fill="FFFFFF"/>
        <w:spacing w:line="360" w:lineRule="auto"/>
        <w:jc w:val="both"/>
        <w:rPr>
          <w:rFonts w:ascii="Times New Roman" w:hAnsi="Times New Roman" w:eastAsia="Times New Roman" w:cs="Times New Roman"/>
          <w:spacing w:val="2"/>
          <w:sz w:val="24"/>
          <w:szCs w:val="24"/>
        </w:rPr>
      </w:pPr>
      <w:r>
        <w:rPr>
          <w:rFonts w:ascii="Times New Roman" w:hAnsi="Times New Roman" w:eastAsia="Times New Roman" w:cs="Times New Roman"/>
          <w:b/>
          <w:bCs/>
          <w:sz w:val="24"/>
          <w:szCs w:val="24"/>
        </w:rPr>
        <w:t xml:space="preserve"> </w:t>
      </w:r>
      <w:r>
        <w:rPr>
          <w:rFonts w:ascii="Times New Roman" w:hAnsi="Times New Roman" w:eastAsia="Times New Roman" w:cs="Times New Roman"/>
          <w:spacing w:val="2"/>
          <w:sz w:val="24"/>
          <w:szCs w:val="24"/>
        </w:rPr>
        <w:t>influence willingness to accept the vaccine.</w:t>
      </w:r>
      <w:bookmarkStart w:id="341" w:name="_Toc185190170"/>
    </w:p>
    <w:bookmarkEnd w:id="341"/>
    <w:p w14:paraId="1EC24D73">
      <w:pPr>
        <w:spacing w:after="200" w:line="276" w:lineRule="auto"/>
        <w:rPr>
          <w:rFonts w:eastAsia="Times New Roman"/>
        </w:rPr>
      </w:pPr>
      <w:r>
        <w:rPr>
          <w:rFonts w:eastAsia="Times New Roman"/>
        </w:rPr>
        <w:br w:type="page"/>
      </w:r>
    </w:p>
    <w:p w14:paraId="73CA6862">
      <w:pPr>
        <w:pStyle w:val="2"/>
        <w:numPr>
          <w:ilvl w:val="0"/>
          <w:numId w:val="5"/>
        </w:numPr>
        <w:rPr>
          <w:rFonts w:ascii="Times New Roman" w:hAnsi="Times New Roman" w:cs="Times New Roman"/>
        </w:rPr>
      </w:pPr>
      <w:bookmarkStart w:id="342" w:name="_Toc198635495"/>
      <w:r>
        <w:rPr>
          <w:rFonts w:ascii="Times New Roman" w:hAnsi="Times New Roman" w:cs="Times New Roman"/>
        </w:rPr>
        <w:t>RESULTS</w:t>
      </w:r>
      <w:bookmarkEnd w:id="342"/>
    </w:p>
    <w:p w14:paraId="1737431D"/>
    <w:p w14:paraId="1751A918">
      <w:pPr>
        <w:pStyle w:val="3"/>
        <w:spacing w:line="360" w:lineRule="auto"/>
        <w:rPr>
          <w:rFonts w:ascii="Times New Roman" w:hAnsi="Times New Roman" w:cs="Times New Roman"/>
        </w:rPr>
      </w:pPr>
      <w:bookmarkStart w:id="343" w:name="_Toc198622028"/>
      <w:bookmarkStart w:id="344" w:name="_Toc198635496"/>
      <w:r>
        <w:rPr>
          <w:rFonts w:ascii="Times New Roman" w:hAnsi="Times New Roman" w:cs="Times New Roman"/>
        </w:rPr>
        <w:t>5.1. Socio-demographic and Socio-economic characteristics of the study participants.</w:t>
      </w:r>
      <w:bookmarkEnd w:id="343"/>
      <w:bookmarkEnd w:id="344"/>
      <w:r>
        <w:rPr>
          <w:rFonts w:ascii="Times New Roman" w:hAnsi="Times New Roman" w:cs="Times New Roman"/>
        </w:rPr>
        <w:t xml:space="preserve"> </w:t>
      </w:r>
    </w:p>
    <w:p w14:paraId="08230330">
      <w:pPr>
        <w:spacing w:line="360" w:lineRule="auto"/>
        <w:contextualSpacing/>
        <w:jc w:val="both"/>
        <w:rPr>
          <w:rFonts w:ascii="Times New Roman" w:hAnsi="Times New Roman" w:cs="Times New Roman" w:eastAsiaTheme="minorHAnsi"/>
          <w:sz w:val="24"/>
          <w:szCs w:val="24"/>
        </w:rPr>
      </w:pPr>
      <w:r>
        <w:rPr>
          <w:rFonts w:ascii="Times New Roman" w:hAnsi="Times New Roman" w:cs="Times New Roman" w:eastAsiaTheme="minorHAnsi"/>
          <w:sz w:val="24"/>
          <w:szCs w:val="24"/>
        </w:rPr>
        <w:t xml:space="preserve">The data were collected from a total of 334 </w:t>
      </w:r>
      <w:r>
        <w:rPr>
          <w:rFonts w:ascii="Times New Roman" w:hAnsi="Times New Roman" w:eastAsia="Times New Roman" w:cs="Times New Roman"/>
          <w:sz w:val="24"/>
          <w:szCs w:val="24"/>
        </w:rPr>
        <w:t xml:space="preserve">participants who were attending selected public health facilities for immunization in Nekemte City, which has yielded a </w:t>
      </w:r>
      <w:r>
        <w:rPr>
          <w:rFonts w:ascii="Times New Roman" w:hAnsi="Times New Roman" w:cs="Times New Roman" w:eastAsiaTheme="minorHAnsi"/>
          <w:sz w:val="24"/>
          <w:szCs w:val="24"/>
        </w:rPr>
        <w:t xml:space="preserve">response rate of 100%. </w:t>
      </w:r>
    </w:p>
    <w:p w14:paraId="2D775676">
      <w:pPr>
        <w:keepNext w:val="0"/>
        <w:keepLines w:val="0"/>
        <w:widowControl/>
        <w:suppressLineNumbers w:val="0"/>
        <w:jc w:val="left"/>
      </w:pPr>
      <w:r>
        <w:rPr>
          <w:rFonts w:ascii="Times New Roman" w:hAnsi="Times New Roman" w:eastAsia="Times New Roman" w:cs="Times New Roman"/>
          <w:sz w:val="24"/>
          <w:szCs w:val="24"/>
        </w:rPr>
        <w:t xml:space="preserve">The majority of mothers were between </w:t>
      </w:r>
      <w:r>
        <w:rPr>
          <w:rFonts w:ascii="Times New Roman" w:hAnsi="Times New Roman" w:eastAsia="Times New Roman" w:cs="Times New Roman"/>
          <w:bCs/>
          <w:sz w:val="24"/>
          <w:szCs w:val="24"/>
        </w:rPr>
        <w:t>29–39 years</w:t>
      </w:r>
      <w:r>
        <w:rPr>
          <w:rFonts w:ascii="Times New Roman" w:hAnsi="Times New Roman" w:eastAsia="Times New Roman" w:cs="Times New Roman"/>
          <w:sz w:val="24"/>
          <w:szCs w:val="24"/>
        </w:rPr>
        <w:t xml:space="preserve"> (53.9%)</w:t>
      </w:r>
      <w:r>
        <w:rPr>
          <w:rFonts w:hint="default" w:ascii="Times New Roman" w:hAnsi="Times New Roman" w:eastAsia="Times New Roman" w:cs="Times New Roman"/>
          <w:sz w:val="24"/>
          <w:szCs w:val="24"/>
          <w:lang w:val="en-US"/>
        </w:rPr>
        <w:t xml:space="preserve"> and the mean age were </w:t>
      </w:r>
      <w:r>
        <w:rPr>
          <w:rFonts w:hint="default" w:ascii="Times New Roman" w:hAnsi="Times New Roman" w:eastAsia="WarnockPro" w:cs="Times New Roman"/>
          <w:color w:val="000000"/>
          <w:kern w:val="0"/>
          <w:sz w:val="24"/>
          <w:szCs w:val="24"/>
          <w:lang w:val="en-US" w:eastAsia="zh-CN" w:bidi="ar"/>
        </w:rPr>
        <w:t>(32.7</w:t>
      </w:r>
      <w:r>
        <w:rPr>
          <w:rFonts w:hint="default" w:ascii="Times New Roman" w:hAnsi="Times New Roman" w:eastAsia="MTSY" w:cs="Times New Roman"/>
          <w:color w:val="000000"/>
          <w:kern w:val="0"/>
          <w:sz w:val="24"/>
          <w:szCs w:val="24"/>
          <w:lang w:val="en-US" w:eastAsia="zh-CN" w:bidi="ar"/>
        </w:rPr>
        <w:t>±</w:t>
      </w:r>
      <w:r>
        <w:rPr>
          <w:rFonts w:hint="default" w:ascii="Times New Roman" w:hAnsi="Times New Roman" w:eastAsia="WarnockPro" w:cs="Times New Roman"/>
          <w:color w:val="000000"/>
          <w:kern w:val="0"/>
          <w:sz w:val="24"/>
          <w:szCs w:val="24"/>
          <w:lang w:val="en-US" w:eastAsia="zh-CN" w:bidi="ar"/>
        </w:rPr>
        <w:t>6.6)</w:t>
      </w:r>
    </w:p>
    <w:p w14:paraId="221B9A83">
      <w:pPr>
        <w:spacing w:line="360" w:lineRule="auto"/>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and most them were </w:t>
      </w:r>
      <w:r>
        <w:rPr>
          <w:rFonts w:ascii="Times New Roman" w:hAnsi="Times New Roman" w:eastAsia="Times New Roman" w:cs="Times New Roman"/>
          <w:bCs/>
          <w:sz w:val="24"/>
          <w:szCs w:val="24"/>
        </w:rPr>
        <w:t>married</w:t>
      </w:r>
      <w:r>
        <w:rPr>
          <w:rFonts w:ascii="Times New Roman" w:hAnsi="Times New Roman" w:eastAsia="Times New Roman" w:cs="Times New Roman"/>
          <w:sz w:val="24"/>
          <w:szCs w:val="24"/>
        </w:rPr>
        <w:t xml:space="preserve"> (94.6%). </w:t>
      </w:r>
      <w:r>
        <w:rPr>
          <w:rFonts w:hint="default" w:ascii="Times New Roman" w:hAnsi="Times New Roman" w:eastAsia="Times New Roman" w:cs="Times New Roman"/>
          <w:sz w:val="24"/>
          <w:szCs w:val="24"/>
          <w:lang w:val="en-US"/>
        </w:rPr>
        <w:t xml:space="preserve"> </w:t>
      </w:r>
      <w:r>
        <w:rPr>
          <w:rFonts w:ascii="Times New Roman" w:hAnsi="Times New Roman" w:eastAsia="Times New Roman" w:cs="Times New Roman"/>
          <w:sz w:val="24"/>
          <w:szCs w:val="24"/>
        </w:rPr>
        <w:t xml:space="preserve">In terms of residence, a large proportion lived in </w:t>
      </w:r>
      <w:r>
        <w:rPr>
          <w:rFonts w:ascii="Times New Roman" w:hAnsi="Times New Roman" w:eastAsia="Times New Roman" w:cs="Times New Roman"/>
          <w:bCs/>
          <w:sz w:val="24"/>
          <w:szCs w:val="24"/>
        </w:rPr>
        <w:t>urban areas</w:t>
      </w:r>
      <w:r>
        <w:rPr>
          <w:rFonts w:ascii="Times New Roman" w:hAnsi="Times New Roman" w:eastAsia="Times New Roman" w:cs="Times New Roman"/>
          <w:sz w:val="24"/>
          <w:szCs w:val="24"/>
        </w:rPr>
        <w:t xml:space="preserve"> (78.7%). Regarding educational level, the highest proportion had completed </w:t>
      </w:r>
      <w:r>
        <w:rPr>
          <w:rFonts w:ascii="Times New Roman" w:hAnsi="Times New Roman" w:eastAsia="Times New Roman" w:cs="Times New Roman"/>
          <w:bCs/>
          <w:sz w:val="24"/>
          <w:szCs w:val="24"/>
        </w:rPr>
        <w:t>secondary school (9–12)</w:t>
      </w:r>
      <w:r>
        <w:rPr>
          <w:rFonts w:ascii="Times New Roman" w:hAnsi="Times New Roman" w:eastAsia="Times New Roman" w:cs="Times New Roman"/>
          <w:sz w:val="24"/>
          <w:szCs w:val="24"/>
        </w:rPr>
        <w:t xml:space="preserve"> (30.8%), followed by those with </w:t>
      </w:r>
      <w:r>
        <w:rPr>
          <w:rFonts w:ascii="Times New Roman" w:hAnsi="Times New Roman" w:eastAsia="Times New Roman" w:cs="Times New Roman"/>
          <w:bCs/>
          <w:sz w:val="24"/>
          <w:szCs w:val="24"/>
        </w:rPr>
        <w:t>college and above education</w:t>
      </w:r>
      <w:r>
        <w:rPr>
          <w:rFonts w:ascii="Times New Roman" w:hAnsi="Times New Roman" w:eastAsia="Times New Roman" w:cs="Times New Roman"/>
          <w:sz w:val="24"/>
          <w:szCs w:val="24"/>
        </w:rPr>
        <w:t xml:space="preserve"> (26.9%). The most common occupation among mothers was being a </w:t>
      </w:r>
      <w:r>
        <w:rPr>
          <w:rFonts w:ascii="Times New Roman" w:hAnsi="Times New Roman" w:eastAsia="Times New Roman" w:cs="Times New Roman"/>
          <w:bCs/>
          <w:sz w:val="24"/>
          <w:szCs w:val="24"/>
        </w:rPr>
        <w:t>housewife</w:t>
      </w:r>
      <w:r>
        <w:rPr>
          <w:rFonts w:ascii="Times New Roman" w:hAnsi="Times New Roman" w:eastAsia="Times New Roman" w:cs="Times New Roman"/>
          <w:sz w:val="24"/>
          <w:szCs w:val="24"/>
        </w:rPr>
        <w:t xml:space="preserve"> (49.7%), followed by involvement in </w:t>
      </w:r>
      <w:r>
        <w:rPr>
          <w:rFonts w:ascii="Times New Roman" w:hAnsi="Times New Roman" w:eastAsia="Times New Roman" w:cs="Times New Roman"/>
          <w:bCs/>
          <w:sz w:val="24"/>
          <w:szCs w:val="24"/>
        </w:rPr>
        <w:t>private</w:t>
      </w:r>
      <w:r>
        <w:rPr>
          <w:rFonts w:ascii="Times New Roman" w:hAnsi="Times New Roman" w:eastAsia="Times New Roman" w:cs="Times New Roman"/>
          <w:b/>
          <w:bCs/>
          <w:sz w:val="24"/>
          <w:szCs w:val="24"/>
        </w:rPr>
        <w:t xml:space="preserve"> </w:t>
      </w:r>
      <w:r>
        <w:rPr>
          <w:rFonts w:ascii="Times New Roman" w:hAnsi="Times New Roman" w:eastAsia="Times New Roman" w:cs="Times New Roman"/>
          <w:bCs/>
          <w:sz w:val="24"/>
          <w:szCs w:val="24"/>
        </w:rPr>
        <w:t>business and trade</w:t>
      </w:r>
      <w:r>
        <w:rPr>
          <w:rFonts w:ascii="Times New Roman" w:hAnsi="Times New Roman" w:eastAsia="Times New Roman" w:cs="Times New Roman"/>
          <w:sz w:val="24"/>
          <w:szCs w:val="24"/>
        </w:rPr>
        <w:t xml:space="preserve"> (21.6%). </w:t>
      </w:r>
    </w:p>
    <w:p w14:paraId="22102EA8">
      <w:pPr>
        <w:spacing w:line="360" w:lineRule="auto"/>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In terms of monthly income, the largest group earned </w:t>
      </w:r>
      <w:r>
        <w:rPr>
          <w:rFonts w:ascii="Times New Roman" w:hAnsi="Times New Roman" w:eastAsia="Times New Roman" w:cs="Times New Roman"/>
          <w:bCs/>
          <w:sz w:val="24"/>
          <w:szCs w:val="24"/>
        </w:rPr>
        <w:t>5,001–7,000 birr</w:t>
      </w:r>
      <w:r>
        <w:rPr>
          <w:rFonts w:ascii="Times New Roman" w:hAnsi="Times New Roman" w:eastAsia="Times New Roman" w:cs="Times New Roman"/>
          <w:sz w:val="24"/>
          <w:szCs w:val="24"/>
        </w:rPr>
        <w:t xml:space="preserve"> (39.2%), followed by those earning </w:t>
      </w:r>
      <w:r>
        <w:rPr>
          <w:rFonts w:ascii="Times New Roman" w:hAnsi="Times New Roman" w:eastAsia="Times New Roman" w:cs="Times New Roman"/>
          <w:bCs/>
          <w:sz w:val="24"/>
          <w:szCs w:val="24"/>
        </w:rPr>
        <w:t>≤5,000 birr</w:t>
      </w:r>
      <w:r>
        <w:rPr>
          <w:rFonts w:ascii="Times New Roman" w:hAnsi="Times New Roman" w:eastAsia="Times New Roman" w:cs="Times New Roman"/>
          <w:sz w:val="24"/>
          <w:szCs w:val="24"/>
        </w:rPr>
        <w:t xml:space="preserve"> (28.4%). </w:t>
      </w:r>
    </w:p>
    <w:p w14:paraId="0E8060EE">
      <w:pPr>
        <w:spacing w:line="360" w:lineRule="auto"/>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predominant ethnicity was </w:t>
      </w:r>
      <w:r>
        <w:rPr>
          <w:rFonts w:ascii="Times New Roman" w:hAnsi="Times New Roman" w:eastAsia="Times New Roman" w:cs="Times New Roman"/>
          <w:bCs/>
          <w:sz w:val="24"/>
          <w:szCs w:val="24"/>
        </w:rPr>
        <w:t>Oromo</w:t>
      </w:r>
      <w:r>
        <w:rPr>
          <w:rFonts w:ascii="Times New Roman" w:hAnsi="Times New Roman" w:eastAsia="Times New Roman" w:cs="Times New Roman"/>
          <w:sz w:val="24"/>
          <w:szCs w:val="24"/>
        </w:rPr>
        <w:t xml:space="preserve"> (91.9%). The most commonly reported religion was </w:t>
      </w:r>
      <w:r>
        <w:rPr>
          <w:rFonts w:ascii="Times New Roman" w:hAnsi="Times New Roman" w:eastAsia="Times New Roman" w:cs="Times New Roman"/>
          <w:bCs/>
          <w:sz w:val="24"/>
          <w:szCs w:val="24"/>
        </w:rPr>
        <w:t>Orthodox Christianity</w:t>
      </w:r>
      <w:r>
        <w:rPr>
          <w:rFonts w:ascii="Times New Roman" w:hAnsi="Times New Roman" w:eastAsia="Times New Roman" w:cs="Times New Roman"/>
          <w:sz w:val="24"/>
          <w:szCs w:val="24"/>
        </w:rPr>
        <w:t xml:space="preserve"> (56.0%), followed by </w:t>
      </w:r>
      <w:r>
        <w:rPr>
          <w:rFonts w:ascii="Times New Roman" w:hAnsi="Times New Roman" w:eastAsia="Times New Roman" w:cs="Times New Roman"/>
          <w:bCs/>
          <w:sz w:val="24"/>
          <w:szCs w:val="24"/>
        </w:rPr>
        <w:t>Protestant</w:t>
      </w:r>
      <w:r>
        <w:rPr>
          <w:rFonts w:ascii="Times New Roman" w:hAnsi="Times New Roman" w:eastAsia="Times New Roman" w:cs="Times New Roman"/>
          <w:sz w:val="24"/>
          <w:szCs w:val="24"/>
        </w:rPr>
        <w:t xml:space="preserve"> (32.0%). </w:t>
      </w:r>
    </w:p>
    <w:p w14:paraId="5F696AB4">
      <w:pPr>
        <w:spacing w:line="360" w:lineRule="auto"/>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Most mothers reported having </w:t>
      </w:r>
      <w:r>
        <w:rPr>
          <w:rFonts w:ascii="Times New Roman" w:hAnsi="Times New Roman" w:eastAsia="Times New Roman" w:cs="Times New Roman"/>
          <w:bCs/>
          <w:sz w:val="24"/>
          <w:szCs w:val="24"/>
        </w:rPr>
        <w:t>1–2 living children</w:t>
      </w:r>
      <w:r>
        <w:rPr>
          <w:rFonts w:ascii="Times New Roman" w:hAnsi="Times New Roman" w:eastAsia="Times New Roman" w:cs="Times New Roman"/>
          <w:sz w:val="24"/>
          <w:szCs w:val="24"/>
        </w:rPr>
        <w:t xml:space="preserve"> (73.1%), and the majority of children included in the study were aged </w:t>
      </w:r>
      <w:r>
        <w:rPr>
          <w:rFonts w:ascii="Times New Roman" w:hAnsi="Times New Roman" w:eastAsia="Times New Roman" w:cs="Times New Roman"/>
          <w:bCs/>
          <w:sz w:val="24"/>
          <w:szCs w:val="24"/>
        </w:rPr>
        <w:t>6 months or younger</w:t>
      </w:r>
      <w:r>
        <w:rPr>
          <w:rFonts w:ascii="Times New Roman" w:hAnsi="Times New Roman" w:eastAsia="Times New Roman" w:cs="Times New Roman"/>
          <w:sz w:val="24"/>
          <w:szCs w:val="24"/>
        </w:rPr>
        <w:t xml:space="preserve"> (73.4%). Finally, </w:t>
      </w:r>
      <w:r>
        <w:rPr>
          <w:rFonts w:ascii="Times New Roman" w:hAnsi="Times New Roman" w:eastAsia="Times New Roman" w:cs="Times New Roman"/>
          <w:bCs/>
          <w:sz w:val="24"/>
          <w:szCs w:val="24"/>
        </w:rPr>
        <w:t>female children</w:t>
      </w:r>
      <w:r>
        <w:rPr>
          <w:rFonts w:ascii="Times New Roman" w:hAnsi="Times New Roman" w:eastAsia="Times New Roman" w:cs="Times New Roman"/>
          <w:sz w:val="24"/>
          <w:szCs w:val="24"/>
        </w:rPr>
        <w:t xml:space="preserve"> constituted the majority (61.7%) of the sample</w:t>
      </w:r>
      <w:r>
        <w:rPr>
          <w:rFonts w:hint="default" w:ascii="Times New Roman" w:hAnsi="Times New Roman" w:eastAsia="Times New Roman" w:cs="Times New Roman"/>
          <w:sz w:val="24"/>
          <w:szCs w:val="24"/>
          <w:lang w:val="en-US"/>
        </w:rPr>
        <w:t>.</w:t>
      </w:r>
      <w:r>
        <w:rPr>
          <w:rFonts w:ascii="Times New Roman" w:hAnsi="Times New Roman" w:eastAsia="Times New Roman" w:cs="Times New Roman"/>
          <w:sz w:val="24"/>
          <w:szCs w:val="24"/>
        </w:rPr>
        <w:t xml:space="preserve"> </w:t>
      </w:r>
    </w:p>
    <w:p w14:paraId="654639DB">
      <w:pPr>
        <w:spacing w:line="360" w:lineRule="auto"/>
        <w:contextualSpacing/>
        <w:rPr>
          <w:rFonts w:ascii="Times New Roman" w:hAnsi="Times New Roman" w:cs="Times New Roman"/>
          <w:b/>
          <w:sz w:val="24"/>
          <w:szCs w:val="24"/>
        </w:rPr>
      </w:pPr>
    </w:p>
    <w:p w14:paraId="57A84FF4">
      <w:pPr>
        <w:spacing w:after="200" w:line="276" w:lineRule="auto"/>
      </w:pPr>
      <w:bookmarkStart w:id="345" w:name="_Toc197884918"/>
    </w:p>
    <w:p w14:paraId="592AF346">
      <w:pPr>
        <w:spacing w:after="200" w:line="276" w:lineRule="auto"/>
      </w:pPr>
    </w:p>
    <w:p w14:paraId="292F5983">
      <w:pPr>
        <w:spacing w:after="200" w:line="276" w:lineRule="auto"/>
      </w:pPr>
    </w:p>
    <w:p w14:paraId="601845FE">
      <w:pPr>
        <w:spacing w:after="200" w:line="276" w:lineRule="auto"/>
      </w:pPr>
    </w:p>
    <w:p w14:paraId="74D982CE">
      <w:pPr>
        <w:spacing w:after="200" w:line="276" w:lineRule="auto"/>
      </w:pPr>
    </w:p>
    <w:p w14:paraId="4C448522">
      <w:pPr>
        <w:spacing w:after="200" w:line="276" w:lineRule="auto"/>
      </w:pPr>
    </w:p>
    <w:p w14:paraId="5E2EA7A7">
      <w:pPr>
        <w:spacing w:after="200" w:line="276" w:lineRule="auto"/>
      </w:pPr>
    </w:p>
    <w:p w14:paraId="5405C14E">
      <w:pPr>
        <w:spacing w:after="200" w:line="276" w:lineRule="auto"/>
      </w:pPr>
    </w:p>
    <w:p w14:paraId="6EA87519">
      <w:pPr>
        <w:spacing w:after="200" w:line="276" w:lineRule="auto"/>
      </w:pPr>
    </w:p>
    <w:p w14:paraId="3C189938">
      <w:pPr>
        <w:spacing w:after="200" w:line="276" w:lineRule="auto"/>
        <w:rPr>
          <w:b/>
          <w:bCs/>
          <w:color w:val="4F81BD" w:themeColor="accent1"/>
          <w:sz w:val="18"/>
          <w:szCs w:val="18"/>
          <w14:textFill>
            <w14:solidFill>
              <w14:schemeClr w14:val="accent1"/>
            </w14:solidFill>
          </w14:textFill>
        </w:rPr>
      </w:pPr>
      <w:r>
        <w:rPr>
          <w:rFonts w:ascii="Times New Roman" w:hAnsi="Times New Roman" w:cs="Times New Roman"/>
          <w:sz w:val="24"/>
          <w:szCs w:val="24"/>
        </w:rPr>
        <w:t xml:space="preserve">Table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Table \* ARABIC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r>
        <w:rPr>
          <w:rFonts w:ascii="Times New Roman" w:hAnsi="Times New Roman" w:cs="Times New Roman"/>
          <w:sz w:val="24"/>
          <w:szCs w:val="24"/>
        </w:rPr>
        <w:t>: Socio-demographic and Socio-economic characteristics of mothers who were attending public health facilities for immunization in Nekemte town 2025.</w:t>
      </w:r>
      <w:bookmarkEnd w:id="345"/>
    </w:p>
    <w:p w14:paraId="06E30722">
      <w:pPr>
        <w:rPr>
          <w:sz w:val="24"/>
          <w:szCs w:val="24"/>
        </w:rPr>
      </w:pPr>
    </w:p>
    <w:tbl>
      <w:tblPr>
        <w:tblStyle w:val="67"/>
        <w:tblW w:w="11250" w:type="dxa"/>
        <w:tblInd w:w="-7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2"/>
        <w:gridCol w:w="3195"/>
        <w:gridCol w:w="2430"/>
        <w:gridCol w:w="2813"/>
      </w:tblGrid>
      <w:tr w14:paraId="0C3FF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2" w:type="dxa"/>
          </w:tcPr>
          <w:p w14:paraId="6CDF482B">
            <w:pPr>
              <w:rPr>
                <w:rFonts w:ascii="Times New Roman" w:hAnsi="Times New Roman" w:cs="Times New Roman" w:eastAsiaTheme="minorHAnsi"/>
                <w:b/>
                <w:sz w:val="24"/>
                <w:szCs w:val="24"/>
                <w:lang w:bidi="en-US"/>
              </w:rPr>
            </w:pPr>
            <w:r>
              <w:rPr>
                <w:rFonts w:ascii="Times New Roman" w:hAnsi="Times New Roman" w:cs="Times New Roman" w:eastAsiaTheme="minorHAnsi"/>
                <w:b/>
                <w:sz w:val="24"/>
                <w:szCs w:val="24"/>
                <w:lang w:bidi="en-US"/>
              </w:rPr>
              <w:t>Variable</w:t>
            </w:r>
          </w:p>
        </w:tc>
        <w:tc>
          <w:tcPr>
            <w:tcW w:w="3195" w:type="dxa"/>
          </w:tcPr>
          <w:p w14:paraId="3B3D907F">
            <w:pPr>
              <w:rPr>
                <w:rFonts w:ascii="Times New Roman" w:hAnsi="Times New Roman" w:cs="Times New Roman" w:eastAsiaTheme="minorHAnsi"/>
                <w:b/>
                <w:sz w:val="24"/>
                <w:szCs w:val="24"/>
                <w:lang w:bidi="en-US"/>
              </w:rPr>
            </w:pPr>
            <w:r>
              <w:rPr>
                <w:rFonts w:ascii="Times New Roman" w:hAnsi="Times New Roman" w:cs="Times New Roman" w:eastAsiaTheme="minorHAnsi"/>
                <w:b/>
                <w:sz w:val="24"/>
                <w:szCs w:val="24"/>
                <w:lang w:bidi="en-US"/>
              </w:rPr>
              <w:t>Categories</w:t>
            </w:r>
          </w:p>
        </w:tc>
        <w:tc>
          <w:tcPr>
            <w:tcW w:w="2430" w:type="dxa"/>
          </w:tcPr>
          <w:p w14:paraId="7D0151BF">
            <w:pPr>
              <w:rPr>
                <w:rFonts w:ascii="Times New Roman" w:hAnsi="Times New Roman" w:cs="Times New Roman" w:eastAsiaTheme="minorHAnsi"/>
                <w:b/>
                <w:sz w:val="24"/>
                <w:szCs w:val="24"/>
                <w:lang w:bidi="en-US"/>
              </w:rPr>
            </w:pPr>
            <w:r>
              <w:rPr>
                <w:rFonts w:ascii="Times New Roman" w:hAnsi="Times New Roman" w:cs="Times New Roman" w:eastAsiaTheme="minorHAnsi"/>
                <w:b/>
                <w:sz w:val="24"/>
                <w:szCs w:val="24"/>
                <w:lang w:bidi="en-US"/>
              </w:rPr>
              <w:t>Frequency (n)</w:t>
            </w:r>
          </w:p>
        </w:tc>
        <w:tc>
          <w:tcPr>
            <w:tcW w:w="2813" w:type="dxa"/>
          </w:tcPr>
          <w:p w14:paraId="59D02E29">
            <w:pPr>
              <w:rPr>
                <w:rFonts w:ascii="Times New Roman" w:hAnsi="Times New Roman" w:cs="Times New Roman" w:eastAsiaTheme="minorHAnsi"/>
                <w:b/>
                <w:sz w:val="24"/>
                <w:szCs w:val="24"/>
                <w:lang w:bidi="en-US"/>
              </w:rPr>
            </w:pPr>
            <w:r>
              <w:rPr>
                <w:rFonts w:ascii="Times New Roman" w:hAnsi="Times New Roman" w:cs="Times New Roman" w:eastAsiaTheme="minorHAnsi"/>
                <w:b/>
                <w:sz w:val="24"/>
                <w:szCs w:val="24"/>
                <w:lang w:bidi="en-US"/>
              </w:rPr>
              <w:t>Percentage (%)</w:t>
            </w:r>
          </w:p>
        </w:tc>
      </w:tr>
      <w:tr w14:paraId="716FC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2" w:type="dxa"/>
            <w:vMerge w:val="restart"/>
          </w:tcPr>
          <w:p w14:paraId="53ECCD35">
            <w:pPr>
              <w:rPr>
                <w:rFonts w:ascii="Times New Roman" w:hAnsi="Times New Roman" w:cs="Times New Roman" w:eastAsiaTheme="minorHAnsi"/>
                <w:sz w:val="24"/>
                <w:szCs w:val="24"/>
                <w:lang w:bidi="en-US"/>
              </w:rPr>
            </w:pPr>
            <w:r>
              <w:rPr>
                <w:rFonts w:ascii="Times New Roman" w:hAnsi="Times New Roman" w:cs="Times New Roman" w:eastAsiaTheme="minorHAnsi"/>
                <w:sz w:val="24"/>
                <w:szCs w:val="24"/>
                <w:lang w:bidi="en-US"/>
              </w:rPr>
              <w:t xml:space="preserve">Age of the mother  </w:t>
            </w:r>
          </w:p>
        </w:tc>
        <w:tc>
          <w:tcPr>
            <w:tcW w:w="3195" w:type="dxa"/>
          </w:tcPr>
          <w:p w14:paraId="31F35F9D">
            <w:pPr>
              <w:rPr>
                <w:rFonts w:ascii="Times New Roman" w:hAnsi="Times New Roman" w:cs="Times New Roman" w:eastAsiaTheme="minorHAnsi"/>
                <w:sz w:val="24"/>
                <w:szCs w:val="24"/>
                <w:lang w:bidi="en-US"/>
              </w:rPr>
            </w:pPr>
            <w:r>
              <w:rPr>
                <w:rFonts w:ascii="Times New Roman" w:hAnsi="Times New Roman" w:cs="Times New Roman" w:eastAsiaTheme="minorHAnsi"/>
                <w:sz w:val="24"/>
                <w:szCs w:val="24"/>
                <w:lang w:bidi="en-US"/>
              </w:rPr>
              <w:t>18-28 years</w:t>
            </w:r>
          </w:p>
        </w:tc>
        <w:tc>
          <w:tcPr>
            <w:tcW w:w="2430" w:type="dxa"/>
          </w:tcPr>
          <w:p w14:paraId="14FBF89A">
            <w:pPr>
              <w:rPr>
                <w:rFonts w:ascii="Times New Roman" w:hAnsi="Times New Roman" w:cs="Times New Roman" w:eastAsiaTheme="minorHAnsi"/>
                <w:sz w:val="24"/>
                <w:szCs w:val="24"/>
                <w:lang w:bidi="en-US"/>
              </w:rPr>
            </w:pPr>
            <w:r>
              <w:rPr>
                <w:rFonts w:ascii="Times New Roman" w:hAnsi="Times New Roman" w:cs="Times New Roman" w:eastAsiaTheme="minorHAnsi"/>
                <w:sz w:val="24"/>
                <w:szCs w:val="24"/>
                <w:lang w:bidi="en-US"/>
              </w:rPr>
              <w:t>154</w:t>
            </w:r>
          </w:p>
        </w:tc>
        <w:tc>
          <w:tcPr>
            <w:tcW w:w="2813" w:type="dxa"/>
          </w:tcPr>
          <w:p w14:paraId="57EBFC27">
            <w:pPr>
              <w:rPr>
                <w:rFonts w:ascii="Times New Roman" w:hAnsi="Times New Roman" w:cs="Times New Roman" w:eastAsiaTheme="minorHAnsi"/>
                <w:sz w:val="24"/>
                <w:szCs w:val="24"/>
                <w:lang w:bidi="en-US"/>
              </w:rPr>
            </w:pPr>
            <w:r>
              <w:rPr>
                <w:rFonts w:ascii="Times New Roman" w:hAnsi="Times New Roman" w:cs="Times New Roman" w:eastAsiaTheme="minorHAnsi"/>
                <w:sz w:val="24"/>
                <w:szCs w:val="24"/>
                <w:lang w:bidi="en-US"/>
              </w:rPr>
              <w:t>46.1</w:t>
            </w:r>
          </w:p>
        </w:tc>
      </w:tr>
      <w:tr w14:paraId="0E88D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2812" w:type="dxa"/>
            <w:vMerge w:val="continue"/>
          </w:tcPr>
          <w:p w14:paraId="5DC34AD5">
            <w:pPr>
              <w:rPr>
                <w:rFonts w:ascii="Times New Roman" w:hAnsi="Times New Roman" w:cs="Times New Roman" w:eastAsiaTheme="minorHAnsi"/>
                <w:b/>
                <w:sz w:val="24"/>
                <w:szCs w:val="24"/>
                <w:lang w:bidi="en-US"/>
              </w:rPr>
            </w:pPr>
          </w:p>
        </w:tc>
        <w:tc>
          <w:tcPr>
            <w:tcW w:w="3195" w:type="dxa"/>
          </w:tcPr>
          <w:p w14:paraId="5DC9F4C2">
            <w:pPr>
              <w:rPr>
                <w:rFonts w:ascii="Times New Roman" w:hAnsi="Times New Roman" w:cs="Times New Roman" w:eastAsiaTheme="minorHAnsi"/>
                <w:sz w:val="24"/>
                <w:szCs w:val="24"/>
                <w:lang w:bidi="en-US"/>
              </w:rPr>
            </w:pPr>
            <w:r>
              <w:rPr>
                <w:rFonts w:ascii="Times New Roman" w:hAnsi="Times New Roman" w:cs="Times New Roman" w:eastAsiaTheme="minorHAnsi"/>
                <w:sz w:val="24"/>
                <w:szCs w:val="24"/>
                <w:lang w:bidi="en-US"/>
              </w:rPr>
              <w:t>29-39 years</w:t>
            </w:r>
          </w:p>
        </w:tc>
        <w:tc>
          <w:tcPr>
            <w:tcW w:w="2430" w:type="dxa"/>
          </w:tcPr>
          <w:p w14:paraId="4B29293D">
            <w:pPr>
              <w:rPr>
                <w:rFonts w:ascii="Times New Roman" w:hAnsi="Times New Roman" w:cs="Times New Roman" w:eastAsiaTheme="minorHAnsi"/>
                <w:sz w:val="24"/>
                <w:szCs w:val="24"/>
                <w:lang w:bidi="en-US"/>
              </w:rPr>
            </w:pPr>
            <w:r>
              <w:rPr>
                <w:rFonts w:ascii="Times New Roman" w:hAnsi="Times New Roman" w:cs="Times New Roman" w:eastAsiaTheme="minorHAnsi"/>
                <w:sz w:val="24"/>
                <w:szCs w:val="24"/>
                <w:lang w:bidi="en-US"/>
              </w:rPr>
              <w:t>180</w:t>
            </w:r>
          </w:p>
        </w:tc>
        <w:tc>
          <w:tcPr>
            <w:tcW w:w="2813" w:type="dxa"/>
          </w:tcPr>
          <w:p w14:paraId="05E4C26D">
            <w:pPr>
              <w:rPr>
                <w:rFonts w:ascii="Times New Roman" w:hAnsi="Times New Roman" w:cs="Times New Roman" w:eastAsiaTheme="minorHAnsi"/>
                <w:sz w:val="24"/>
                <w:szCs w:val="24"/>
                <w:lang w:bidi="en-US"/>
              </w:rPr>
            </w:pPr>
            <w:r>
              <w:rPr>
                <w:rFonts w:ascii="Times New Roman" w:hAnsi="Times New Roman" w:cs="Times New Roman" w:eastAsiaTheme="minorHAnsi"/>
                <w:sz w:val="24"/>
                <w:szCs w:val="24"/>
                <w:lang w:bidi="en-US"/>
              </w:rPr>
              <w:t>53.9</w:t>
            </w:r>
          </w:p>
        </w:tc>
      </w:tr>
      <w:tr w14:paraId="03309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2812" w:type="dxa"/>
            <w:vMerge w:val="restart"/>
          </w:tcPr>
          <w:p w14:paraId="2C30BBA5">
            <w:pPr>
              <w:rPr>
                <w:rFonts w:ascii="Times New Roman" w:hAnsi="Times New Roman" w:cs="Times New Roman" w:eastAsiaTheme="minorHAnsi"/>
                <w:b/>
                <w:sz w:val="24"/>
                <w:szCs w:val="24"/>
                <w:lang w:bidi="en-US"/>
              </w:rPr>
            </w:pPr>
            <w:r>
              <w:rPr>
                <w:rFonts w:ascii="Times New Roman" w:hAnsi="Times New Roman"/>
                <w:bCs/>
                <w:color w:val="000000"/>
                <w:sz w:val="24"/>
                <w:szCs w:val="24"/>
                <w:lang w:bidi="en-US"/>
              </w:rPr>
              <w:t>Marital Status</w:t>
            </w:r>
          </w:p>
        </w:tc>
        <w:tc>
          <w:tcPr>
            <w:tcW w:w="3195" w:type="dxa"/>
            <w:vAlign w:val="center"/>
          </w:tcPr>
          <w:p w14:paraId="3AFE3450">
            <w:pPr>
              <w:rPr>
                <w:rFonts w:ascii="Times New Roman" w:hAnsi="Times New Roman" w:cs="Times New Roman" w:eastAsiaTheme="minorHAnsi"/>
                <w:sz w:val="24"/>
                <w:szCs w:val="24"/>
                <w:lang w:bidi="en-US"/>
              </w:rPr>
            </w:pPr>
            <w:r>
              <w:rPr>
                <w:rFonts w:ascii="Times New Roman" w:hAnsi="Times New Roman" w:cs="Times New Roman" w:eastAsiaTheme="minorHAnsi"/>
                <w:color w:val="000000"/>
                <w:sz w:val="24"/>
                <w:szCs w:val="24"/>
                <w:lang w:bidi="en-US"/>
              </w:rPr>
              <w:t>Single</w:t>
            </w:r>
          </w:p>
        </w:tc>
        <w:tc>
          <w:tcPr>
            <w:tcW w:w="2430" w:type="dxa"/>
            <w:vAlign w:val="center"/>
          </w:tcPr>
          <w:p w14:paraId="1BF1F278">
            <w:pPr>
              <w:jc w:val="both"/>
              <w:rPr>
                <w:rFonts w:ascii="Times New Roman" w:hAnsi="Times New Roman" w:cs="Times New Roman" w:eastAsiaTheme="minorHAnsi"/>
                <w:sz w:val="24"/>
                <w:szCs w:val="24"/>
                <w:lang w:bidi="en-US"/>
              </w:rPr>
            </w:pPr>
            <w:r>
              <w:rPr>
                <w:rFonts w:ascii="Times New Roman" w:hAnsi="Times New Roman" w:cs="Times New Roman" w:eastAsiaTheme="minorHAnsi"/>
                <w:color w:val="000000"/>
                <w:sz w:val="24"/>
                <w:szCs w:val="24"/>
                <w:lang w:bidi="en-US"/>
              </w:rPr>
              <w:t>18</w:t>
            </w:r>
          </w:p>
        </w:tc>
        <w:tc>
          <w:tcPr>
            <w:tcW w:w="2813" w:type="dxa"/>
            <w:vAlign w:val="center"/>
          </w:tcPr>
          <w:p w14:paraId="662DE51B">
            <w:pPr>
              <w:jc w:val="both"/>
              <w:rPr>
                <w:rFonts w:ascii="Times New Roman" w:hAnsi="Times New Roman" w:cs="Times New Roman" w:eastAsiaTheme="minorHAnsi"/>
                <w:sz w:val="24"/>
                <w:szCs w:val="24"/>
                <w:lang w:bidi="en-US"/>
              </w:rPr>
            </w:pPr>
            <w:r>
              <w:rPr>
                <w:rFonts w:ascii="Times New Roman" w:hAnsi="Times New Roman" w:cs="Times New Roman" w:eastAsiaTheme="minorHAnsi"/>
                <w:color w:val="000000"/>
                <w:sz w:val="24"/>
                <w:szCs w:val="24"/>
                <w:lang w:bidi="en-US"/>
              </w:rPr>
              <w:t>5.4</w:t>
            </w:r>
          </w:p>
        </w:tc>
      </w:tr>
      <w:tr w14:paraId="310E3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2812" w:type="dxa"/>
            <w:vMerge w:val="continue"/>
          </w:tcPr>
          <w:p w14:paraId="2F626F1E">
            <w:pPr>
              <w:rPr>
                <w:rFonts w:ascii="Times New Roman" w:hAnsi="Times New Roman" w:cs="Times New Roman" w:eastAsiaTheme="minorHAnsi"/>
                <w:b/>
                <w:sz w:val="24"/>
                <w:szCs w:val="24"/>
                <w:lang w:bidi="en-US"/>
              </w:rPr>
            </w:pPr>
          </w:p>
        </w:tc>
        <w:tc>
          <w:tcPr>
            <w:tcW w:w="3195" w:type="dxa"/>
            <w:vAlign w:val="center"/>
          </w:tcPr>
          <w:p w14:paraId="5BF377F4">
            <w:pPr>
              <w:rPr>
                <w:rFonts w:ascii="Times New Roman" w:hAnsi="Times New Roman" w:cs="Times New Roman" w:eastAsiaTheme="minorHAnsi"/>
                <w:sz w:val="24"/>
                <w:szCs w:val="24"/>
                <w:lang w:bidi="en-US"/>
              </w:rPr>
            </w:pPr>
            <w:r>
              <w:rPr>
                <w:rFonts w:ascii="Times New Roman" w:hAnsi="Times New Roman" w:cs="Times New Roman" w:eastAsiaTheme="minorHAnsi"/>
                <w:color w:val="000000"/>
                <w:sz w:val="24"/>
                <w:szCs w:val="24"/>
                <w:lang w:bidi="en-US"/>
              </w:rPr>
              <w:t>Married</w:t>
            </w:r>
          </w:p>
        </w:tc>
        <w:tc>
          <w:tcPr>
            <w:tcW w:w="2430" w:type="dxa"/>
            <w:vAlign w:val="center"/>
          </w:tcPr>
          <w:p w14:paraId="150C4D9F">
            <w:pPr>
              <w:rPr>
                <w:rFonts w:ascii="Times New Roman" w:hAnsi="Times New Roman" w:cs="Times New Roman" w:eastAsiaTheme="minorHAnsi"/>
                <w:sz w:val="24"/>
                <w:szCs w:val="24"/>
                <w:lang w:bidi="en-US"/>
              </w:rPr>
            </w:pPr>
            <w:r>
              <w:rPr>
                <w:rFonts w:ascii="Times New Roman" w:hAnsi="Times New Roman" w:cs="Times New Roman" w:eastAsiaTheme="minorHAnsi"/>
                <w:color w:val="000000"/>
                <w:sz w:val="24"/>
                <w:szCs w:val="24"/>
                <w:lang w:bidi="en-US"/>
              </w:rPr>
              <w:t>316</w:t>
            </w:r>
          </w:p>
        </w:tc>
        <w:tc>
          <w:tcPr>
            <w:tcW w:w="2813" w:type="dxa"/>
            <w:vAlign w:val="center"/>
          </w:tcPr>
          <w:p w14:paraId="431BA34A">
            <w:pPr>
              <w:rPr>
                <w:rFonts w:ascii="Times New Roman" w:hAnsi="Times New Roman" w:cs="Times New Roman" w:eastAsiaTheme="minorHAnsi"/>
                <w:sz w:val="24"/>
                <w:szCs w:val="24"/>
                <w:lang w:bidi="en-US"/>
              </w:rPr>
            </w:pPr>
            <w:r>
              <w:rPr>
                <w:rFonts w:ascii="Times New Roman" w:hAnsi="Times New Roman" w:cs="Times New Roman" w:eastAsiaTheme="minorHAnsi"/>
                <w:color w:val="000000"/>
                <w:sz w:val="24"/>
                <w:szCs w:val="24"/>
                <w:lang w:bidi="en-US"/>
              </w:rPr>
              <w:t>94.6</w:t>
            </w:r>
          </w:p>
        </w:tc>
      </w:tr>
      <w:tr w14:paraId="5588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2" w:type="dxa"/>
            <w:vMerge w:val="restart"/>
          </w:tcPr>
          <w:p w14:paraId="05AE6527">
            <w:pPr>
              <w:rPr>
                <w:rFonts w:ascii="Times New Roman" w:hAnsi="Times New Roman" w:cs="Times New Roman" w:eastAsiaTheme="minorHAnsi"/>
                <w:sz w:val="24"/>
                <w:szCs w:val="24"/>
                <w:lang w:bidi="en-US"/>
              </w:rPr>
            </w:pPr>
            <w:r>
              <w:rPr>
                <w:rFonts w:ascii="Times New Roman" w:hAnsi="Times New Roman" w:cs="Times New Roman" w:eastAsiaTheme="minorHAnsi"/>
                <w:bCs/>
                <w:color w:val="000000"/>
                <w:sz w:val="24"/>
                <w:szCs w:val="24"/>
                <w:lang w:bidi="en-US"/>
              </w:rPr>
              <w:t>Residence</w:t>
            </w:r>
          </w:p>
          <w:p w14:paraId="098DCBF8">
            <w:pPr>
              <w:rPr>
                <w:rFonts w:ascii="Times New Roman" w:hAnsi="Times New Roman" w:cs="Times New Roman" w:eastAsiaTheme="minorHAnsi"/>
                <w:sz w:val="24"/>
                <w:szCs w:val="24"/>
                <w:lang w:bidi="en-US"/>
              </w:rPr>
            </w:pPr>
          </w:p>
        </w:tc>
        <w:tc>
          <w:tcPr>
            <w:tcW w:w="3195" w:type="dxa"/>
            <w:vAlign w:val="center"/>
          </w:tcPr>
          <w:p w14:paraId="052E21C3">
            <w:pPr>
              <w:rPr>
                <w:rFonts w:ascii="Times New Roman" w:hAnsi="Times New Roman" w:cs="Times New Roman" w:eastAsiaTheme="minorHAnsi"/>
                <w:sz w:val="24"/>
                <w:szCs w:val="24"/>
                <w:lang w:bidi="en-US"/>
              </w:rPr>
            </w:pPr>
            <w:r>
              <w:rPr>
                <w:rFonts w:ascii="Times New Roman" w:hAnsi="Times New Roman" w:cs="Times New Roman" w:eastAsiaTheme="minorHAnsi"/>
                <w:color w:val="000000"/>
                <w:sz w:val="24"/>
                <w:szCs w:val="24"/>
                <w:lang w:bidi="en-US"/>
              </w:rPr>
              <w:t>Urban</w:t>
            </w:r>
          </w:p>
        </w:tc>
        <w:tc>
          <w:tcPr>
            <w:tcW w:w="2430" w:type="dxa"/>
            <w:vAlign w:val="center"/>
          </w:tcPr>
          <w:p w14:paraId="27E42CBA">
            <w:pPr>
              <w:rPr>
                <w:rFonts w:ascii="Times New Roman" w:hAnsi="Times New Roman" w:cs="Times New Roman" w:eastAsiaTheme="minorHAnsi"/>
                <w:sz w:val="24"/>
                <w:szCs w:val="24"/>
                <w:lang w:bidi="en-US"/>
              </w:rPr>
            </w:pPr>
            <w:r>
              <w:rPr>
                <w:rFonts w:ascii="Times New Roman" w:hAnsi="Times New Roman" w:cs="Times New Roman" w:eastAsiaTheme="minorHAnsi"/>
                <w:color w:val="000000"/>
                <w:sz w:val="24"/>
                <w:szCs w:val="24"/>
                <w:lang w:bidi="en-US"/>
              </w:rPr>
              <w:t>263</w:t>
            </w:r>
          </w:p>
        </w:tc>
        <w:tc>
          <w:tcPr>
            <w:tcW w:w="2813" w:type="dxa"/>
            <w:vAlign w:val="center"/>
          </w:tcPr>
          <w:p w14:paraId="0EC890E7">
            <w:pPr>
              <w:rPr>
                <w:rFonts w:ascii="Times New Roman" w:hAnsi="Times New Roman" w:cs="Times New Roman" w:eastAsiaTheme="minorHAnsi"/>
                <w:sz w:val="24"/>
                <w:szCs w:val="24"/>
                <w:lang w:bidi="en-US"/>
              </w:rPr>
            </w:pPr>
            <w:r>
              <w:rPr>
                <w:rFonts w:ascii="Times New Roman" w:hAnsi="Times New Roman" w:cs="Times New Roman" w:eastAsiaTheme="minorHAnsi"/>
                <w:color w:val="000000"/>
                <w:sz w:val="24"/>
                <w:szCs w:val="24"/>
                <w:lang w:bidi="en-US"/>
              </w:rPr>
              <w:t>78.7</w:t>
            </w:r>
          </w:p>
        </w:tc>
      </w:tr>
      <w:tr w14:paraId="7A6FC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2" w:type="dxa"/>
            <w:vMerge w:val="continue"/>
          </w:tcPr>
          <w:p w14:paraId="361F783F">
            <w:pPr>
              <w:rPr>
                <w:rFonts w:ascii="Times New Roman" w:hAnsi="Times New Roman" w:cs="Times New Roman" w:eastAsiaTheme="minorHAnsi"/>
                <w:b/>
                <w:sz w:val="24"/>
                <w:szCs w:val="24"/>
                <w:lang w:bidi="en-US"/>
              </w:rPr>
            </w:pPr>
          </w:p>
        </w:tc>
        <w:tc>
          <w:tcPr>
            <w:tcW w:w="3195" w:type="dxa"/>
            <w:vAlign w:val="center"/>
          </w:tcPr>
          <w:p w14:paraId="7FDD52FE">
            <w:pPr>
              <w:rPr>
                <w:rFonts w:ascii="Times New Roman" w:hAnsi="Times New Roman" w:cs="Times New Roman" w:eastAsiaTheme="minorHAnsi"/>
                <w:sz w:val="24"/>
                <w:szCs w:val="24"/>
                <w:lang w:bidi="en-US"/>
              </w:rPr>
            </w:pPr>
            <w:r>
              <w:rPr>
                <w:rFonts w:ascii="Times New Roman" w:hAnsi="Times New Roman" w:cs="Times New Roman" w:eastAsiaTheme="minorHAnsi"/>
                <w:color w:val="000000"/>
                <w:sz w:val="24"/>
                <w:szCs w:val="24"/>
                <w:lang w:bidi="en-US"/>
              </w:rPr>
              <w:t>Rural</w:t>
            </w:r>
          </w:p>
        </w:tc>
        <w:tc>
          <w:tcPr>
            <w:tcW w:w="2430" w:type="dxa"/>
            <w:vAlign w:val="center"/>
          </w:tcPr>
          <w:p w14:paraId="7C7895C4">
            <w:pPr>
              <w:rPr>
                <w:rFonts w:ascii="Times New Roman" w:hAnsi="Times New Roman" w:cs="Times New Roman" w:eastAsiaTheme="minorHAnsi"/>
                <w:sz w:val="24"/>
                <w:szCs w:val="24"/>
                <w:lang w:bidi="en-US"/>
              </w:rPr>
            </w:pPr>
            <w:r>
              <w:rPr>
                <w:rFonts w:ascii="Times New Roman" w:hAnsi="Times New Roman" w:cs="Times New Roman" w:eastAsiaTheme="minorHAnsi"/>
                <w:color w:val="000000"/>
                <w:sz w:val="24"/>
                <w:szCs w:val="24"/>
                <w:lang w:bidi="en-US"/>
              </w:rPr>
              <w:t>71</w:t>
            </w:r>
          </w:p>
        </w:tc>
        <w:tc>
          <w:tcPr>
            <w:tcW w:w="2813" w:type="dxa"/>
            <w:vAlign w:val="center"/>
          </w:tcPr>
          <w:p w14:paraId="3CF747E2">
            <w:pPr>
              <w:rPr>
                <w:rFonts w:ascii="Times New Roman" w:hAnsi="Times New Roman" w:cs="Times New Roman" w:eastAsiaTheme="minorHAnsi"/>
                <w:sz w:val="24"/>
                <w:szCs w:val="24"/>
                <w:lang w:bidi="en-US"/>
              </w:rPr>
            </w:pPr>
            <w:r>
              <w:rPr>
                <w:rFonts w:ascii="Times New Roman" w:hAnsi="Times New Roman" w:cs="Times New Roman" w:eastAsiaTheme="minorHAnsi"/>
                <w:color w:val="000000"/>
                <w:sz w:val="24"/>
                <w:szCs w:val="24"/>
                <w:lang w:bidi="en-US"/>
              </w:rPr>
              <w:t>21.3</w:t>
            </w:r>
          </w:p>
        </w:tc>
      </w:tr>
      <w:tr w14:paraId="21FE4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2812" w:type="dxa"/>
            <w:vMerge w:val="restart"/>
          </w:tcPr>
          <w:p w14:paraId="6A628901">
            <w:pPr>
              <w:rPr>
                <w:rFonts w:ascii="Times New Roman" w:hAnsi="Times New Roman" w:cs="Times New Roman" w:eastAsiaTheme="minorHAnsi"/>
                <w:sz w:val="24"/>
                <w:szCs w:val="24"/>
                <w:lang w:bidi="en-US"/>
              </w:rPr>
            </w:pPr>
          </w:p>
          <w:p w14:paraId="4D67C851">
            <w:pPr>
              <w:rPr>
                <w:rFonts w:ascii="Times New Roman" w:hAnsi="Times New Roman" w:cs="Times New Roman" w:eastAsiaTheme="minorHAnsi"/>
                <w:sz w:val="24"/>
                <w:szCs w:val="24"/>
                <w:lang w:bidi="en-US"/>
              </w:rPr>
            </w:pPr>
            <w:r>
              <w:rPr>
                <w:rFonts w:ascii="Times New Roman" w:hAnsi="Times New Roman" w:cs="Times New Roman" w:eastAsiaTheme="minorHAnsi"/>
                <w:bCs/>
                <w:color w:val="000000"/>
                <w:sz w:val="24"/>
                <w:szCs w:val="24"/>
                <w:lang w:bidi="en-US"/>
              </w:rPr>
              <w:t xml:space="preserve">Educational Level </w:t>
            </w:r>
          </w:p>
        </w:tc>
        <w:tc>
          <w:tcPr>
            <w:tcW w:w="3195" w:type="dxa"/>
            <w:vAlign w:val="center"/>
          </w:tcPr>
          <w:p w14:paraId="63EFAC4A">
            <w:pPr>
              <w:autoSpaceDE w:val="0"/>
              <w:autoSpaceDN w:val="0"/>
              <w:adjustRightInd w:val="0"/>
              <w:spacing w:line="320" w:lineRule="atLeast"/>
              <w:ind w:right="60"/>
              <w:rPr>
                <w:rFonts w:hint="default" w:ascii="Times New Roman" w:hAnsi="Times New Roman" w:cs="Times New Roman" w:eastAsiaTheme="minorHAnsi"/>
                <w:color w:val="000000"/>
                <w:sz w:val="24"/>
                <w:szCs w:val="24"/>
                <w:lang w:val="en-US" w:bidi="en-US"/>
              </w:rPr>
            </w:pPr>
            <w:r>
              <w:rPr>
                <w:rFonts w:hint="default" w:ascii="Times New Roman" w:hAnsi="Times New Roman" w:cs="Times New Roman" w:eastAsiaTheme="minorHAnsi"/>
                <w:color w:val="000000"/>
                <w:sz w:val="24"/>
                <w:szCs w:val="24"/>
                <w:lang w:val="en-US" w:bidi="en-US"/>
              </w:rPr>
              <w:t>Unable to read and write</w:t>
            </w:r>
          </w:p>
        </w:tc>
        <w:tc>
          <w:tcPr>
            <w:tcW w:w="2430" w:type="dxa"/>
            <w:vAlign w:val="center"/>
          </w:tcPr>
          <w:p w14:paraId="1BEA9F88">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61</w:t>
            </w:r>
          </w:p>
        </w:tc>
        <w:tc>
          <w:tcPr>
            <w:tcW w:w="2813" w:type="dxa"/>
            <w:vAlign w:val="center"/>
          </w:tcPr>
          <w:p w14:paraId="7AC96148">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18.3</w:t>
            </w:r>
          </w:p>
        </w:tc>
      </w:tr>
      <w:tr w14:paraId="154B9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2812" w:type="dxa"/>
            <w:vMerge w:val="continue"/>
          </w:tcPr>
          <w:p w14:paraId="0ACB4B98">
            <w:pPr>
              <w:rPr>
                <w:rFonts w:ascii="Times New Roman" w:hAnsi="Times New Roman" w:cs="Times New Roman" w:eastAsiaTheme="minorHAnsi"/>
                <w:sz w:val="24"/>
                <w:szCs w:val="24"/>
                <w:lang w:bidi="en-US"/>
              </w:rPr>
            </w:pPr>
          </w:p>
        </w:tc>
        <w:tc>
          <w:tcPr>
            <w:tcW w:w="3195" w:type="dxa"/>
            <w:vAlign w:val="center"/>
          </w:tcPr>
          <w:p w14:paraId="291B85C6">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primary school 1-8</w:t>
            </w:r>
          </w:p>
        </w:tc>
        <w:tc>
          <w:tcPr>
            <w:tcW w:w="2430" w:type="dxa"/>
            <w:vAlign w:val="center"/>
          </w:tcPr>
          <w:p w14:paraId="630E8BBB">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80</w:t>
            </w:r>
          </w:p>
        </w:tc>
        <w:tc>
          <w:tcPr>
            <w:tcW w:w="2813" w:type="dxa"/>
            <w:vAlign w:val="center"/>
          </w:tcPr>
          <w:p w14:paraId="11D876BB">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24.0</w:t>
            </w:r>
          </w:p>
        </w:tc>
      </w:tr>
      <w:tr w14:paraId="39929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2812" w:type="dxa"/>
            <w:vMerge w:val="continue"/>
          </w:tcPr>
          <w:p w14:paraId="2A150C81">
            <w:pPr>
              <w:rPr>
                <w:rFonts w:ascii="Times New Roman" w:hAnsi="Times New Roman" w:cs="Times New Roman" w:eastAsiaTheme="minorHAnsi"/>
                <w:sz w:val="24"/>
                <w:szCs w:val="24"/>
                <w:lang w:bidi="en-US"/>
              </w:rPr>
            </w:pPr>
          </w:p>
        </w:tc>
        <w:tc>
          <w:tcPr>
            <w:tcW w:w="3195" w:type="dxa"/>
            <w:vAlign w:val="center"/>
          </w:tcPr>
          <w:p w14:paraId="4DE2C2C8">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secondary school 9-12</w:t>
            </w:r>
          </w:p>
        </w:tc>
        <w:tc>
          <w:tcPr>
            <w:tcW w:w="2430" w:type="dxa"/>
            <w:vAlign w:val="center"/>
          </w:tcPr>
          <w:p w14:paraId="4AABF577">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103</w:t>
            </w:r>
          </w:p>
        </w:tc>
        <w:tc>
          <w:tcPr>
            <w:tcW w:w="2813" w:type="dxa"/>
            <w:vAlign w:val="center"/>
          </w:tcPr>
          <w:p w14:paraId="3F50BEA4">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30.8</w:t>
            </w:r>
          </w:p>
        </w:tc>
      </w:tr>
      <w:tr w14:paraId="14456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812" w:type="dxa"/>
            <w:vMerge w:val="continue"/>
          </w:tcPr>
          <w:p w14:paraId="59F58A7C">
            <w:pPr>
              <w:rPr>
                <w:rFonts w:ascii="Times New Roman" w:hAnsi="Times New Roman" w:cs="Times New Roman" w:eastAsiaTheme="minorHAnsi"/>
                <w:sz w:val="24"/>
                <w:szCs w:val="24"/>
                <w:lang w:bidi="en-US"/>
              </w:rPr>
            </w:pPr>
          </w:p>
        </w:tc>
        <w:tc>
          <w:tcPr>
            <w:tcW w:w="3195" w:type="dxa"/>
            <w:vAlign w:val="center"/>
          </w:tcPr>
          <w:p w14:paraId="66506FE8">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college and above</w:t>
            </w:r>
          </w:p>
        </w:tc>
        <w:tc>
          <w:tcPr>
            <w:tcW w:w="2430" w:type="dxa"/>
            <w:vAlign w:val="center"/>
          </w:tcPr>
          <w:p w14:paraId="35C03B5E">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90</w:t>
            </w:r>
          </w:p>
        </w:tc>
        <w:tc>
          <w:tcPr>
            <w:tcW w:w="2813" w:type="dxa"/>
            <w:vAlign w:val="center"/>
          </w:tcPr>
          <w:p w14:paraId="496D8364">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26.9</w:t>
            </w:r>
          </w:p>
        </w:tc>
      </w:tr>
      <w:tr w14:paraId="188D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812" w:type="dxa"/>
            <w:vMerge w:val="restart"/>
          </w:tcPr>
          <w:p w14:paraId="76EB7490">
            <w:pPr>
              <w:rPr>
                <w:rFonts w:ascii="Arial" w:hAnsi="Arial" w:cs="Arial" w:eastAsiaTheme="minorHAnsi"/>
                <w:b/>
                <w:bCs/>
                <w:color w:val="000000"/>
                <w:sz w:val="18"/>
                <w:szCs w:val="18"/>
                <w:lang w:bidi="en-US"/>
              </w:rPr>
            </w:pPr>
            <w:r>
              <w:rPr>
                <w:rFonts w:ascii="Times New Roman" w:hAnsi="Times New Roman"/>
                <w:bCs/>
                <w:color w:val="000000"/>
                <w:sz w:val="24"/>
                <w:szCs w:val="24"/>
                <w:lang w:bidi="en-US"/>
              </w:rPr>
              <w:t>Type of Occupation</w:t>
            </w:r>
          </w:p>
        </w:tc>
        <w:tc>
          <w:tcPr>
            <w:tcW w:w="3195" w:type="dxa"/>
          </w:tcPr>
          <w:p w14:paraId="6B18C924">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House wife</w:t>
            </w:r>
          </w:p>
        </w:tc>
        <w:tc>
          <w:tcPr>
            <w:tcW w:w="2430" w:type="dxa"/>
          </w:tcPr>
          <w:p w14:paraId="6D8977EF">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166</w:t>
            </w:r>
          </w:p>
        </w:tc>
        <w:tc>
          <w:tcPr>
            <w:tcW w:w="2813" w:type="dxa"/>
          </w:tcPr>
          <w:p w14:paraId="5BB08427">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49.7</w:t>
            </w:r>
          </w:p>
        </w:tc>
      </w:tr>
      <w:tr w14:paraId="36949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812" w:type="dxa"/>
            <w:vMerge w:val="continue"/>
          </w:tcPr>
          <w:p w14:paraId="5FB623C0">
            <w:pPr>
              <w:rPr>
                <w:rFonts w:ascii="Times New Roman" w:hAnsi="Times New Roman" w:cs="Times New Roman" w:eastAsiaTheme="minorHAnsi"/>
                <w:sz w:val="24"/>
                <w:szCs w:val="24"/>
                <w:lang w:bidi="en-US"/>
              </w:rPr>
            </w:pPr>
          </w:p>
        </w:tc>
        <w:tc>
          <w:tcPr>
            <w:tcW w:w="3195" w:type="dxa"/>
          </w:tcPr>
          <w:p w14:paraId="4D52A196">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Private business &amp; Merchant</w:t>
            </w:r>
          </w:p>
        </w:tc>
        <w:tc>
          <w:tcPr>
            <w:tcW w:w="2430" w:type="dxa"/>
          </w:tcPr>
          <w:p w14:paraId="077EC98B">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72</w:t>
            </w:r>
          </w:p>
        </w:tc>
        <w:tc>
          <w:tcPr>
            <w:tcW w:w="2813" w:type="dxa"/>
          </w:tcPr>
          <w:p w14:paraId="4576E405">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21.6</w:t>
            </w:r>
          </w:p>
        </w:tc>
      </w:tr>
      <w:tr w14:paraId="6505E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812" w:type="dxa"/>
            <w:vMerge w:val="continue"/>
          </w:tcPr>
          <w:p w14:paraId="254F11C8">
            <w:pPr>
              <w:rPr>
                <w:rFonts w:ascii="Times New Roman" w:hAnsi="Times New Roman" w:cs="Times New Roman" w:eastAsiaTheme="minorHAnsi"/>
                <w:sz w:val="24"/>
                <w:szCs w:val="24"/>
                <w:lang w:bidi="en-US"/>
              </w:rPr>
            </w:pPr>
          </w:p>
        </w:tc>
        <w:tc>
          <w:tcPr>
            <w:tcW w:w="3195" w:type="dxa"/>
          </w:tcPr>
          <w:p w14:paraId="30C08E85">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Government employee</w:t>
            </w:r>
          </w:p>
        </w:tc>
        <w:tc>
          <w:tcPr>
            <w:tcW w:w="2430" w:type="dxa"/>
          </w:tcPr>
          <w:p w14:paraId="312A9A00">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46</w:t>
            </w:r>
          </w:p>
        </w:tc>
        <w:tc>
          <w:tcPr>
            <w:tcW w:w="2813" w:type="dxa"/>
          </w:tcPr>
          <w:p w14:paraId="15C11CB0">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13.8</w:t>
            </w:r>
          </w:p>
        </w:tc>
      </w:tr>
      <w:tr w14:paraId="2F7F3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812" w:type="dxa"/>
            <w:vMerge w:val="continue"/>
          </w:tcPr>
          <w:p w14:paraId="58E68ABC">
            <w:pPr>
              <w:rPr>
                <w:rFonts w:ascii="Times New Roman" w:hAnsi="Times New Roman" w:cs="Times New Roman" w:eastAsiaTheme="minorHAnsi"/>
                <w:sz w:val="24"/>
                <w:szCs w:val="24"/>
                <w:lang w:bidi="en-US"/>
              </w:rPr>
            </w:pPr>
          </w:p>
        </w:tc>
        <w:tc>
          <w:tcPr>
            <w:tcW w:w="3195" w:type="dxa"/>
          </w:tcPr>
          <w:p w14:paraId="7CB22208">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Farmer</w:t>
            </w:r>
          </w:p>
        </w:tc>
        <w:tc>
          <w:tcPr>
            <w:tcW w:w="2430" w:type="dxa"/>
          </w:tcPr>
          <w:p w14:paraId="7B765ABA">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27</w:t>
            </w:r>
          </w:p>
        </w:tc>
        <w:tc>
          <w:tcPr>
            <w:tcW w:w="2813" w:type="dxa"/>
          </w:tcPr>
          <w:p w14:paraId="407227D0">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8.1</w:t>
            </w:r>
          </w:p>
        </w:tc>
      </w:tr>
      <w:tr w14:paraId="73D31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812" w:type="dxa"/>
            <w:vMerge w:val="continue"/>
          </w:tcPr>
          <w:p w14:paraId="6D11C8A4">
            <w:pPr>
              <w:rPr>
                <w:rFonts w:ascii="Times New Roman" w:hAnsi="Times New Roman" w:cs="Times New Roman" w:eastAsiaTheme="minorHAnsi"/>
                <w:sz w:val="24"/>
                <w:szCs w:val="24"/>
                <w:lang w:bidi="en-US"/>
              </w:rPr>
            </w:pPr>
          </w:p>
        </w:tc>
        <w:tc>
          <w:tcPr>
            <w:tcW w:w="3195" w:type="dxa"/>
          </w:tcPr>
          <w:p w14:paraId="3C91CFAB">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NGO</w:t>
            </w:r>
          </w:p>
        </w:tc>
        <w:tc>
          <w:tcPr>
            <w:tcW w:w="2430" w:type="dxa"/>
          </w:tcPr>
          <w:p w14:paraId="3F77F3D7">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13</w:t>
            </w:r>
          </w:p>
        </w:tc>
        <w:tc>
          <w:tcPr>
            <w:tcW w:w="2813" w:type="dxa"/>
          </w:tcPr>
          <w:p w14:paraId="5468F036">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3.9</w:t>
            </w:r>
          </w:p>
        </w:tc>
      </w:tr>
      <w:tr w14:paraId="49FBD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812" w:type="dxa"/>
            <w:vMerge w:val="continue"/>
          </w:tcPr>
          <w:p w14:paraId="6CD918E4">
            <w:pPr>
              <w:rPr>
                <w:rFonts w:ascii="Times New Roman" w:hAnsi="Times New Roman" w:cs="Times New Roman" w:eastAsiaTheme="minorHAnsi"/>
                <w:sz w:val="24"/>
                <w:szCs w:val="24"/>
                <w:lang w:bidi="en-US"/>
              </w:rPr>
            </w:pPr>
          </w:p>
        </w:tc>
        <w:tc>
          <w:tcPr>
            <w:tcW w:w="3195" w:type="dxa"/>
          </w:tcPr>
          <w:p w14:paraId="684704F1">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Daily laborer</w:t>
            </w:r>
          </w:p>
        </w:tc>
        <w:tc>
          <w:tcPr>
            <w:tcW w:w="2430" w:type="dxa"/>
          </w:tcPr>
          <w:p w14:paraId="1536BB05">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10</w:t>
            </w:r>
          </w:p>
        </w:tc>
        <w:tc>
          <w:tcPr>
            <w:tcW w:w="2813" w:type="dxa"/>
          </w:tcPr>
          <w:p w14:paraId="7CB1807C">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3.0</w:t>
            </w:r>
          </w:p>
        </w:tc>
      </w:tr>
      <w:tr w14:paraId="713C4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812" w:type="dxa"/>
            <w:vMerge w:val="restart"/>
          </w:tcPr>
          <w:p w14:paraId="010A0D8E">
            <w:pPr>
              <w:rPr>
                <w:rFonts w:ascii="Times New Roman" w:hAnsi="Times New Roman" w:cs="Times New Roman" w:eastAsiaTheme="minorHAnsi"/>
                <w:sz w:val="24"/>
                <w:szCs w:val="24"/>
                <w:lang w:bidi="en-US"/>
              </w:rPr>
            </w:pPr>
            <w:r>
              <w:rPr>
                <w:rFonts w:ascii="Times New Roman" w:hAnsi="Times New Roman"/>
                <w:bCs/>
                <w:color w:val="000000"/>
                <w:sz w:val="24"/>
                <w:szCs w:val="24"/>
                <w:lang w:bidi="en-US"/>
              </w:rPr>
              <w:t xml:space="preserve">Average Monthly income </w:t>
            </w:r>
          </w:p>
        </w:tc>
        <w:tc>
          <w:tcPr>
            <w:tcW w:w="3195" w:type="dxa"/>
          </w:tcPr>
          <w:p w14:paraId="72E49EF7">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Monthly income &lt;=5000</w:t>
            </w:r>
          </w:p>
        </w:tc>
        <w:tc>
          <w:tcPr>
            <w:tcW w:w="2430" w:type="dxa"/>
          </w:tcPr>
          <w:p w14:paraId="4C65A92A">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95</w:t>
            </w:r>
          </w:p>
        </w:tc>
        <w:tc>
          <w:tcPr>
            <w:tcW w:w="2813" w:type="dxa"/>
          </w:tcPr>
          <w:p w14:paraId="7426E715">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28.4</w:t>
            </w:r>
          </w:p>
        </w:tc>
      </w:tr>
      <w:tr w14:paraId="08C36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812" w:type="dxa"/>
            <w:vMerge w:val="continue"/>
          </w:tcPr>
          <w:p w14:paraId="7A08DF38">
            <w:pPr>
              <w:rPr>
                <w:rFonts w:ascii="Times New Roman" w:hAnsi="Times New Roman" w:cs="Times New Roman" w:eastAsiaTheme="minorHAnsi"/>
                <w:sz w:val="24"/>
                <w:szCs w:val="24"/>
                <w:lang w:bidi="en-US"/>
              </w:rPr>
            </w:pPr>
          </w:p>
        </w:tc>
        <w:tc>
          <w:tcPr>
            <w:tcW w:w="3195" w:type="dxa"/>
          </w:tcPr>
          <w:p w14:paraId="6E103EC4">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Monthly income 5001-7000</w:t>
            </w:r>
          </w:p>
        </w:tc>
        <w:tc>
          <w:tcPr>
            <w:tcW w:w="2430" w:type="dxa"/>
          </w:tcPr>
          <w:p w14:paraId="2F56FBBE">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131</w:t>
            </w:r>
          </w:p>
        </w:tc>
        <w:tc>
          <w:tcPr>
            <w:tcW w:w="2813" w:type="dxa"/>
          </w:tcPr>
          <w:p w14:paraId="496530C3">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39.2</w:t>
            </w:r>
          </w:p>
        </w:tc>
      </w:tr>
      <w:tr w14:paraId="47596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812" w:type="dxa"/>
            <w:vMerge w:val="continue"/>
          </w:tcPr>
          <w:p w14:paraId="4DE3DBC7">
            <w:pPr>
              <w:rPr>
                <w:rFonts w:ascii="Times New Roman" w:hAnsi="Times New Roman" w:cs="Times New Roman" w:eastAsiaTheme="minorHAnsi"/>
                <w:sz w:val="24"/>
                <w:szCs w:val="24"/>
                <w:lang w:bidi="en-US"/>
              </w:rPr>
            </w:pPr>
          </w:p>
        </w:tc>
        <w:tc>
          <w:tcPr>
            <w:tcW w:w="3195" w:type="dxa"/>
          </w:tcPr>
          <w:p w14:paraId="3563D4A0">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Monthly income 7001-10,000</w:t>
            </w:r>
          </w:p>
        </w:tc>
        <w:tc>
          <w:tcPr>
            <w:tcW w:w="2430" w:type="dxa"/>
          </w:tcPr>
          <w:p w14:paraId="6B9FD671">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37</w:t>
            </w:r>
          </w:p>
        </w:tc>
        <w:tc>
          <w:tcPr>
            <w:tcW w:w="2813" w:type="dxa"/>
          </w:tcPr>
          <w:p w14:paraId="26EAD4E5">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17.1</w:t>
            </w:r>
          </w:p>
        </w:tc>
      </w:tr>
      <w:tr w14:paraId="0F0B3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2812" w:type="dxa"/>
            <w:vMerge w:val="continue"/>
          </w:tcPr>
          <w:p w14:paraId="21D55D02">
            <w:pPr>
              <w:rPr>
                <w:rFonts w:ascii="Times New Roman" w:hAnsi="Times New Roman" w:cs="Times New Roman" w:eastAsiaTheme="minorHAnsi"/>
                <w:sz w:val="24"/>
                <w:szCs w:val="24"/>
                <w:lang w:bidi="en-US"/>
              </w:rPr>
            </w:pPr>
          </w:p>
        </w:tc>
        <w:tc>
          <w:tcPr>
            <w:tcW w:w="3195" w:type="dxa"/>
          </w:tcPr>
          <w:p w14:paraId="0F6B8BDA">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Monthly income &gt; 10000</w:t>
            </w:r>
          </w:p>
        </w:tc>
        <w:tc>
          <w:tcPr>
            <w:tcW w:w="2430" w:type="dxa"/>
          </w:tcPr>
          <w:p w14:paraId="39A29F36">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51</w:t>
            </w:r>
          </w:p>
        </w:tc>
        <w:tc>
          <w:tcPr>
            <w:tcW w:w="2813" w:type="dxa"/>
          </w:tcPr>
          <w:p w14:paraId="3F2BE220">
            <w:pPr>
              <w:autoSpaceDE w:val="0"/>
              <w:autoSpaceDN w:val="0"/>
              <w:adjustRightInd w:val="0"/>
              <w:spacing w:line="276" w:lineRule="auto"/>
              <w:ind w:right="60"/>
              <w:rPr>
                <w:rFonts w:ascii="Times New Roman" w:hAnsi="Times New Roman" w:cs="Times New Roman" w:eastAsiaTheme="minorHAnsi"/>
                <w:color w:val="000000"/>
                <w:sz w:val="24"/>
                <w:szCs w:val="24"/>
                <w:lang w:bidi="en-US"/>
              </w:rPr>
            </w:pPr>
            <w:r>
              <w:rPr>
                <w:rFonts w:ascii="Times New Roman" w:hAnsi="Times New Roman"/>
                <w:color w:val="000000"/>
                <w:sz w:val="24"/>
                <w:szCs w:val="24"/>
                <w:lang w:bidi="en-US"/>
              </w:rPr>
              <w:t>15.3</w:t>
            </w:r>
          </w:p>
        </w:tc>
      </w:tr>
      <w:tr w14:paraId="6965F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trPr>
        <w:tc>
          <w:tcPr>
            <w:tcW w:w="2812" w:type="dxa"/>
            <w:vMerge w:val="restart"/>
          </w:tcPr>
          <w:p w14:paraId="1A614AE0">
            <w:pPr>
              <w:rPr>
                <w:rFonts w:ascii="Times New Roman" w:hAnsi="Times New Roman" w:cs="Times New Roman" w:eastAsiaTheme="minorHAnsi"/>
                <w:bCs/>
                <w:color w:val="000000"/>
                <w:sz w:val="24"/>
                <w:szCs w:val="24"/>
                <w:lang w:bidi="en-US"/>
              </w:rPr>
            </w:pPr>
            <w:r>
              <w:rPr>
                <w:rFonts w:ascii="Times New Roman" w:hAnsi="Times New Roman" w:cs="Times New Roman" w:eastAsiaTheme="minorHAnsi"/>
                <w:bCs/>
                <w:color w:val="000000"/>
                <w:sz w:val="24"/>
                <w:szCs w:val="24"/>
                <w:lang w:bidi="en-US"/>
              </w:rPr>
              <w:t>Ethnicity</w:t>
            </w:r>
          </w:p>
          <w:p w14:paraId="2964E5D8">
            <w:pPr>
              <w:rPr>
                <w:rFonts w:ascii="Times New Roman" w:hAnsi="Times New Roman" w:cs="Times New Roman" w:eastAsiaTheme="minorHAnsi"/>
                <w:bCs/>
                <w:color w:val="000000"/>
                <w:sz w:val="24"/>
                <w:szCs w:val="24"/>
                <w:lang w:bidi="en-US"/>
              </w:rPr>
            </w:pPr>
          </w:p>
        </w:tc>
        <w:tc>
          <w:tcPr>
            <w:tcW w:w="3195" w:type="dxa"/>
            <w:vAlign w:val="center"/>
          </w:tcPr>
          <w:p w14:paraId="688DA2EA">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Oromo</w:t>
            </w:r>
          </w:p>
        </w:tc>
        <w:tc>
          <w:tcPr>
            <w:tcW w:w="2430" w:type="dxa"/>
            <w:vAlign w:val="center"/>
          </w:tcPr>
          <w:p w14:paraId="4466FDD0">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307</w:t>
            </w:r>
          </w:p>
        </w:tc>
        <w:tc>
          <w:tcPr>
            <w:tcW w:w="2813" w:type="dxa"/>
            <w:vAlign w:val="center"/>
          </w:tcPr>
          <w:p w14:paraId="64F44ACC">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91.9</w:t>
            </w:r>
          </w:p>
        </w:tc>
      </w:tr>
      <w:tr w14:paraId="00EED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2812" w:type="dxa"/>
            <w:vMerge w:val="continue"/>
          </w:tcPr>
          <w:p w14:paraId="42D66649">
            <w:pPr>
              <w:rPr>
                <w:rFonts w:ascii="Arial" w:hAnsi="Arial" w:cs="Arial" w:eastAsiaTheme="minorHAnsi"/>
                <w:b/>
                <w:bCs/>
                <w:color w:val="000000"/>
                <w:sz w:val="18"/>
                <w:szCs w:val="18"/>
                <w:lang w:bidi="en-US"/>
              </w:rPr>
            </w:pPr>
          </w:p>
        </w:tc>
        <w:tc>
          <w:tcPr>
            <w:tcW w:w="3195" w:type="dxa"/>
            <w:vAlign w:val="center"/>
          </w:tcPr>
          <w:p w14:paraId="64EE0E3B">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Others (Amhara, Gurage)</w:t>
            </w:r>
          </w:p>
        </w:tc>
        <w:tc>
          <w:tcPr>
            <w:tcW w:w="2430" w:type="dxa"/>
            <w:vAlign w:val="center"/>
          </w:tcPr>
          <w:p w14:paraId="5B8AEDBB">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27</w:t>
            </w:r>
          </w:p>
        </w:tc>
        <w:tc>
          <w:tcPr>
            <w:tcW w:w="2813" w:type="dxa"/>
            <w:vAlign w:val="center"/>
          </w:tcPr>
          <w:p w14:paraId="302D4A2C">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8.1</w:t>
            </w:r>
          </w:p>
        </w:tc>
      </w:tr>
      <w:tr w14:paraId="1783A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2812" w:type="dxa"/>
            <w:vMerge w:val="restart"/>
          </w:tcPr>
          <w:p w14:paraId="03A4AD6D">
            <w:pPr>
              <w:rPr>
                <w:rFonts w:ascii="Arial" w:hAnsi="Arial" w:cs="Arial" w:eastAsiaTheme="minorHAnsi"/>
                <w:b/>
                <w:bCs/>
                <w:color w:val="000000"/>
                <w:sz w:val="18"/>
                <w:szCs w:val="18"/>
                <w:lang w:bidi="en-US"/>
              </w:rPr>
            </w:pPr>
            <w:r>
              <w:rPr>
                <w:rFonts w:ascii="Times New Roman" w:hAnsi="Times New Roman" w:cs="Times New Roman" w:eastAsiaTheme="minorHAnsi"/>
                <w:sz w:val="24"/>
                <w:szCs w:val="24"/>
                <w:lang w:bidi="en-US"/>
              </w:rPr>
              <w:t>Religion</w:t>
            </w:r>
          </w:p>
          <w:p w14:paraId="35E6B189">
            <w:pPr>
              <w:rPr>
                <w:rFonts w:ascii="Arial" w:hAnsi="Arial" w:cs="Arial" w:eastAsiaTheme="minorHAnsi"/>
                <w:b/>
                <w:bCs/>
                <w:color w:val="000000"/>
                <w:sz w:val="18"/>
                <w:szCs w:val="18"/>
                <w:lang w:bidi="en-US"/>
              </w:rPr>
            </w:pPr>
          </w:p>
        </w:tc>
        <w:tc>
          <w:tcPr>
            <w:tcW w:w="3195" w:type="dxa"/>
            <w:vAlign w:val="center"/>
          </w:tcPr>
          <w:p w14:paraId="73001B01">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Orthodox</w:t>
            </w:r>
          </w:p>
        </w:tc>
        <w:tc>
          <w:tcPr>
            <w:tcW w:w="2430" w:type="dxa"/>
            <w:vAlign w:val="center"/>
          </w:tcPr>
          <w:p w14:paraId="0726C583">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187</w:t>
            </w:r>
          </w:p>
        </w:tc>
        <w:tc>
          <w:tcPr>
            <w:tcW w:w="2813" w:type="dxa"/>
            <w:vAlign w:val="center"/>
          </w:tcPr>
          <w:p w14:paraId="63DCDBCC">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56.0</w:t>
            </w:r>
          </w:p>
        </w:tc>
      </w:tr>
      <w:tr w14:paraId="5A4DB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2812" w:type="dxa"/>
            <w:vMerge w:val="continue"/>
          </w:tcPr>
          <w:p w14:paraId="3B9BD23F">
            <w:pPr>
              <w:rPr>
                <w:rFonts w:ascii="Arial" w:hAnsi="Arial" w:cs="Arial" w:eastAsiaTheme="minorHAnsi"/>
                <w:b/>
                <w:bCs/>
                <w:color w:val="000000"/>
                <w:sz w:val="18"/>
                <w:szCs w:val="18"/>
                <w:lang w:bidi="en-US"/>
              </w:rPr>
            </w:pPr>
          </w:p>
        </w:tc>
        <w:tc>
          <w:tcPr>
            <w:tcW w:w="3195" w:type="dxa"/>
            <w:vAlign w:val="center"/>
          </w:tcPr>
          <w:p w14:paraId="41811A6E">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Muslim</w:t>
            </w:r>
          </w:p>
        </w:tc>
        <w:tc>
          <w:tcPr>
            <w:tcW w:w="2430" w:type="dxa"/>
            <w:vAlign w:val="center"/>
          </w:tcPr>
          <w:p w14:paraId="5616D6BE">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40</w:t>
            </w:r>
          </w:p>
        </w:tc>
        <w:tc>
          <w:tcPr>
            <w:tcW w:w="2813" w:type="dxa"/>
            <w:vAlign w:val="center"/>
          </w:tcPr>
          <w:p w14:paraId="079F831B">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12.0</w:t>
            </w:r>
          </w:p>
        </w:tc>
      </w:tr>
      <w:tr w14:paraId="226E5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2812" w:type="dxa"/>
            <w:vMerge w:val="continue"/>
          </w:tcPr>
          <w:p w14:paraId="11E87F77">
            <w:pPr>
              <w:rPr>
                <w:rFonts w:ascii="Times New Roman" w:hAnsi="Times New Roman" w:cs="Times New Roman" w:eastAsiaTheme="minorHAnsi"/>
                <w:bCs/>
                <w:color w:val="000000"/>
                <w:sz w:val="24"/>
                <w:szCs w:val="24"/>
                <w:lang w:bidi="en-US"/>
              </w:rPr>
            </w:pPr>
          </w:p>
        </w:tc>
        <w:tc>
          <w:tcPr>
            <w:tcW w:w="3195" w:type="dxa"/>
            <w:vAlign w:val="center"/>
          </w:tcPr>
          <w:p w14:paraId="76487D30">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Protestant</w:t>
            </w:r>
          </w:p>
        </w:tc>
        <w:tc>
          <w:tcPr>
            <w:tcW w:w="2430" w:type="dxa"/>
            <w:vAlign w:val="center"/>
          </w:tcPr>
          <w:p w14:paraId="11B8D74C">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107</w:t>
            </w:r>
          </w:p>
        </w:tc>
        <w:tc>
          <w:tcPr>
            <w:tcW w:w="2813" w:type="dxa"/>
            <w:vAlign w:val="center"/>
          </w:tcPr>
          <w:p w14:paraId="52BEE8EC">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color w:val="000000"/>
                <w:sz w:val="24"/>
                <w:szCs w:val="24"/>
                <w:lang w:bidi="en-US"/>
              </w:rPr>
              <w:t>32.0</w:t>
            </w:r>
          </w:p>
        </w:tc>
      </w:tr>
      <w:tr w14:paraId="1AB47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2812" w:type="dxa"/>
            <w:vMerge w:val="restart"/>
          </w:tcPr>
          <w:p w14:paraId="7B8FE72E">
            <w:pPr>
              <w:rPr>
                <w:rFonts w:ascii="Times New Roman" w:hAnsi="Times New Roman"/>
                <w:bCs/>
                <w:color w:val="000000"/>
                <w:sz w:val="24"/>
                <w:szCs w:val="24"/>
                <w:lang w:bidi="en-US"/>
              </w:rPr>
            </w:pPr>
            <w:r>
              <w:rPr>
                <w:rFonts w:ascii="Times New Roman" w:hAnsi="Times New Roman" w:cs="Times New Roman" w:eastAsiaTheme="minorHAnsi"/>
                <w:bCs/>
                <w:color w:val="000000"/>
                <w:sz w:val="24"/>
                <w:szCs w:val="24"/>
                <w:lang w:bidi="en-US"/>
              </w:rPr>
              <w:t>Number of children alive now for mothers or for children</w:t>
            </w:r>
          </w:p>
        </w:tc>
        <w:tc>
          <w:tcPr>
            <w:tcW w:w="3195" w:type="dxa"/>
            <w:vAlign w:val="center"/>
          </w:tcPr>
          <w:p w14:paraId="4337DEBA">
            <w:pPr>
              <w:autoSpaceDE w:val="0"/>
              <w:autoSpaceDN w:val="0"/>
              <w:adjustRightInd w:val="0"/>
              <w:spacing w:line="320" w:lineRule="atLeast"/>
              <w:ind w:left="60" w:right="60"/>
              <w:rPr>
                <w:rFonts w:ascii="Times New Roman" w:hAnsi="Times New Roman"/>
                <w:color w:val="000000"/>
                <w:sz w:val="24"/>
                <w:szCs w:val="24"/>
                <w:lang w:bidi="en-US"/>
              </w:rPr>
            </w:pPr>
            <w:r>
              <w:rPr>
                <w:rFonts w:ascii="Times New Roman" w:hAnsi="Times New Roman" w:cs="Times New Roman" w:eastAsiaTheme="minorHAnsi"/>
                <w:color w:val="000000"/>
                <w:sz w:val="24"/>
                <w:szCs w:val="24"/>
                <w:lang w:bidi="en-US"/>
              </w:rPr>
              <w:t>1-2</w:t>
            </w:r>
          </w:p>
        </w:tc>
        <w:tc>
          <w:tcPr>
            <w:tcW w:w="2430" w:type="dxa"/>
            <w:vAlign w:val="center"/>
          </w:tcPr>
          <w:p w14:paraId="6C422875">
            <w:pPr>
              <w:autoSpaceDE w:val="0"/>
              <w:autoSpaceDN w:val="0"/>
              <w:adjustRightInd w:val="0"/>
              <w:spacing w:line="320" w:lineRule="atLeast"/>
              <w:ind w:left="60" w:right="60"/>
              <w:rPr>
                <w:rFonts w:ascii="Times New Roman" w:hAnsi="Times New Roman"/>
                <w:color w:val="000000"/>
                <w:sz w:val="24"/>
                <w:szCs w:val="24"/>
                <w:lang w:bidi="en-US"/>
              </w:rPr>
            </w:pPr>
            <w:r>
              <w:rPr>
                <w:rFonts w:ascii="Times New Roman" w:hAnsi="Times New Roman" w:cs="Times New Roman" w:eastAsiaTheme="minorHAnsi"/>
                <w:color w:val="000000"/>
                <w:sz w:val="24"/>
                <w:szCs w:val="24"/>
                <w:lang w:bidi="en-US"/>
              </w:rPr>
              <w:t>244</w:t>
            </w:r>
          </w:p>
        </w:tc>
        <w:tc>
          <w:tcPr>
            <w:tcW w:w="2813" w:type="dxa"/>
            <w:vAlign w:val="center"/>
          </w:tcPr>
          <w:p w14:paraId="641B5022">
            <w:pPr>
              <w:autoSpaceDE w:val="0"/>
              <w:autoSpaceDN w:val="0"/>
              <w:adjustRightInd w:val="0"/>
              <w:spacing w:line="320" w:lineRule="atLeast"/>
              <w:ind w:left="60" w:right="60"/>
              <w:rPr>
                <w:rFonts w:ascii="Times New Roman" w:hAnsi="Times New Roman"/>
                <w:color w:val="000000"/>
                <w:sz w:val="24"/>
                <w:szCs w:val="24"/>
                <w:lang w:bidi="en-US"/>
              </w:rPr>
            </w:pPr>
            <w:r>
              <w:rPr>
                <w:rFonts w:ascii="Times New Roman" w:hAnsi="Times New Roman" w:cs="Times New Roman" w:eastAsiaTheme="minorHAnsi"/>
                <w:color w:val="000000"/>
                <w:sz w:val="24"/>
                <w:szCs w:val="24"/>
                <w:lang w:bidi="en-US"/>
              </w:rPr>
              <w:t>73.1</w:t>
            </w:r>
          </w:p>
        </w:tc>
      </w:tr>
      <w:tr w14:paraId="32D2C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2812" w:type="dxa"/>
            <w:vMerge w:val="continue"/>
          </w:tcPr>
          <w:p w14:paraId="212141ED">
            <w:pPr>
              <w:rPr>
                <w:rFonts w:ascii="Times New Roman" w:hAnsi="Times New Roman"/>
                <w:bCs/>
                <w:color w:val="000000"/>
                <w:sz w:val="24"/>
                <w:szCs w:val="24"/>
                <w:lang w:bidi="en-US"/>
              </w:rPr>
            </w:pPr>
          </w:p>
        </w:tc>
        <w:tc>
          <w:tcPr>
            <w:tcW w:w="3195" w:type="dxa"/>
            <w:vAlign w:val="center"/>
          </w:tcPr>
          <w:p w14:paraId="61437F34">
            <w:pPr>
              <w:autoSpaceDE w:val="0"/>
              <w:autoSpaceDN w:val="0"/>
              <w:adjustRightInd w:val="0"/>
              <w:spacing w:line="320" w:lineRule="atLeast"/>
              <w:ind w:left="60" w:right="60"/>
              <w:rPr>
                <w:rFonts w:ascii="Times New Roman" w:hAnsi="Times New Roman"/>
                <w:color w:val="000000"/>
                <w:sz w:val="24"/>
                <w:szCs w:val="24"/>
                <w:lang w:bidi="en-US"/>
              </w:rPr>
            </w:pPr>
            <w:r>
              <w:rPr>
                <w:rFonts w:ascii="Times New Roman" w:hAnsi="Times New Roman" w:cs="Times New Roman" w:eastAsiaTheme="minorHAnsi"/>
                <w:color w:val="000000"/>
                <w:sz w:val="24"/>
                <w:szCs w:val="24"/>
                <w:lang w:bidi="en-US"/>
              </w:rPr>
              <w:t>3-4</w:t>
            </w:r>
          </w:p>
        </w:tc>
        <w:tc>
          <w:tcPr>
            <w:tcW w:w="2430" w:type="dxa"/>
            <w:vAlign w:val="center"/>
          </w:tcPr>
          <w:p w14:paraId="5D95C6B1">
            <w:pPr>
              <w:autoSpaceDE w:val="0"/>
              <w:autoSpaceDN w:val="0"/>
              <w:adjustRightInd w:val="0"/>
              <w:spacing w:line="320" w:lineRule="atLeast"/>
              <w:ind w:left="60" w:right="60"/>
              <w:rPr>
                <w:rFonts w:ascii="Times New Roman" w:hAnsi="Times New Roman"/>
                <w:color w:val="000000"/>
                <w:sz w:val="24"/>
                <w:szCs w:val="24"/>
                <w:lang w:bidi="en-US"/>
              </w:rPr>
            </w:pPr>
            <w:r>
              <w:rPr>
                <w:rFonts w:ascii="Times New Roman" w:hAnsi="Times New Roman" w:cs="Times New Roman" w:eastAsiaTheme="minorHAnsi"/>
                <w:color w:val="000000"/>
                <w:sz w:val="24"/>
                <w:szCs w:val="24"/>
                <w:lang w:bidi="en-US"/>
              </w:rPr>
              <w:t>90</w:t>
            </w:r>
          </w:p>
        </w:tc>
        <w:tc>
          <w:tcPr>
            <w:tcW w:w="2813" w:type="dxa"/>
            <w:vAlign w:val="center"/>
          </w:tcPr>
          <w:p w14:paraId="6EF9462C">
            <w:pPr>
              <w:autoSpaceDE w:val="0"/>
              <w:autoSpaceDN w:val="0"/>
              <w:adjustRightInd w:val="0"/>
              <w:spacing w:line="320" w:lineRule="atLeast"/>
              <w:ind w:left="60" w:right="60"/>
              <w:rPr>
                <w:rFonts w:ascii="Times New Roman" w:hAnsi="Times New Roman"/>
                <w:color w:val="000000"/>
                <w:sz w:val="24"/>
                <w:szCs w:val="24"/>
                <w:lang w:bidi="en-US"/>
              </w:rPr>
            </w:pPr>
            <w:r>
              <w:rPr>
                <w:rFonts w:ascii="Times New Roman" w:hAnsi="Times New Roman" w:cs="Times New Roman" w:eastAsiaTheme="minorHAnsi"/>
                <w:color w:val="000000"/>
                <w:sz w:val="24"/>
                <w:szCs w:val="24"/>
                <w:lang w:bidi="en-US"/>
              </w:rPr>
              <w:t>26.9</w:t>
            </w:r>
          </w:p>
        </w:tc>
      </w:tr>
      <w:tr w14:paraId="07F4E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2812" w:type="dxa"/>
            <w:vMerge w:val="restart"/>
          </w:tcPr>
          <w:p w14:paraId="715A885E">
            <w:pPr>
              <w:rPr>
                <w:rFonts w:ascii="Times New Roman" w:hAnsi="Times New Roman" w:cs="Times New Roman" w:eastAsiaTheme="minorHAnsi"/>
                <w:bCs/>
                <w:color w:val="000000"/>
                <w:sz w:val="24"/>
                <w:szCs w:val="24"/>
                <w:lang w:bidi="en-US"/>
              </w:rPr>
            </w:pPr>
            <w:r>
              <w:rPr>
                <w:rFonts w:ascii="Times New Roman" w:hAnsi="Times New Roman" w:cs="Times New Roman" w:eastAsiaTheme="minorHAnsi"/>
                <w:sz w:val="24"/>
                <w:szCs w:val="24"/>
                <w:lang w:bidi="en-US"/>
              </w:rPr>
              <w:t>Child’s age</w:t>
            </w:r>
          </w:p>
        </w:tc>
        <w:tc>
          <w:tcPr>
            <w:tcW w:w="3195" w:type="dxa"/>
          </w:tcPr>
          <w:p w14:paraId="2B9E271B">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sz w:val="24"/>
                <w:szCs w:val="24"/>
                <w:lang w:bidi="en-US"/>
              </w:rPr>
              <w:t>&lt;= 6 months</w:t>
            </w:r>
          </w:p>
        </w:tc>
        <w:tc>
          <w:tcPr>
            <w:tcW w:w="2430" w:type="dxa"/>
          </w:tcPr>
          <w:p w14:paraId="566C2157">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sz w:val="24"/>
                <w:szCs w:val="24"/>
                <w:lang w:bidi="en-US"/>
              </w:rPr>
              <w:t>245</w:t>
            </w:r>
          </w:p>
        </w:tc>
        <w:tc>
          <w:tcPr>
            <w:tcW w:w="2813" w:type="dxa"/>
          </w:tcPr>
          <w:p w14:paraId="42970F74">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sz w:val="24"/>
                <w:szCs w:val="24"/>
                <w:lang w:bidi="en-US"/>
              </w:rPr>
              <w:t>73.4</w:t>
            </w:r>
          </w:p>
        </w:tc>
      </w:tr>
      <w:tr w14:paraId="66D11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2812" w:type="dxa"/>
            <w:vMerge w:val="continue"/>
          </w:tcPr>
          <w:p w14:paraId="480907A9">
            <w:pPr>
              <w:rPr>
                <w:rFonts w:ascii="Times New Roman" w:hAnsi="Times New Roman" w:cs="Times New Roman" w:eastAsiaTheme="minorHAnsi"/>
                <w:bCs/>
                <w:color w:val="000000"/>
                <w:sz w:val="24"/>
                <w:szCs w:val="24"/>
                <w:lang w:bidi="en-US"/>
              </w:rPr>
            </w:pPr>
          </w:p>
        </w:tc>
        <w:tc>
          <w:tcPr>
            <w:tcW w:w="3195" w:type="dxa"/>
          </w:tcPr>
          <w:p w14:paraId="10B1C7CB">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sz w:val="24"/>
                <w:szCs w:val="24"/>
                <w:lang w:bidi="en-US"/>
              </w:rPr>
              <w:t>&gt;6 months</w:t>
            </w:r>
          </w:p>
        </w:tc>
        <w:tc>
          <w:tcPr>
            <w:tcW w:w="2430" w:type="dxa"/>
          </w:tcPr>
          <w:p w14:paraId="1180C20E">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sz w:val="24"/>
                <w:szCs w:val="24"/>
                <w:lang w:bidi="en-US"/>
              </w:rPr>
              <w:t>89</w:t>
            </w:r>
          </w:p>
        </w:tc>
        <w:tc>
          <w:tcPr>
            <w:tcW w:w="2813" w:type="dxa"/>
          </w:tcPr>
          <w:p w14:paraId="0E8B0DD6">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sz w:val="24"/>
                <w:szCs w:val="24"/>
                <w:lang w:bidi="en-US"/>
              </w:rPr>
              <w:t>26.6</w:t>
            </w:r>
          </w:p>
        </w:tc>
      </w:tr>
      <w:tr w14:paraId="60392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2812" w:type="dxa"/>
            <w:vMerge w:val="restart"/>
          </w:tcPr>
          <w:p w14:paraId="12789C40">
            <w:pPr>
              <w:rPr>
                <w:rFonts w:ascii="Times New Roman" w:hAnsi="Times New Roman" w:cs="Times New Roman" w:eastAsiaTheme="minorHAnsi"/>
                <w:bCs/>
                <w:color w:val="000000"/>
                <w:sz w:val="24"/>
                <w:szCs w:val="24"/>
                <w:lang w:bidi="en-US"/>
              </w:rPr>
            </w:pPr>
            <w:r>
              <w:rPr>
                <w:rFonts w:ascii="Times New Roman" w:hAnsi="Times New Roman" w:cs="Times New Roman" w:eastAsiaTheme="minorHAnsi"/>
                <w:sz w:val="24"/>
                <w:szCs w:val="24"/>
                <w:lang w:bidi="en-US"/>
              </w:rPr>
              <w:t>Sex of the child</w:t>
            </w:r>
          </w:p>
        </w:tc>
        <w:tc>
          <w:tcPr>
            <w:tcW w:w="3195" w:type="dxa"/>
          </w:tcPr>
          <w:p w14:paraId="791581EA">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sz w:val="24"/>
                <w:szCs w:val="24"/>
                <w:lang w:bidi="en-US"/>
              </w:rPr>
              <w:t>Male</w:t>
            </w:r>
          </w:p>
        </w:tc>
        <w:tc>
          <w:tcPr>
            <w:tcW w:w="2430" w:type="dxa"/>
          </w:tcPr>
          <w:p w14:paraId="6D0A3FBA">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sz w:val="24"/>
                <w:szCs w:val="24"/>
                <w:lang w:bidi="en-US"/>
              </w:rPr>
              <w:t>128</w:t>
            </w:r>
          </w:p>
        </w:tc>
        <w:tc>
          <w:tcPr>
            <w:tcW w:w="2813" w:type="dxa"/>
          </w:tcPr>
          <w:p w14:paraId="6855AA6D">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sz w:val="24"/>
                <w:szCs w:val="24"/>
                <w:lang w:bidi="en-US"/>
              </w:rPr>
              <w:t>38.3</w:t>
            </w:r>
          </w:p>
        </w:tc>
      </w:tr>
      <w:tr w14:paraId="15FF7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2812" w:type="dxa"/>
            <w:vMerge w:val="continue"/>
          </w:tcPr>
          <w:p w14:paraId="4A86A11C">
            <w:pPr>
              <w:rPr>
                <w:rFonts w:ascii="Times New Roman" w:hAnsi="Times New Roman" w:cs="Times New Roman" w:eastAsiaTheme="minorHAnsi"/>
                <w:bCs/>
                <w:color w:val="000000"/>
                <w:sz w:val="24"/>
                <w:szCs w:val="24"/>
                <w:lang w:bidi="en-US"/>
              </w:rPr>
            </w:pPr>
          </w:p>
        </w:tc>
        <w:tc>
          <w:tcPr>
            <w:tcW w:w="3195" w:type="dxa"/>
          </w:tcPr>
          <w:p w14:paraId="00BE01B3">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sz w:val="24"/>
                <w:szCs w:val="24"/>
                <w:lang w:bidi="en-US"/>
              </w:rPr>
              <w:t xml:space="preserve">Female </w:t>
            </w:r>
          </w:p>
        </w:tc>
        <w:tc>
          <w:tcPr>
            <w:tcW w:w="2430" w:type="dxa"/>
          </w:tcPr>
          <w:p w14:paraId="086FB69F">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sz w:val="24"/>
                <w:szCs w:val="24"/>
                <w:lang w:bidi="en-US"/>
              </w:rPr>
              <w:t>206</w:t>
            </w:r>
          </w:p>
        </w:tc>
        <w:tc>
          <w:tcPr>
            <w:tcW w:w="2813" w:type="dxa"/>
          </w:tcPr>
          <w:p w14:paraId="3E113A17">
            <w:pPr>
              <w:autoSpaceDE w:val="0"/>
              <w:autoSpaceDN w:val="0"/>
              <w:adjustRightInd w:val="0"/>
              <w:spacing w:line="320" w:lineRule="atLeast"/>
              <w:ind w:right="60"/>
              <w:rPr>
                <w:rFonts w:ascii="Times New Roman" w:hAnsi="Times New Roman" w:cs="Times New Roman" w:eastAsiaTheme="minorHAnsi"/>
                <w:color w:val="000000"/>
                <w:sz w:val="24"/>
                <w:szCs w:val="24"/>
                <w:lang w:bidi="en-US"/>
              </w:rPr>
            </w:pPr>
            <w:r>
              <w:rPr>
                <w:rFonts w:ascii="Times New Roman" w:hAnsi="Times New Roman" w:cs="Times New Roman" w:eastAsiaTheme="minorHAnsi"/>
                <w:sz w:val="24"/>
                <w:szCs w:val="24"/>
                <w:lang w:bidi="en-US"/>
              </w:rPr>
              <w:t>61.7</w:t>
            </w:r>
          </w:p>
        </w:tc>
      </w:tr>
    </w:tbl>
    <w:p w14:paraId="5E93DA49"/>
    <w:p w14:paraId="632A8278"/>
    <w:p w14:paraId="2DCF7CF1"/>
    <w:p w14:paraId="026F12ED">
      <w:pPr>
        <w:spacing w:after="200" w:line="276" w:lineRule="auto"/>
      </w:pPr>
      <w:r>
        <w:rPr>
          <w:rFonts w:ascii="Times New Roman" w:hAnsi="Times New Roman" w:eastAsia="Times New Roman" w:cs="Times New Roman"/>
          <w:sz w:val="24"/>
          <w:szCs w:val="24"/>
        </w:rPr>
        <w:t xml:space="preserve">Knowledge on </w:t>
      </w:r>
      <w:r>
        <w:rPr>
          <w:rFonts w:hint="default" w:ascii="Times New Roman" w:hAnsi="Times New Roman" w:eastAsia="Times New Roman" w:cs="Times New Roman"/>
          <w:sz w:val="24"/>
          <w:szCs w:val="24"/>
          <w:lang w:val="en-US"/>
        </w:rPr>
        <w:t xml:space="preserve">mothers </w:t>
      </w:r>
      <w:r>
        <w:rPr>
          <w:rFonts w:ascii="Times New Roman" w:hAnsi="Times New Roman" w:eastAsia="Times New Roman" w:cs="Times New Roman"/>
          <w:sz w:val="24"/>
          <w:szCs w:val="24"/>
        </w:rPr>
        <w:t xml:space="preserve">child immunization </w:t>
      </w:r>
    </w:p>
    <w:p w14:paraId="356D191E">
      <w:pPr>
        <w:spacing w:before="100" w:beforeAutospacing="1" w:after="100" w:afterAutospacing="1"/>
        <w:rPr>
          <w:rFonts w:ascii="Times New Roman" w:hAnsi="Times New Roman" w:eastAsia="Times New Roman" w:cs="Times New Roman"/>
          <w:sz w:val="24"/>
          <w:szCs w:val="24"/>
        </w:rPr>
      </w:pPr>
      <w:r>
        <w:rPr>
          <w:rFonts w:ascii="Times New Roman" w:hAnsi="Times New Roman" w:eastAsia="Times New Roman" w:cs="Times New Roman"/>
          <w:sz w:val="24"/>
          <w:szCs w:val="24"/>
          <w:lang w:val="en-GB" w:eastAsia="en-GB"/>
        </w:rPr>
        <w:drawing>
          <wp:inline distT="0" distB="0" distL="0" distR="0">
            <wp:extent cx="5295900" cy="27241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9"/>
                    <a:stretch>
                      <a:fillRect/>
                    </a:stretch>
                  </pic:blipFill>
                  <pic:spPr>
                    <a:xfrm>
                      <a:off x="0" y="0"/>
                      <a:ext cx="5296172" cy="2724290"/>
                    </a:xfrm>
                    <a:prstGeom prst="rect">
                      <a:avLst/>
                    </a:prstGeom>
                  </pic:spPr>
                </pic:pic>
              </a:graphicData>
            </a:graphic>
          </wp:inline>
        </w:drawing>
      </w:r>
    </w:p>
    <w:p w14:paraId="41153609">
      <w:pPr>
        <w:pStyle w:val="14"/>
        <w:spacing w:line="360" w:lineRule="auto"/>
        <w:jc w:val="both"/>
        <w:rPr>
          <w:rFonts w:ascii="Times New Roman" w:hAnsi="Times New Roman" w:cs="Times New Roman"/>
          <w:sz w:val="24"/>
          <w:szCs w:val="24"/>
        </w:rPr>
      </w:pPr>
      <w:bookmarkStart w:id="346" w:name="_Toc197885025"/>
      <w:r>
        <w:rPr>
          <w:rFonts w:ascii="Times New Roman" w:hAnsi="Times New Roman" w:cs="Times New Roman"/>
          <w:sz w:val="24"/>
          <w:szCs w:val="24"/>
        </w:rPr>
        <w:t xml:space="preserve">Figure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Figure \* ARABIC </w:instrText>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fldChar w:fldCharType="end"/>
      </w:r>
      <w:r>
        <w:rPr>
          <w:rFonts w:ascii="Times New Roman" w:hAnsi="Times New Roman" w:cs="Times New Roman"/>
          <w:sz w:val="24"/>
          <w:szCs w:val="24"/>
        </w:rPr>
        <w:t>: Knowledge about child immunization of mothers who were attending public health facilities for immunization in  Nekemte town 2025.</w:t>
      </w:r>
      <w:bookmarkEnd w:id="346"/>
    </w:p>
    <w:p w14:paraId="3F83F181">
      <w:p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vast majority of respondents </w:t>
      </w:r>
      <w:r>
        <w:rPr>
          <w:rFonts w:ascii="Times New Roman" w:hAnsi="Times New Roman" w:eastAsia="Times New Roman" w:cs="Times New Roman"/>
          <w:bCs/>
          <w:sz w:val="24"/>
          <w:szCs w:val="24"/>
        </w:rPr>
        <w:t>had heard about immunization</w:t>
      </w:r>
      <w:r>
        <w:rPr>
          <w:rFonts w:ascii="Times New Roman" w:hAnsi="Times New Roman" w:eastAsia="Times New Roman" w:cs="Times New Roman"/>
          <w:sz w:val="24"/>
          <w:szCs w:val="24"/>
        </w:rPr>
        <w:t xml:space="preserve"> (92.8%). Among those informed, the most commonly cited </w:t>
      </w:r>
      <w:r>
        <w:rPr>
          <w:rFonts w:ascii="Times New Roman" w:hAnsi="Times New Roman" w:eastAsia="Times New Roman" w:cs="Times New Roman"/>
          <w:bCs/>
          <w:sz w:val="24"/>
          <w:szCs w:val="24"/>
        </w:rPr>
        <w:t>source of information was health workers</w:t>
      </w:r>
      <w:r>
        <w:rPr>
          <w:rFonts w:ascii="Times New Roman" w:hAnsi="Times New Roman" w:eastAsia="Times New Roman" w:cs="Times New Roman"/>
          <w:sz w:val="24"/>
          <w:szCs w:val="24"/>
        </w:rPr>
        <w:t xml:space="preserve"> (94.6%). Regarding knowledge of immunization schedules, nearly all participants </w:t>
      </w:r>
      <w:r>
        <w:rPr>
          <w:rFonts w:ascii="Times New Roman" w:hAnsi="Times New Roman" w:eastAsia="Times New Roman" w:cs="Times New Roman"/>
          <w:bCs/>
          <w:sz w:val="24"/>
          <w:szCs w:val="24"/>
        </w:rPr>
        <w:t>knew the immunization</w:t>
      </w:r>
      <w:r>
        <w:rPr>
          <w:rFonts w:ascii="Times New Roman" w:hAnsi="Times New Roman" w:eastAsia="Times New Roman" w:cs="Times New Roman"/>
          <w:b/>
          <w:bCs/>
          <w:sz w:val="24"/>
          <w:szCs w:val="24"/>
        </w:rPr>
        <w:t xml:space="preserve"> </w:t>
      </w:r>
      <w:r>
        <w:rPr>
          <w:rFonts w:ascii="Times New Roman" w:hAnsi="Times New Roman" w:eastAsia="Times New Roman" w:cs="Times New Roman"/>
          <w:bCs/>
          <w:sz w:val="24"/>
          <w:szCs w:val="24"/>
        </w:rPr>
        <w:t>schedule of their child</w:t>
      </w:r>
      <w:r>
        <w:rPr>
          <w:rFonts w:ascii="Times New Roman" w:hAnsi="Times New Roman" w:eastAsia="Times New Roman" w:cs="Times New Roman"/>
          <w:sz w:val="24"/>
          <w:szCs w:val="24"/>
        </w:rPr>
        <w:t xml:space="preserve"> (96.1%). When asked about the general benefit of vaccines, the majority responded that vaccines are </w:t>
      </w:r>
      <w:r>
        <w:rPr>
          <w:rFonts w:ascii="Times New Roman" w:hAnsi="Times New Roman" w:eastAsia="Times New Roman" w:cs="Times New Roman"/>
          <w:bCs/>
          <w:sz w:val="24"/>
          <w:szCs w:val="24"/>
        </w:rPr>
        <w:t>used to prevent disease</w:t>
      </w:r>
      <w:r>
        <w:rPr>
          <w:rFonts w:ascii="Times New Roman" w:hAnsi="Times New Roman" w:eastAsia="Times New Roman" w:cs="Times New Roman"/>
          <w:sz w:val="24"/>
          <w:szCs w:val="24"/>
        </w:rPr>
        <w:t xml:space="preserve"> (68.0%), followed by those who believed they are </w:t>
      </w:r>
      <w:r>
        <w:rPr>
          <w:rFonts w:ascii="Times New Roman" w:hAnsi="Times New Roman" w:eastAsia="Times New Roman" w:cs="Times New Roman"/>
          <w:bCs/>
          <w:sz w:val="24"/>
          <w:szCs w:val="24"/>
        </w:rPr>
        <w:t>used to cure already developed diseases</w:t>
      </w:r>
      <w:r>
        <w:rPr>
          <w:rFonts w:ascii="Times New Roman" w:hAnsi="Times New Roman" w:eastAsia="Times New Roman" w:cs="Times New Roman"/>
          <w:sz w:val="24"/>
          <w:szCs w:val="24"/>
        </w:rPr>
        <w:t xml:space="preserve"> (26.3%) [Figure 3].</w:t>
      </w:r>
    </w:p>
    <w:p w14:paraId="57D69E1F">
      <w:r>
        <w:rPr>
          <w:rFonts w:hint="default" w:ascii="Times New Roman" w:hAnsi="Times New Roman" w:eastAsia="Times New Roman" w:cs="Times New Roman"/>
          <w:b/>
          <w:bCs/>
          <w:sz w:val="24"/>
          <w:szCs w:val="24"/>
          <w:lang w:val="en-US"/>
        </w:rPr>
        <w:t xml:space="preserve">Practices </w:t>
      </w:r>
      <w:r>
        <w:rPr>
          <w:rFonts w:ascii="Times New Roman" w:hAnsi="Times New Roman" w:eastAsia="Times New Roman" w:cs="Times New Roman"/>
          <w:b/>
          <w:bCs/>
          <w:sz w:val="24"/>
          <w:szCs w:val="24"/>
        </w:rPr>
        <w:t xml:space="preserve">and Attitude of mothers towards immunization program </w:t>
      </w:r>
    </w:p>
    <w:p w14:paraId="3D93FD0A">
      <w:p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majority of respondents had vaccinated their index child (94%). In terms of travel time, nearly half reported taking 30 minutes or less to reach the vaccination site (48.8%), while a slightly higher proportion took ½ to 1 hour (51.2%). </w:t>
      </w:r>
    </w:p>
    <w:p w14:paraId="267466D1">
      <w:p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Most mothers reported a waiting time of 30 minutes to 1 hour at the vaccination site (94.3%). Attitudes toward vaccinators were predominantly excellent (80.8%), with an additional 17.4% rating them as very good. </w:t>
      </w:r>
    </w:p>
    <w:p w14:paraId="5B7548CB">
      <w:p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Regarding confidence in the immunization service, 80.8% of respondents rated it as excellent, followed by 15.6% who considered it good. However, only 29.6% were willing to recommend the vaccine to others, while a significant 70.4% were not. When asked about the perceived importance of vaccines, a majority of respondents viewed them as very important (58.7%), with 24.9% rating them as important [Table 4]</w:t>
      </w:r>
    </w:p>
    <w:p w14:paraId="380D5565">
      <w:pPr>
        <w:pStyle w:val="14"/>
        <w:spacing w:line="360" w:lineRule="auto"/>
        <w:jc w:val="both"/>
        <w:rPr>
          <w:rFonts w:ascii="Times New Roman" w:hAnsi="Times New Roman" w:cs="Times New Roman"/>
          <w:sz w:val="24"/>
          <w:szCs w:val="24"/>
        </w:rPr>
      </w:pPr>
      <w:bookmarkStart w:id="347" w:name="_Toc197884919"/>
      <w:r>
        <w:rPr>
          <w:rFonts w:ascii="Times New Roman" w:hAnsi="Times New Roman" w:cs="Times New Roman"/>
          <w:sz w:val="24"/>
          <w:szCs w:val="24"/>
        </w:rPr>
        <w:t xml:space="preserve">Table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Table \* ARABIC </w:instrText>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hint="default" w:ascii="Times New Roman" w:hAnsi="Times New Roman" w:cs="Times New Roman"/>
          <w:sz w:val="24"/>
          <w:szCs w:val="24"/>
          <w:lang w:val="en-US"/>
        </w:rPr>
        <w:t xml:space="preserve">practices </w:t>
      </w:r>
      <w:r>
        <w:rPr>
          <w:rFonts w:ascii="Times New Roman" w:hAnsi="Times New Roman" w:cs="Times New Roman"/>
          <w:sz w:val="24"/>
          <w:szCs w:val="24"/>
        </w:rPr>
        <w:t>and Attitude of mothers towards immunization program at public health facilities in Nekemte town 2025.</w:t>
      </w:r>
      <w:bookmarkEnd w:id="347"/>
    </w:p>
    <w:p w14:paraId="068C5104">
      <w:pPr>
        <w:pStyle w:val="14"/>
      </w:pPr>
    </w:p>
    <w:tbl>
      <w:tblPr>
        <w:tblStyle w:val="25"/>
        <w:tblW w:w="1034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366"/>
        <w:gridCol w:w="2264"/>
        <w:gridCol w:w="1721"/>
        <w:gridCol w:w="1993"/>
      </w:tblGrid>
      <w:tr w14:paraId="47CA04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 w:hRule="atLeast"/>
        </w:trPr>
        <w:tc>
          <w:tcPr>
            <w:tcW w:w="4366" w:type="dxa"/>
            <w:tcBorders>
              <w:top w:val="single" w:color="000000" w:sz="4" w:space="0"/>
              <w:left w:val="single" w:color="000000" w:sz="4" w:space="0"/>
              <w:bottom w:val="single" w:color="000000" w:sz="4" w:space="0"/>
              <w:right w:val="single" w:color="000000" w:sz="4" w:space="0"/>
            </w:tcBorders>
          </w:tcPr>
          <w:p w14:paraId="037EBE64">
            <w:pPr>
              <w:jc w:val="center"/>
              <w:rPr>
                <w:rFonts w:ascii="Times New Roman" w:hAnsi="Times New Roman" w:cs="Times New Roman"/>
                <w:sz w:val="24"/>
                <w:szCs w:val="24"/>
              </w:rPr>
            </w:pPr>
            <w:r>
              <w:rPr>
                <w:rFonts w:ascii="Times New Roman" w:hAnsi="Times New Roman" w:cs="Times New Roman"/>
                <w:sz w:val="24"/>
                <w:szCs w:val="24"/>
              </w:rPr>
              <w:t>Variable</w:t>
            </w:r>
          </w:p>
        </w:tc>
        <w:tc>
          <w:tcPr>
            <w:tcW w:w="2264" w:type="dxa"/>
            <w:tcBorders>
              <w:top w:val="single" w:color="000000" w:sz="4" w:space="0"/>
              <w:left w:val="single" w:color="000000" w:sz="4" w:space="0"/>
              <w:bottom w:val="single" w:color="000000" w:sz="4" w:space="0"/>
              <w:right w:val="single" w:color="000000" w:sz="4" w:space="0"/>
            </w:tcBorders>
          </w:tcPr>
          <w:p w14:paraId="5DFB63D0">
            <w:pPr>
              <w:jc w:val="center"/>
              <w:rPr>
                <w:rFonts w:ascii="Times New Roman" w:hAnsi="Times New Roman" w:cs="Times New Roman"/>
                <w:sz w:val="24"/>
                <w:szCs w:val="24"/>
              </w:rPr>
            </w:pPr>
            <w:r>
              <w:rPr>
                <w:rFonts w:ascii="Times New Roman" w:hAnsi="Times New Roman" w:cs="Times New Roman"/>
                <w:sz w:val="24"/>
                <w:szCs w:val="24"/>
              </w:rPr>
              <w:t>Categories</w:t>
            </w:r>
          </w:p>
        </w:tc>
        <w:tc>
          <w:tcPr>
            <w:tcW w:w="1721" w:type="dxa"/>
            <w:tcBorders>
              <w:top w:val="single" w:color="000000" w:sz="4" w:space="0"/>
              <w:left w:val="single" w:color="000000" w:sz="4" w:space="0"/>
              <w:bottom w:val="single" w:color="000000" w:sz="4" w:space="0"/>
              <w:right w:val="single" w:color="000000" w:sz="4" w:space="0"/>
            </w:tcBorders>
          </w:tcPr>
          <w:p w14:paraId="7BB6A5B3">
            <w:pPr>
              <w:jc w:val="center"/>
              <w:rPr>
                <w:rFonts w:ascii="Times New Roman" w:hAnsi="Times New Roman" w:cs="Times New Roman"/>
                <w:sz w:val="24"/>
                <w:szCs w:val="24"/>
              </w:rPr>
            </w:pPr>
            <w:r>
              <w:rPr>
                <w:rFonts w:ascii="Times New Roman" w:hAnsi="Times New Roman" w:cs="Times New Roman"/>
                <w:sz w:val="24"/>
                <w:szCs w:val="24"/>
              </w:rPr>
              <w:t xml:space="preserve">Frequency </w:t>
            </w:r>
          </w:p>
        </w:tc>
        <w:tc>
          <w:tcPr>
            <w:tcW w:w="1993" w:type="dxa"/>
            <w:tcBorders>
              <w:top w:val="single" w:color="000000" w:sz="4" w:space="0"/>
              <w:left w:val="single" w:color="000000" w:sz="4" w:space="0"/>
              <w:bottom w:val="single" w:color="000000" w:sz="4" w:space="0"/>
              <w:right w:val="single" w:color="000000" w:sz="4" w:space="0"/>
            </w:tcBorders>
          </w:tcPr>
          <w:p w14:paraId="5F7D38B2">
            <w:pPr>
              <w:jc w:val="center"/>
              <w:rPr>
                <w:rFonts w:ascii="Times New Roman" w:hAnsi="Times New Roman" w:cs="Times New Roman"/>
                <w:sz w:val="24"/>
                <w:szCs w:val="24"/>
              </w:rPr>
            </w:pPr>
            <w:r>
              <w:rPr>
                <w:rFonts w:ascii="Times New Roman" w:hAnsi="Times New Roman" w:cs="Times New Roman"/>
                <w:sz w:val="24"/>
                <w:szCs w:val="24"/>
              </w:rPr>
              <w:t xml:space="preserve">Percentage </w:t>
            </w:r>
          </w:p>
        </w:tc>
      </w:tr>
      <w:tr w14:paraId="3F7551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 w:hRule="atLeast"/>
        </w:trPr>
        <w:tc>
          <w:tcPr>
            <w:tcW w:w="4366" w:type="dxa"/>
            <w:vMerge w:val="restart"/>
            <w:tcBorders>
              <w:top w:val="single" w:color="000000" w:sz="4" w:space="0"/>
              <w:left w:val="single" w:color="000000" w:sz="4" w:space="0"/>
              <w:bottom w:val="single" w:color="000000" w:sz="4" w:space="0"/>
              <w:right w:val="single" w:color="000000" w:sz="4" w:space="0"/>
            </w:tcBorders>
          </w:tcPr>
          <w:p w14:paraId="065E4F69">
            <w:pPr>
              <w:rPr>
                <w:rFonts w:ascii="Times New Roman" w:hAnsi="Times New Roman" w:eastAsia="Times New Roman" w:cs="Times New Roman"/>
                <w:color w:val="264A60"/>
                <w:sz w:val="24"/>
                <w:szCs w:val="24"/>
              </w:rPr>
            </w:pPr>
            <w:r>
              <w:rPr>
                <w:rFonts w:ascii="Times New Roman" w:hAnsi="Times New Roman" w:eastAsia="Times New Roman" w:cs="Times New Roman"/>
                <w:color w:val="264A60"/>
                <w:sz w:val="24"/>
                <w:szCs w:val="24"/>
              </w:rPr>
              <w:t xml:space="preserve">Have you vaccinated your index child </w:t>
            </w:r>
          </w:p>
        </w:tc>
        <w:tc>
          <w:tcPr>
            <w:tcW w:w="2264" w:type="dxa"/>
            <w:tcBorders>
              <w:top w:val="single" w:color="000000" w:sz="4" w:space="0"/>
              <w:left w:val="single" w:color="000000" w:sz="4" w:space="0"/>
              <w:bottom w:val="single" w:color="000000" w:sz="4" w:space="0"/>
              <w:right w:val="single" w:color="000000" w:sz="4" w:space="0"/>
            </w:tcBorders>
          </w:tcPr>
          <w:p w14:paraId="34ABFBB3">
            <w:pPr>
              <w:rPr>
                <w:rFonts w:ascii="Times New Roman" w:hAnsi="Times New Roman" w:eastAsia="Times New Roman" w:cs="Times New Roman"/>
                <w:color w:val="264A60"/>
                <w:sz w:val="24"/>
                <w:szCs w:val="24"/>
              </w:rPr>
            </w:pPr>
            <w:r>
              <w:rPr>
                <w:rFonts w:ascii="Times New Roman" w:hAnsi="Times New Roman" w:eastAsia="Times New Roman" w:cs="Times New Roman"/>
                <w:color w:val="264A60"/>
                <w:sz w:val="24"/>
                <w:szCs w:val="24"/>
              </w:rPr>
              <w:t xml:space="preserve">Yes </w:t>
            </w:r>
          </w:p>
        </w:tc>
        <w:tc>
          <w:tcPr>
            <w:tcW w:w="1721" w:type="dxa"/>
            <w:tcBorders>
              <w:top w:val="single" w:color="000000" w:sz="4" w:space="0"/>
              <w:left w:val="single" w:color="000000" w:sz="4" w:space="0"/>
              <w:bottom w:val="single" w:color="000000" w:sz="4" w:space="0"/>
              <w:right w:val="single" w:color="000000" w:sz="4" w:space="0"/>
            </w:tcBorders>
          </w:tcPr>
          <w:p w14:paraId="7F089E87">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314</w:t>
            </w:r>
          </w:p>
        </w:tc>
        <w:tc>
          <w:tcPr>
            <w:tcW w:w="1993" w:type="dxa"/>
            <w:tcBorders>
              <w:top w:val="single" w:color="000000" w:sz="4" w:space="0"/>
              <w:left w:val="single" w:color="000000" w:sz="4" w:space="0"/>
              <w:bottom w:val="single" w:color="000000" w:sz="4" w:space="0"/>
              <w:right w:val="single" w:color="000000" w:sz="4" w:space="0"/>
            </w:tcBorders>
          </w:tcPr>
          <w:p w14:paraId="59768D71">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94</w:t>
            </w:r>
          </w:p>
        </w:tc>
      </w:tr>
      <w:tr w14:paraId="0EAC9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D1F2A8D">
            <w:pPr>
              <w:rPr>
                <w:rFonts w:ascii="Times New Roman" w:hAnsi="Times New Roman" w:eastAsia="Times New Roman" w:cs="Times New Roman"/>
                <w:color w:val="264A60"/>
                <w:sz w:val="24"/>
                <w:szCs w:val="24"/>
              </w:rPr>
            </w:pPr>
          </w:p>
        </w:tc>
        <w:tc>
          <w:tcPr>
            <w:tcW w:w="2264" w:type="dxa"/>
            <w:tcBorders>
              <w:top w:val="single" w:color="000000" w:sz="4" w:space="0"/>
              <w:left w:val="single" w:color="000000" w:sz="4" w:space="0"/>
              <w:bottom w:val="single" w:color="000000" w:sz="4" w:space="0"/>
              <w:right w:val="single" w:color="000000" w:sz="4" w:space="0"/>
            </w:tcBorders>
          </w:tcPr>
          <w:p w14:paraId="493F15BC">
            <w:pPr>
              <w:rPr>
                <w:rFonts w:ascii="Times New Roman" w:hAnsi="Times New Roman" w:eastAsia="Times New Roman" w:cs="Times New Roman"/>
                <w:color w:val="264A60"/>
                <w:sz w:val="24"/>
                <w:szCs w:val="24"/>
              </w:rPr>
            </w:pPr>
            <w:r>
              <w:rPr>
                <w:rFonts w:ascii="Times New Roman" w:hAnsi="Times New Roman" w:eastAsia="Times New Roman" w:cs="Times New Roman"/>
                <w:color w:val="264A60"/>
                <w:sz w:val="24"/>
                <w:szCs w:val="24"/>
              </w:rPr>
              <w:t>No</w:t>
            </w:r>
          </w:p>
        </w:tc>
        <w:tc>
          <w:tcPr>
            <w:tcW w:w="1721" w:type="dxa"/>
            <w:tcBorders>
              <w:top w:val="single" w:color="000000" w:sz="4" w:space="0"/>
              <w:left w:val="single" w:color="000000" w:sz="4" w:space="0"/>
              <w:bottom w:val="single" w:color="000000" w:sz="4" w:space="0"/>
              <w:right w:val="single" w:color="000000" w:sz="4" w:space="0"/>
            </w:tcBorders>
          </w:tcPr>
          <w:p w14:paraId="25FDE2A8">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20</w:t>
            </w:r>
          </w:p>
        </w:tc>
        <w:tc>
          <w:tcPr>
            <w:tcW w:w="1993" w:type="dxa"/>
            <w:tcBorders>
              <w:top w:val="single" w:color="000000" w:sz="4" w:space="0"/>
              <w:left w:val="single" w:color="000000" w:sz="4" w:space="0"/>
              <w:bottom w:val="single" w:color="000000" w:sz="4" w:space="0"/>
              <w:right w:val="single" w:color="000000" w:sz="4" w:space="0"/>
            </w:tcBorders>
          </w:tcPr>
          <w:p w14:paraId="7D638B9E">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6</w:t>
            </w:r>
          </w:p>
        </w:tc>
      </w:tr>
      <w:tr w14:paraId="4AEF0C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 w:hRule="atLeast"/>
        </w:trPr>
        <w:tc>
          <w:tcPr>
            <w:tcW w:w="4366" w:type="dxa"/>
            <w:tcBorders>
              <w:top w:val="single" w:color="000000" w:sz="4" w:space="0"/>
              <w:left w:val="single" w:color="000000" w:sz="4" w:space="0"/>
              <w:bottom w:val="single" w:color="000000" w:sz="4" w:space="0"/>
              <w:right w:val="single" w:color="000000" w:sz="4" w:space="0"/>
            </w:tcBorders>
          </w:tcPr>
          <w:p w14:paraId="4C38625D">
            <w:pPr>
              <w:rPr>
                <w:rFonts w:ascii="Times New Roman" w:hAnsi="Times New Roman" w:eastAsia="Times New Roman" w:cs="Times New Roman"/>
                <w:color w:val="264A60"/>
                <w:sz w:val="24"/>
                <w:szCs w:val="24"/>
              </w:rPr>
            </w:pPr>
            <w:r>
              <w:rPr>
                <w:rFonts w:ascii="Times New Roman" w:hAnsi="Times New Roman" w:eastAsia="Times New Roman" w:cs="Times New Roman"/>
                <w:bCs/>
                <w:color w:val="010205"/>
                <w:sz w:val="24"/>
                <w:szCs w:val="24"/>
              </w:rPr>
              <w:t>Time to reach vaccination site</w:t>
            </w:r>
          </w:p>
        </w:tc>
        <w:tc>
          <w:tcPr>
            <w:tcW w:w="2264" w:type="dxa"/>
            <w:tcBorders>
              <w:top w:val="single" w:color="000000" w:sz="4" w:space="0"/>
              <w:left w:val="single" w:color="000000" w:sz="4" w:space="0"/>
              <w:bottom w:val="single" w:color="000000" w:sz="4" w:space="0"/>
              <w:right w:val="single" w:color="000000" w:sz="4" w:space="0"/>
            </w:tcBorders>
          </w:tcPr>
          <w:p w14:paraId="309BAD8C">
            <w:pPr>
              <w:rPr>
                <w:rFonts w:ascii="Times New Roman" w:hAnsi="Times New Roman" w:eastAsia="Times New Roman" w:cs="Times New Roman"/>
                <w:color w:val="264A60"/>
                <w:sz w:val="24"/>
                <w:szCs w:val="24"/>
              </w:rPr>
            </w:pPr>
            <w:r>
              <w:rPr>
                <w:rFonts w:ascii="Times New Roman" w:hAnsi="Times New Roman" w:eastAsia="Times New Roman" w:cs="Times New Roman"/>
                <w:color w:val="264A60"/>
                <w:sz w:val="24"/>
                <w:szCs w:val="24"/>
              </w:rPr>
              <w:t>½ to 1 hour</w:t>
            </w:r>
          </w:p>
        </w:tc>
        <w:tc>
          <w:tcPr>
            <w:tcW w:w="1721" w:type="dxa"/>
            <w:tcBorders>
              <w:top w:val="single" w:color="000000" w:sz="4" w:space="0"/>
              <w:left w:val="single" w:color="000000" w:sz="4" w:space="0"/>
              <w:bottom w:val="single" w:color="000000" w:sz="4" w:space="0"/>
              <w:right w:val="single" w:color="000000" w:sz="4" w:space="0"/>
            </w:tcBorders>
          </w:tcPr>
          <w:p w14:paraId="40317816">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171</w:t>
            </w:r>
          </w:p>
        </w:tc>
        <w:tc>
          <w:tcPr>
            <w:tcW w:w="1993" w:type="dxa"/>
            <w:tcBorders>
              <w:top w:val="single" w:color="000000" w:sz="4" w:space="0"/>
              <w:left w:val="single" w:color="000000" w:sz="4" w:space="0"/>
              <w:bottom w:val="single" w:color="000000" w:sz="4" w:space="0"/>
              <w:right w:val="single" w:color="000000" w:sz="4" w:space="0"/>
            </w:tcBorders>
          </w:tcPr>
          <w:p w14:paraId="5827A21E">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51.2</w:t>
            </w:r>
          </w:p>
        </w:tc>
      </w:tr>
      <w:tr w14:paraId="592DE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 w:hRule="atLeast"/>
        </w:trPr>
        <w:tc>
          <w:tcPr>
            <w:tcW w:w="4366" w:type="dxa"/>
            <w:tcBorders>
              <w:top w:val="single" w:color="000000" w:sz="4" w:space="0"/>
              <w:left w:val="single" w:color="000000" w:sz="4" w:space="0"/>
              <w:bottom w:val="single" w:color="000000" w:sz="4" w:space="0"/>
              <w:right w:val="single" w:color="000000" w:sz="4" w:space="0"/>
            </w:tcBorders>
          </w:tcPr>
          <w:p w14:paraId="4A3433F0">
            <w:pPr>
              <w:rPr>
                <w:rFonts w:ascii="Times New Roman" w:hAnsi="Times New Roman" w:eastAsia="Times New Roman" w:cs="Times New Roman"/>
                <w:color w:val="264A60"/>
                <w:sz w:val="24"/>
                <w:szCs w:val="24"/>
              </w:rPr>
            </w:pPr>
          </w:p>
        </w:tc>
        <w:tc>
          <w:tcPr>
            <w:tcW w:w="2264" w:type="dxa"/>
            <w:tcBorders>
              <w:top w:val="single" w:color="000000" w:sz="4" w:space="0"/>
              <w:left w:val="single" w:color="000000" w:sz="4" w:space="0"/>
              <w:bottom w:val="single" w:color="000000" w:sz="4" w:space="0"/>
              <w:right w:val="single" w:color="000000" w:sz="4" w:space="0"/>
            </w:tcBorders>
          </w:tcPr>
          <w:p w14:paraId="5182CAC5">
            <w:pPr>
              <w:rPr>
                <w:rFonts w:ascii="Times New Roman" w:hAnsi="Times New Roman" w:eastAsia="Times New Roman" w:cs="Times New Roman"/>
                <w:color w:val="264A60"/>
                <w:sz w:val="24"/>
                <w:szCs w:val="24"/>
              </w:rPr>
            </w:pPr>
            <w:r>
              <w:rPr>
                <w:rFonts w:ascii="Times New Roman" w:hAnsi="Times New Roman" w:eastAsia="Times New Roman" w:cs="Times New Roman"/>
                <w:color w:val="264A60"/>
                <w:sz w:val="24"/>
                <w:szCs w:val="24"/>
              </w:rPr>
              <w:t>15 – 30 minutes</w:t>
            </w:r>
          </w:p>
        </w:tc>
        <w:tc>
          <w:tcPr>
            <w:tcW w:w="1721" w:type="dxa"/>
            <w:tcBorders>
              <w:top w:val="single" w:color="000000" w:sz="4" w:space="0"/>
              <w:left w:val="single" w:color="000000" w:sz="4" w:space="0"/>
              <w:bottom w:val="single" w:color="000000" w:sz="4" w:space="0"/>
              <w:right w:val="single" w:color="000000" w:sz="4" w:space="0"/>
            </w:tcBorders>
          </w:tcPr>
          <w:p w14:paraId="1F6DD3CA">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163</w:t>
            </w:r>
          </w:p>
        </w:tc>
        <w:tc>
          <w:tcPr>
            <w:tcW w:w="1993" w:type="dxa"/>
            <w:tcBorders>
              <w:top w:val="single" w:color="000000" w:sz="4" w:space="0"/>
              <w:left w:val="single" w:color="000000" w:sz="4" w:space="0"/>
              <w:bottom w:val="single" w:color="000000" w:sz="4" w:space="0"/>
              <w:right w:val="single" w:color="000000" w:sz="4" w:space="0"/>
            </w:tcBorders>
          </w:tcPr>
          <w:p w14:paraId="1FC8195A">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48.8</w:t>
            </w:r>
          </w:p>
        </w:tc>
      </w:tr>
      <w:tr w14:paraId="22B8B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 w:hRule="atLeast"/>
        </w:trPr>
        <w:tc>
          <w:tcPr>
            <w:tcW w:w="4366" w:type="dxa"/>
            <w:vMerge w:val="restart"/>
            <w:tcBorders>
              <w:top w:val="single" w:color="000000" w:sz="4" w:space="0"/>
              <w:left w:val="single" w:color="000000" w:sz="4" w:space="0"/>
              <w:bottom w:val="single" w:color="000000" w:sz="4" w:space="0"/>
              <w:right w:val="single" w:color="000000" w:sz="4" w:space="0"/>
            </w:tcBorders>
          </w:tcPr>
          <w:p w14:paraId="0FF5901C">
            <w:pPr>
              <w:rPr>
                <w:rFonts w:ascii="Times New Roman" w:hAnsi="Times New Roman" w:eastAsia="Times New Roman" w:cs="Times New Roman"/>
                <w:color w:val="264A60"/>
                <w:sz w:val="24"/>
                <w:szCs w:val="24"/>
              </w:rPr>
            </w:pPr>
            <w:r>
              <w:rPr>
                <w:rFonts w:ascii="Times New Roman" w:hAnsi="Times New Roman" w:eastAsia="Times New Roman" w:cs="Times New Roman"/>
                <w:bCs/>
                <w:color w:val="010205"/>
                <w:sz w:val="24"/>
                <w:szCs w:val="24"/>
              </w:rPr>
              <w:t>Waiting time at vaccination site</w:t>
            </w:r>
          </w:p>
        </w:tc>
        <w:tc>
          <w:tcPr>
            <w:tcW w:w="2264" w:type="dxa"/>
            <w:tcBorders>
              <w:top w:val="single" w:color="000000" w:sz="4" w:space="0"/>
              <w:left w:val="single" w:color="000000" w:sz="4" w:space="0"/>
              <w:bottom w:val="single" w:color="000000" w:sz="4" w:space="0"/>
              <w:right w:val="single" w:color="000000" w:sz="4" w:space="0"/>
            </w:tcBorders>
          </w:tcPr>
          <w:p w14:paraId="393D7FFF">
            <w:pPr>
              <w:rPr>
                <w:rFonts w:ascii="Times New Roman" w:hAnsi="Times New Roman" w:eastAsia="Times New Roman" w:cs="Times New Roman"/>
                <w:color w:val="264A60"/>
                <w:sz w:val="24"/>
                <w:szCs w:val="24"/>
              </w:rPr>
            </w:pPr>
            <w:r>
              <w:rPr>
                <w:rFonts w:ascii="Times New Roman" w:hAnsi="Times New Roman" w:eastAsia="Times New Roman" w:cs="Times New Roman"/>
                <w:color w:val="264A60"/>
                <w:sz w:val="24"/>
                <w:szCs w:val="24"/>
              </w:rPr>
              <w:t>No queue</w:t>
            </w:r>
          </w:p>
        </w:tc>
        <w:tc>
          <w:tcPr>
            <w:tcW w:w="1721" w:type="dxa"/>
            <w:tcBorders>
              <w:top w:val="single" w:color="000000" w:sz="4" w:space="0"/>
              <w:left w:val="single" w:color="000000" w:sz="4" w:space="0"/>
              <w:bottom w:val="single" w:color="000000" w:sz="4" w:space="0"/>
              <w:right w:val="single" w:color="000000" w:sz="4" w:space="0"/>
            </w:tcBorders>
          </w:tcPr>
          <w:p w14:paraId="36817E76">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6</w:t>
            </w:r>
          </w:p>
        </w:tc>
        <w:tc>
          <w:tcPr>
            <w:tcW w:w="1993" w:type="dxa"/>
            <w:tcBorders>
              <w:top w:val="single" w:color="000000" w:sz="4" w:space="0"/>
              <w:left w:val="single" w:color="000000" w:sz="4" w:space="0"/>
              <w:bottom w:val="single" w:color="000000" w:sz="4" w:space="0"/>
              <w:right w:val="single" w:color="000000" w:sz="4" w:space="0"/>
            </w:tcBorders>
          </w:tcPr>
          <w:p w14:paraId="485B3295">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1.8</w:t>
            </w:r>
          </w:p>
        </w:tc>
      </w:tr>
      <w:tr w14:paraId="0C7EB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F10CAA4">
            <w:pPr>
              <w:rPr>
                <w:rFonts w:ascii="Times New Roman" w:hAnsi="Times New Roman" w:eastAsia="Times New Roman" w:cs="Times New Roman"/>
                <w:color w:val="264A60"/>
                <w:sz w:val="24"/>
                <w:szCs w:val="24"/>
              </w:rPr>
            </w:pPr>
          </w:p>
        </w:tc>
        <w:tc>
          <w:tcPr>
            <w:tcW w:w="2264" w:type="dxa"/>
            <w:tcBorders>
              <w:top w:val="single" w:color="000000" w:sz="4" w:space="0"/>
              <w:left w:val="single" w:color="000000" w:sz="4" w:space="0"/>
              <w:bottom w:val="single" w:color="000000" w:sz="4" w:space="0"/>
              <w:right w:val="single" w:color="000000" w:sz="4" w:space="0"/>
            </w:tcBorders>
          </w:tcPr>
          <w:p w14:paraId="700BB6E8">
            <w:pPr>
              <w:rPr>
                <w:rFonts w:ascii="Times New Roman" w:hAnsi="Times New Roman" w:eastAsia="Times New Roman" w:cs="Times New Roman"/>
                <w:color w:val="264A60"/>
                <w:sz w:val="24"/>
                <w:szCs w:val="24"/>
              </w:rPr>
            </w:pPr>
            <w:r>
              <w:rPr>
                <w:rFonts w:ascii="Times New Roman" w:hAnsi="Times New Roman" w:eastAsia="Times New Roman" w:cs="Times New Roman"/>
                <w:color w:val="264A60"/>
                <w:sz w:val="24"/>
                <w:szCs w:val="24"/>
              </w:rPr>
              <w:t>30 minute to 1 hour</w:t>
            </w:r>
          </w:p>
        </w:tc>
        <w:tc>
          <w:tcPr>
            <w:tcW w:w="1721" w:type="dxa"/>
            <w:tcBorders>
              <w:top w:val="single" w:color="000000" w:sz="4" w:space="0"/>
              <w:left w:val="single" w:color="000000" w:sz="4" w:space="0"/>
              <w:bottom w:val="single" w:color="000000" w:sz="4" w:space="0"/>
              <w:right w:val="single" w:color="000000" w:sz="4" w:space="0"/>
            </w:tcBorders>
          </w:tcPr>
          <w:p w14:paraId="50218A07">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315</w:t>
            </w:r>
          </w:p>
        </w:tc>
        <w:tc>
          <w:tcPr>
            <w:tcW w:w="1993" w:type="dxa"/>
            <w:tcBorders>
              <w:top w:val="single" w:color="000000" w:sz="4" w:space="0"/>
              <w:left w:val="single" w:color="000000" w:sz="4" w:space="0"/>
              <w:bottom w:val="single" w:color="000000" w:sz="4" w:space="0"/>
              <w:right w:val="single" w:color="000000" w:sz="4" w:space="0"/>
            </w:tcBorders>
          </w:tcPr>
          <w:p w14:paraId="37F5BC9B">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94.3</w:t>
            </w:r>
          </w:p>
        </w:tc>
      </w:tr>
      <w:tr w14:paraId="40BB3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CA2D969">
            <w:pPr>
              <w:rPr>
                <w:rFonts w:ascii="Times New Roman" w:hAnsi="Times New Roman" w:eastAsia="Times New Roman" w:cs="Times New Roman"/>
                <w:color w:val="264A60"/>
                <w:sz w:val="24"/>
                <w:szCs w:val="24"/>
              </w:rPr>
            </w:pPr>
          </w:p>
        </w:tc>
        <w:tc>
          <w:tcPr>
            <w:tcW w:w="2264" w:type="dxa"/>
            <w:tcBorders>
              <w:top w:val="single" w:color="000000" w:sz="4" w:space="0"/>
              <w:left w:val="single" w:color="000000" w:sz="4" w:space="0"/>
              <w:bottom w:val="single" w:color="000000" w:sz="4" w:space="0"/>
              <w:right w:val="single" w:color="000000" w:sz="4" w:space="0"/>
            </w:tcBorders>
          </w:tcPr>
          <w:p w14:paraId="73BCE8FC">
            <w:pPr>
              <w:rPr>
                <w:rFonts w:ascii="Times New Roman" w:hAnsi="Times New Roman" w:eastAsia="Times New Roman" w:cs="Times New Roman"/>
                <w:color w:val="264A60"/>
                <w:sz w:val="24"/>
                <w:szCs w:val="24"/>
              </w:rPr>
            </w:pPr>
            <w:r>
              <w:rPr>
                <w:rFonts w:ascii="Times New Roman" w:hAnsi="Times New Roman" w:eastAsia="Times New Roman" w:cs="Times New Roman"/>
                <w:color w:val="264A60"/>
                <w:sz w:val="24"/>
                <w:szCs w:val="24"/>
              </w:rPr>
              <w:t>1-2 hour</w:t>
            </w:r>
          </w:p>
        </w:tc>
        <w:tc>
          <w:tcPr>
            <w:tcW w:w="1721" w:type="dxa"/>
            <w:tcBorders>
              <w:top w:val="single" w:color="000000" w:sz="4" w:space="0"/>
              <w:left w:val="single" w:color="000000" w:sz="4" w:space="0"/>
              <w:bottom w:val="single" w:color="000000" w:sz="4" w:space="0"/>
              <w:right w:val="single" w:color="000000" w:sz="4" w:space="0"/>
            </w:tcBorders>
          </w:tcPr>
          <w:p w14:paraId="45FAE51A">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13</w:t>
            </w:r>
          </w:p>
        </w:tc>
        <w:tc>
          <w:tcPr>
            <w:tcW w:w="1993" w:type="dxa"/>
            <w:tcBorders>
              <w:top w:val="single" w:color="000000" w:sz="4" w:space="0"/>
              <w:left w:val="single" w:color="000000" w:sz="4" w:space="0"/>
              <w:bottom w:val="single" w:color="000000" w:sz="4" w:space="0"/>
              <w:right w:val="single" w:color="000000" w:sz="4" w:space="0"/>
            </w:tcBorders>
          </w:tcPr>
          <w:p w14:paraId="232EB420">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3.9</w:t>
            </w:r>
          </w:p>
        </w:tc>
      </w:tr>
      <w:tr w14:paraId="1B6DD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 w:hRule="atLeast"/>
        </w:trPr>
        <w:tc>
          <w:tcPr>
            <w:tcW w:w="4366" w:type="dxa"/>
            <w:vMerge w:val="restart"/>
            <w:tcBorders>
              <w:top w:val="single" w:color="000000" w:sz="4" w:space="0"/>
              <w:left w:val="single" w:color="000000" w:sz="4" w:space="0"/>
              <w:bottom w:val="single" w:color="000000" w:sz="4" w:space="0"/>
              <w:right w:val="single" w:color="000000" w:sz="4" w:space="0"/>
            </w:tcBorders>
          </w:tcPr>
          <w:p w14:paraId="79BFE5D1">
            <w:pPr>
              <w:rPr>
                <w:rFonts w:ascii="Times New Roman" w:hAnsi="Times New Roman" w:eastAsia="Times New Roman" w:cs="Times New Roman"/>
                <w:color w:val="264A60"/>
                <w:sz w:val="24"/>
                <w:szCs w:val="24"/>
              </w:rPr>
            </w:pPr>
            <w:r>
              <w:rPr>
                <w:rFonts w:ascii="Times New Roman" w:hAnsi="Times New Roman" w:eastAsia="Times New Roman" w:cs="Times New Roman"/>
                <w:bCs/>
                <w:color w:val="010205"/>
                <w:sz w:val="24"/>
                <w:szCs w:val="24"/>
              </w:rPr>
              <w:t>Attitude toward vaccinators</w:t>
            </w:r>
          </w:p>
        </w:tc>
        <w:tc>
          <w:tcPr>
            <w:tcW w:w="2264" w:type="dxa"/>
            <w:tcBorders>
              <w:top w:val="single" w:color="000000" w:sz="4" w:space="0"/>
              <w:left w:val="single" w:color="000000" w:sz="4" w:space="0"/>
              <w:bottom w:val="single" w:color="000000" w:sz="4" w:space="0"/>
              <w:right w:val="single" w:color="000000" w:sz="4" w:space="0"/>
            </w:tcBorders>
          </w:tcPr>
          <w:p w14:paraId="0AF602D5">
            <w:pPr>
              <w:rPr>
                <w:rFonts w:ascii="Times New Roman" w:hAnsi="Times New Roman" w:eastAsia="Times New Roman" w:cs="Times New Roman"/>
                <w:color w:val="264A60"/>
                <w:sz w:val="24"/>
                <w:szCs w:val="24"/>
              </w:rPr>
            </w:pPr>
            <w:r>
              <w:rPr>
                <w:rFonts w:ascii="Times New Roman" w:hAnsi="Times New Roman" w:eastAsia="Times New Roman" w:cs="Times New Roman"/>
                <w:color w:val="264A60"/>
                <w:sz w:val="24"/>
                <w:szCs w:val="24"/>
              </w:rPr>
              <w:t>Excellent</w:t>
            </w:r>
          </w:p>
        </w:tc>
        <w:tc>
          <w:tcPr>
            <w:tcW w:w="1721" w:type="dxa"/>
            <w:tcBorders>
              <w:top w:val="single" w:color="000000" w:sz="4" w:space="0"/>
              <w:left w:val="single" w:color="000000" w:sz="4" w:space="0"/>
              <w:bottom w:val="single" w:color="000000" w:sz="4" w:space="0"/>
              <w:right w:val="single" w:color="000000" w:sz="4" w:space="0"/>
            </w:tcBorders>
          </w:tcPr>
          <w:p w14:paraId="62A47C83">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270</w:t>
            </w:r>
          </w:p>
        </w:tc>
        <w:tc>
          <w:tcPr>
            <w:tcW w:w="1993" w:type="dxa"/>
            <w:tcBorders>
              <w:top w:val="single" w:color="000000" w:sz="4" w:space="0"/>
              <w:left w:val="single" w:color="000000" w:sz="4" w:space="0"/>
              <w:bottom w:val="single" w:color="000000" w:sz="4" w:space="0"/>
              <w:right w:val="single" w:color="000000" w:sz="4" w:space="0"/>
            </w:tcBorders>
          </w:tcPr>
          <w:p w14:paraId="5D17A1CF">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80.8</w:t>
            </w:r>
          </w:p>
        </w:tc>
      </w:tr>
      <w:tr w14:paraId="294CF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7750063">
            <w:pPr>
              <w:rPr>
                <w:rFonts w:ascii="Times New Roman" w:hAnsi="Times New Roman" w:eastAsia="Times New Roman" w:cs="Times New Roman"/>
                <w:color w:val="264A60"/>
                <w:sz w:val="24"/>
                <w:szCs w:val="24"/>
              </w:rPr>
            </w:pPr>
          </w:p>
        </w:tc>
        <w:tc>
          <w:tcPr>
            <w:tcW w:w="2264" w:type="dxa"/>
            <w:tcBorders>
              <w:top w:val="single" w:color="000000" w:sz="4" w:space="0"/>
              <w:left w:val="single" w:color="000000" w:sz="4" w:space="0"/>
              <w:bottom w:val="single" w:color="000000" w:sz="4" w:space="0"/>
              <w:right w:val="single" w:color="000000" w:sz="4" w:space="0"/>
            </w:tcBorders>
          </w:tcPr>
          <w:p w14:paraId="7BA0E6CE">
            <w:pPr>
              <w:rPr>
                <w:rFonts w:ascii="Times New Roman" w:hAnsi="Times New Roman" w:eastAsia="Times New Roman" w:cs="Times New Roman"/>
                <w:color w:val="264A60"/>
                <w:sz w:val="24"/>
                <w:szCs w:val="24"/>
              </w:rPr>
            </w:pPr>
            <w:r>
              <w:rPr>
                <w:rFonts w:ascii="Times New Roman" w:hAnsi="Times New Roman" w:eastAsia="Times New Roman" w:cs="Times New Roman"/>
                <w:color w:val="264A60"/>
                <w:sz w:val="24"/>
                <w:szCs w:val="24"/>
              </w:rPr>
              <w:t>Very good</w:t>
            </w:r>
          </w:p>
        </w:tc>
        <w:tc>
          <w:tcPr>
            <w:tcW w:w="1721" w:type="dxa"/>
            <w:tcBorders>
              <w:top w:val="single" w:color="000000" w:sz="4" w:space="0"/>
              <w:left w:val="single" w:color="000000" w:sz="4" w:space="0"/>
              <w:bottom w:val="single" w:color="000000" w:sz="4" w:space="0"/>
              <w:right w:val="single" w:color="000000" w:sz="4" w:space="0"/>
            </w:tcBorders>
          </w:tcPr>
          <w:p w14:paraId="2A9BC154">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58</w:t>
            </w:r>
          </w:p>
        </w:tc>
        <w:tc>
          <w:tcPr>
            <w:tcW w:w="1993" w:type="dxa"/>
            <w:tcBorders>
              <w:top w:val="single" w:color="000000" w:sz="4" w:space="0"/>
              <w:left w:val="single" w:color="000000" w:sz="4" w:space="0"/>
              <w:bottom w:val="single" w:color="000000" w:sz="4" w:space="0"/>
              <w:right w:val="single" w:color="000000" w:sz="4" w:space="0"/>
            </w:tcBorders>
          </w:tcPr>
          <w:p w14:paraId="12D44809">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17.4</w:t>
            </w:r>
          </w:p>
        </w:tc>
      </w:tr>
      <w:tr w14:paraId="6D4E7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3C22B9D">
            <w:pPr>
              <w:rPr>
                <w:rFonts w:ascii="Times New Roman" w:hAnsi="Times New Roman" w:eastAsia="Times New Roman" w:cs="Times New Roman"/>
                <w:color w:val="264A60"/>
                <w:sz w:val="24"/>
                <w:szCs w:val="24"/>
              </w:rPr>
            </w:pPr>
          </w:p>
        </w:tc>
        <w:tc>
          <w:tcPr>
            <w:tcW w:w="2264" w:type="dxa"/>
            <w:tcBorders>
              <w:top w:val="single" w:color="000000" w:sz="4" w:space="0"/>
              <w:left w:val="single" w:color="000000" w:sz="4" w:space="0"/>
              <w:bottom w:val="single" w:color="000000" w:sz="4" w:space="0"/>
              <w:right w:val="single" w:color="000000" w:sz="4" w:space="0"/>
            </w:tcBorders>
          </w:tcPr>
          <w:p w14:paraId="4579062A">
            <w:pPr>
              <w:rPr>
                <w:rFonts w:ascii="Times New Roman" w:hAnsi="Times New Roman" w:eastAsia="Times New Roman" w:cs="Times New Roman"/>
                <w:color w:val="264A60"/>
                <w:sz w:val="24"/>
                <w:szCs w:val="24"/>
              </w:rPr>
            </w:pPr>
            <w:r>
              <w:rPr>
                <w:rFonts w:ascii="Times New Roman" w:hAnsi="Times New Roman" w:eastAsia="Times New Roman" w:cs="Times New Roman"/>
                <w:color w:val="264A60"/>
                <w:sz w:val="24"/>
                <w:szCs w:val="24"/>
              </w:rPr>
              <w:t>Good</w:t>
            </w:r>
          </w:p>
        </w:tc>
        <w:tc>
          <w:tcPr>
            <w:tcW w:w="1721" w:type="dxa"/>
            <w:tcBorders>
              <w:top w:val="single" w:color="000000" w:sz="4" w:space="0"/>
              <w:left w:val="single" w:color="000000" w:sz="4" w:space="0"/>
              <w:bottom w:val="single" w:color="000000" w:sz="4" w:space="0"/>
              <w:right w:val="single" w:color="000000" w:sz="4" w:space="0"/>
            </w:tcBorders>
          </w:tcPr>
          <w:p w14:paraId="63E1444A">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6</w:t>
            </w:r>
          </w:p>
        </w:tc>
        <w:tc>
          <w:tcPr>
            <w:tcW w:w="1993" w:type="dxa"/>
            <w:tcBorders>
              <w:top w:val="single" w:color="000000" w:sz="4" w:space="0"/>
              <w:left w:val="single" w:color="000000" w:sz="4" w:space="0"/>
              <w:bottom w:val="single" w:color="000000" w:sz="4" w:space="0"/>
              <w:right w:val="single" w:color="000000" w:sz="4" w:space="0"/>
            </w:tcBorders>
          </w:tcPr>
          <w:p w14:paraId="3CF7766C">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1.8</w:t>
            </w:r>
          </w:p>
        </w:tc>
      </w:tr>
      <w:tr w14:paraId="66F01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 w:hRule="atLeast"/>
        </w:trPr>
        <w:tc>
          <w:tcPr>
            <w:tcW w:w="4366" w:type="dxa"/>
            <w:vMerge w:val="restart"/>
            <w:tcBorders>
              <w:top w:val="single" w:color="000000" w:sz="4" w:space="0"/>
              <w:left w:val="single" w:color="000000" w:sz="4" w:space="0"/>
              <w:bottom w:val="single" w:color="000000" w:sz="4" w:space="0"/>
              <w:right w:val="single" w:color="000000" w:sz="4" w:space="0"/>
            </w:tcBorders>
          </w:tcPr>
          <w:p w14:paraId="63463730">
            <w:pPr>
              <w:rPr>
                <w:rFonts w:ascii="Times New Roman" w:hAnsi="Times New Roman" w:eastAsia="Times New Roman" w:cs="Times New Roman"/>
                <w:color w:val="264A60"/>
                <w:sz w:val="24"/>
                <w:szCs w:val="24"/>
              </w:rPr>
            </w:pPr>
            <w:r>
              <w:rPr>
                <w:rFonts w:ascii="Times New Roman" w:hAnsi="Times New Roman" w:eastAsia="Times New Roman" w:cs="Times New Roman"/>
                <w:bCs/>
                <w:color w:val="010205"/>
                <w:sz w:val="24"/>
                <w:szCs w:val="24"/>
              </w:rPr>
              <w:t xml:space="preserve">Confidence on immunization service </w:t>
            </w:r>
          </w:p>
        </w:tc>
        <w:tc>
          <w:tcPr>
            <w:tcW w:w="2264" w:type="dxa"/>
            <w:tcBorders>
              <w:top w:val="single" w:color="000000" w:sz="4" w:space="0"/>
              <w:left w:val="single" w:color="000000" w:sz="4" w:space="0"/>
              <w:bottom w:val="single" w:color="000000" w:sz="4" w:space="0"/>
              <w:right w:val="single" w:color="000000" w:sz="4" w:space="0"/>
            </w:tcBorders>
          </w:tcPr>
          <w:p w14:paraId="02E5A2FF">
            <w:pPr>
              <w:rPr>
                <w:rFonts w:ascii="Times New Roman" w:hAnsi="Times New Roman" w:eastAsia="Times New Roman" w:cs="Times New Roman"/>
                <w:color w:val="264A60"/>
                <w:sz w:val="24"/>
                <w:szCs w:val="24"/>
              </w:rPr>
            </w:pPr>
            <w:r>
              <w:rPr>
                <w:rFonts w:ascii="Times New Roman" w:hAnsi="Times New Roman" w:eastAsia="Times New Roman" w:cs="Times New Roman"/>
                <w:color w:val="264A60"/>
                <w:sz w:val="24"/>
                <w:szCs w:val="24"/>
              </w:rPr>
              <w:t>Excellent</w:t>
            </w:r>
          </w:p>
        </w:tc>
        <w:tc>
          <w:tcPr>
            <w:tcW w:w="1721" w:type="dxa"/>
            <w:tcBorders>
              <w:top w:val="single" w:color="000000" w:sz="4" w:space="0"/>
              <w:left w:val="single" w:color="000000" w:sz="4" w:space="0"/>
              <w:bottom w:val="single" w:color="000000" w:sz="4" w:space="0"/>
              <w:right w:val="single" w:color="000000" w:sz="4" w:space="0"/>
            </w:tcBorders>
          </w:tcPr>
          <w:p w14:paraId="40A9C57B">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270</w:t>
            </w:r>
          </w:p>
        </w:tc>
        <w:tc>
          <w:tcPr>
            <w:tcW w:w="1993" w:type="dxa"/>
            <w:tcBorders>
              <w:top w:val="single" w:color="000000" w:sz="4" w:space="0"/>
              <w:left w:val="single" w:color="000000" w:sz="4" w:space="0"/>
              <w:bottom w:val="single" w:color="000000" w:sz="4" w:space="0"/>
              <w:right w:val="single" w:color="000000" w:sz="4" w:space="0"/>
            </w:tcBorders>
          </w:tcPr>
          <w:p w14:paraId="4B0D8D37">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80.8</w:t>
            </w:r>
          </w:p>
        </w:tc>
      </w:tr>
      <w:tr w14:paraId="7496CF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55BC602">
            <w:pPr>
              <w:rPr>
                <w:rFonts w:ascii="Times New Roman" w:hAnsi="Times New Roman" w:eastAsia="Times New Roman" w:cs="Times New Roman"/>
                <w:color w:val="264A60"/>
                <w:sz w:val="24"/>
                <w:szCs w:val="24"/>
              </w:rPr>
            </w:pPr>
          </w:p>
        </w:tc>
        <w:tc>
          <w:tcPr>
            <w:tcW w:w="2264" w:type="dxa"/>
            <w:tcBorders>
              <w:top w:val="single" w:color="000000" w:sz="4" w:space="0"/>
              <w:left w:val="single" w:color="000000" w:sz="4" w:space="0"/>
              <w:bottom w:val="single" w:color="000000" w:sz="4" w:space="0"/>
              <w:right w:val="single" w:color="000000" w:sz="4" w:space="0"/>
            </w:tcBorders>
          </w:tcPr>
          <w:p w14:paraId="0838F1AF">
            <w:pPr>
              <w:rPr>
                <w:rFonts w:ascii="Times New Roman" w:hAnsi="Times New Roman" w:eastAsia="Times New Roman" w:cs="Times New Roman"/>
                <w:color w:val="264A60"/>
                <w:sz w:val="24"/>
                <w:szCs w:val="24"/>
              </w:rPr>
            </w:pPr>
            <w:r>
              <w:rPr>
                <w:rFonts w:ascii="Times New Roman" w:hAnsi="Times New Roman" w:eastAsia="Times New Roman" w:cs="Times New Roman"/>
                <w:color w:val="264A60"/>
                <w:sz w:val="24"/>
                <w:szCs w:val="24"/>
              </w:rPr>
              <w:t>Very good</w:t>
            </w:r>
          </w:p>
        </w:tc>
        <w:tc>
          <w:tcPr>
            <w:tcW w:w="1721" w:type="dxa"/>
            <w:tcBorders>
              <w:top w:val="single" w:color="000000" w:sz="4" w:space="0"/>
              <w:left w:val="single" w:color="000000" w:sz="4" w:space="0"/>
              <w:bottom w:val="single" w:color="000000" w:sz="4" w:space="0"/>
              <w:right w:val="single" w:color="000000" w:sz="4" w:space="0"/>
            </w:tcBorders>
          </w:tcPr>
          <w:p w14:paraId="616ADF02">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12</w:t>
            </w:r>
          </w:p>
        </w:tc>
        <w:tc>
          <w:tcPr>
            <w:tcW w:w="1993" w:type="dxa"/>
            <w:tcBorders>
              <w:top w:val="single" w:color="000000" w:sz="4" w:space="0"/>
              <w:left w:val="single" w:color="000000" w:sz="4" w:space="0"/>
              <w:bottom w:val="single" w:color="000000" w:sz="4" w:space="0"/>
              <w:right w:val="single" w:color="000000" w:sz="4" w:space="0"/>
            </w:tcBorders>
          </w:tcPr>
          <w:p w14:paraId="50C89D5F">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3.6</w:t>
            </w:r>
          </w:p>
        </w:tc>
      </w:tr>
      <w:tr w14:paraId="212F6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464DCBD">
            <w:pPr>
              <w:rPr>
                <w:rFonts w:ascii="Times New Roman" w:hAnsi="Times New Roman" w:eastAsia="Times New Roman" w:cs="Times New Roman"/>
                <w:color w:val="264A60"/>
                <w:sz w:val="24"/>
                <w:szCs w:val="24"/>
              </w:rPr>
            </w:pPr>
          </w:p>
        </w:tc>
        <w:tc>
          <w:tcPr>
            <w:tcW w:w="2264" w:type="dxa"/>
            <w:tcBorders>
              <w:top w:val="single" w:color="000000" w:sz="4" w:space="0"/>
              <w:left w:val="single" w:color="000000" w:sz="4" w:space="0"/>
              <w:bottom w:val="single" w:color="000000" w:sz="4" w:space="0"/>
              <w:right w:val="single" w:color="000000" w:sz="4" w:space="0"/>
            </w:tcBorders>
          </w:tcPr>
          <w:p w14:paraId="26190796">
            <w:pPr>
              <w:rPr>
                <w:rFonts w:ascii="Times New Roman" w:hAnsi="Times New Roman" w:eastAsia="Times New Roman" w:cs="Times New Roman"/>
                <w:color w:val="264A60"/>
                <w:sz w:val="24"/>
                <w:szCs w:val="24"/>
              </w:rPr>
            </w:pPr>
            <w:r>
              <w:rPr>
                <w:rFonts w:ascii="Times New Roman" w:hAnsi="Times New Roman" w:eastAsia="Times New Roman" w:cs="Times New Roman"/>
                <w:color w:val="264A60"/>
                <w:sz w:val="24"/>
                <w:szCs w:val="24"/>
              </w:rPr>
              <w:t>Good</w:t>
            </w:r>
          </w:p>
        </w:tc>
        <w:tc>
          <w:tcPr>
            <w:tcW w:w="1721" w:type="dxa"/>
            <w:tcBorders>
              <w:top w:val="single" w:color="000000" w:sz="4" w:space="0"/>
              <w:left w:val="single" w:color="000000" w:sz="4" w:space="0"/>
              <w:bottom w:val="single" w:color="000000" w:sz="4" w:space="0"/>
              <w:right w:val="single" w:color="000000" w:sz="4" w:space="0"/>
            </w:tcBorders>
          </w:tcPr>
          <w:p w14:paraId="75300CC7">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52</w:t>
            </w:r>
          </w:p>
        </w:tc>
        <w:tc>
          <w:tcPr>
            <w:tcW w:w="1993" w:type="dxa"/>
            <w:tcBorders>
              <w:top w:val="single" w:color="000000" w:sz="4" w:space="0"/>
              <w:left w:val="single" w:color="000000" w:sz="4" w:space="0"/>
              <w:bottom w:val="single" w:color="000000" w:sz="4" w:space="0"/>
              <w:right w:val="single" w:color="000000" w:sz="4" w:space="0"/>
            </w:tcBorders>
          </w:tcPr>
          <w:p w14:paraId="0EEE061B">
            <w:pPr>
              <w:rPr>
                <w:rFonts w:ascii="Times New Roman" w:hAnsi="Times New Roman" w:eastAsia="Times New Roman" w:cs="Times New Roman"/>
                <w:color w:val="010205"/>
                <w:sz w:val="24"/>
                <w:szCs w:val="24"/>
              </w:rPr>
            </w:pPr>
            <w:r>
              <w:rPr>
                <w:rFonts w:ascii="Times New Roman" w:hAnsi="Times New Roman" w:eastAsia="Times New Roman" w:cs="Times New Roman"/>
                <w:color w:val="010205"/>
                <w:sz w:val="24"/>
                <w:szCs w:val="24"/>
              </w:rPr>
              <w:t>15.6</w:t>
            </w:r>
          </w:p>
        </w:tc>
      </w:tr>
      <w:tr w14:paraId="67E075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9" w:hRule="atLeast"/>
        </w:trPr>
        <w:tc>
          <w:tcPr>
            <w:tcW w:w="4366" w:type="dxa"/>
            <w:vMerge w:val="restart"/>
            <w:tcBorders>
              <w:top w:val="single" w:color="000000" w:sz="4" w:space="0"/>
              <w:left w:val="single" w:color="000000" w:sz="4" w:space="0"/>
              <w:bottom w:val="single" w:color="000000" w:sz="4" w:space="0"/>
              <w:right w:val="single" w:color="000000" w:sz="4" w:space="0"/>
            </w:tcBorders>
          </w:tcPr>
          <w:p w14:paraId="3A585F15">
            <w:pPr>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Recommending vaccine to other</w:t>
            </w:r>
          </w:p>
        </w:tc>
        <w:tc>
          <w:tcPr>
            <w:tcW w:w="2264" w:type="dxa"/>
            <w:tcBorders>
              <w:top w:val="single" w:color="000000" w:sz="4" w:space="0"/>
              <w:left w:val="single" w:color="000000" w:sz="4" w:space="0"/>
              <w:bottom w:val="single" w:color="000000" w:sz="4" w:space="0"/>
              <w:right w:val="single" w:color="000000" w:sz="4" w:space="0"/>
            </w:tcBorders>
            <w:vAlign w:val="center"/>
          </w:tcPr>
          <w:p w14:paraId="3913FA34">
            <w:pPr>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Yes</w:t>
            </w:r>
          </w:p>
        </w:tc>
        <w:tc>
          <w:tcPr>
            <w:tcW w:w="1721" w:type="dxa"/>
            <w:tcBorders>
              <w:top w:val="single" w:color="000000" w:sz="4" w:space="0"/>
              <w:left w:val="single" w:color="000000" w:sz="4" w:space="0"/>
              <w:bottom w:val="single" w:color="000000" w:sz="4" w:space="0"/>
              <w:right w:val="single" w:color="000000" w:sz="4" w:space="0"/>
            </w:tcBorders>
            <w:vAlign w:val="center"/>
          </w:tcPr>
          <w:p w14:paraId="6C9C273A">
            <w:pPr>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99</w:t>
            </w:r>
          </w:p>
        </w:tc>
        <w:tc>
          <w:tcPr>
            <w:tcW w:w="1993" w:type="dxa"/>
            <w:tcBorders>
              <w:top w:val="single" w:color="000000" w:sz="4" w:space="0"/>
              <w:left w:val="single" w:color="000000" w:sz="4" w:space="0"/>
              <w:bottom w:val="single" w:color="000000" w:sz="4" w:space="0"/>
              <w:right w:val="single" w:color="000000" w:sz="4" w:space="0"/>
            </w:tcBorders>
            <w:vAlign w:val="center"/>
          </w:tcPr>
          <w:p w14:paraId="6C786036">
            <w:pPr>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29.6</w:t>
            </w:r>
          </w:p>
        </w:tc>
      </w:tr>
      <w:tr w14:paraId="5FC8A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CA799F0">
            <w:pPr>
              <w:rPr>
                <w:rFonts w:ascii="Times New Roman" w:hAnsi="Times New Roman" w:cs="Times New Roman"/>
                <w:bCs/>
                <w:color w:val="000000"/>
                <w:sz w:val="24"/>
                <w:szCs w:val="24"/>
              </w:rPr>
            </w:pPr>
          </w:p>
        </w:tc>
        <w:tc>
          <w:tcPr>
            <w:tcW w:w="2264" w:type="dxa"/>
            <w:tcBorders>
              <w:top w:val="single" w:color="000000" w:sz="4" w:space="0"/>
              <w:left w:val="single" w:color="000000" w:sz="4" w:space="0"/>
              <w:bottom w:val="single" w:color="000000" w:sz="4" w:space="0"/>
              <w:right w:val="single" w:color="000000" w:sz="4" w:space="0"/>
            </w:tcBorders>
            <w:vAlign w:val="center"/>
          </w:tcPr>
          <w:p w14:paraId="19A9A207">
            <w:pPr>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No</w:t>
            </w:r>
          </w:p>
        </w:tc>
        <w:tc>
          <w:tcPr>
            <w:tcW w:w="1721" w:type="dxa"/>
            <w:tcBorders>
              <w:top w:val="single" w:color="000000" w:sz="4" w:space="0"/>
              <w:left w:val="single" w:color="000000" w:sz="4" w:space="0"/>
              <w:bottom w:val="single" w:color="000000" w:sz="4" w:space="0"/>
              <w:right w:val="single" w:color="000000" w:sz="4" w:space="0"/>
            </w:tcBorders>
            <w:vAlign w:val="center"/>
          </w:tcPr>
          <w:p w14:paraId="71BBB8F4">
            <w:pPr>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235</w:t>
            </w:r>
          </w:p>
        </w:tc>
        <w:tc>
          <w:tcPr>
            <w:tcW w:w="1993" w:type="dxa"/>
            <w:tcBorders>
              <w:top w:val="single" w:color="000000" w:sz="4" w:space="0"/>
              <w:left w:val="single" w:color="000000" w:sz="4" w:space="0"/>
              <w:bottom w:val="single" w:color="000000" w:sz="4" w:space="0"/>
              <w:right w:val="single" w:color="000000" w:sz="4" w:space="0"/>
            </w:tcBorders>
            <w:vAlign w:val="center"/>
          </w:tcPr>
          <w:p w14:paraId="0909CD00">
            <w:pPr>
              <w:autoSpaceDE w:val="0"/>
              <w:autoSpaceDN w:val="0"/>
              <w:adjustRightInd w:val="0"/>
              <w:spacing w:line="320" w:lineRule="atLeast"/>
              <w:ind w:left="60" w:right="60"/>
              <w:rPr>
                <w:rFonts w:ascii="Times New Roman" w:hAnsi="Times New Roman" w:cs="Times New Roman"/>
                <w:color w:val="000000"/>
                <w:sz w:val="24"/>
                <w:szCs w:val="24"/>
              </w:rPr>
            </w:pPr>
            <w:r>
              <w:rPr>
                <w:rFonts w:ascii="Times New Roman" w:hAnsi="Times New Roman" w:cs="Times New Roman"/>
                <w:color w:val="000000"/>
                <w:sz w:val="24"/>
                <w:szCs w:val="24"/>
              </w:rPr>
              <w:t>70.4</w:t>
            </w:r>
          </w:p>
        </w:tc>
      </w:tr>
      <w:tr w14:paraId="75669F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 w:hRule="atLeast"/>
        </w:trPr>
        <w:tc>
          <w:tcPr>
            <w:tcW w:w="4366" w:type="dxa"/>
            <w:vMerge w:val="restart"/>
            <w:tcBorders>
              <w:top w:val="single" w:color="000000" w:sz="4" w:space="0"/>
              <w:left w:val="single" w:color="000000" w:sz="4" w:space="0"/>
              <w:bottom w:val="single" w:color="000000" w:sz="4" w:space="0"/>
              <w:right w:val="single" w:color="000000" w:sz="4" w:space="0"/>
            </w:tcBorders>
            <w:vAlign w:val="center"/>
          </w:tcPr>
          <w:p w14:paraId="6258EBF6">
            <w:pPr>
              <w:rPr>
                <w:rFonts w:ascii="Times New Roman" w:hAnsi="Times New Roman" w:cs="Times New Roman"/>
                <w:color w:val="264A60"/>
                <w:sz w:val="24"/>
                <w:szCs w:val="24"/>
              </w:rPr>
            </w:pPr>
            <w:r>
              <w:rPr>
                <w:rFonts w:ascii="Times New Roman" w:hAnsi="Times New Roman" w:cs="Times New Roman"/>
                <w:color w:val="264A60"/>
                <w:sz w:val="24"/>
                <w:szCs w:val="24"/>
              </w:rPr>
              <w:t xml:space="preserve">Perceived importance of vaccine </w:t>
            </w:r>
          </w:p>
        </w:tc>
        <w:tc>
          <w:tcPr>
            <w:tcW w:w="2264" w:type="dxa"/>
            <w:tcBorders>
              <w:top w:val="single" w:color="000000" w:sz="4" w:space="0"/>
              <w:left w:val="single" w:color="000000" w:sz="4" w:space="0"/>
              <w:bottom w:val="single" w:color="000000" w:sz="4" w:space="0"/>
              <w:right w:val="single" w:color="000000" w:sz="4" w:space="0"/>
            </w:tcBorders>
            <w:vAlign w:val="center"/>
          </w:tcPr>
          <w:p w14:paraId="001E62FF">
            <w:pPr>
              <w:rPr>
                <w:rFonts w:ascii="Times New Roman" w:hAnsi="Times New Roman" w:cs="Times New Roman"/>
                <w:color w:val="264A60"/>
                <w:sz w:val="24"/>
                <w:szCs w:val="24"/>
              </w:rPr>
            </w:pPr>
            <w:r>
              <w:rPr>
                <w:rFonts w:ascii="Times New Roman" w:hAnsi="Times New Roman" w:cs="Times New Roman"/>
                <w:color w:val="264A60"/>
                <w:sz w:val="24"/>
                <w:szCs w:val="24"/>
              </w:rPr>
              <w:t>Not important</w:t>
            </w:r>
          </w:p>
        </w:tc>
        <w:tc>
          <w:tcPr>
            <w:tcW w:w="1721" w:type="dxa"/>
            <w:tcBorders>
              <w:top w:val="single" w:color="000000" w:sz="4" w:space="0"/>
              <w:left w:val="single" w:color="000000" w:sz="4" w:space="0"/>
              <w:bottom w:val="single" w:color="000000" w:sz="4" w:space="0"/>
              <w:right w:val="single" w:color="000000" w:sz="4" w:space="0"/>
            </w:tcBorders>
            <w:vAlign w:val="center"/>
          </w:tcPr>
          <w:p w14:paraId="477A92C3">
            <w:pPr>
              <w:rPr>
                <w:rFonts w:ascii="Times New Roman" w:hAnsi="Times New Roman" w:cs="Times New Roman"/>
                <w:color w:val="010205"/>
                <w:sz w:val="24"/>
                <w:szCs w:val="24"/>
              </w:rPr>
            </w:pPr>
            <w:r>
              <w:rPr>
                <w:rFonts w:ascii="Times New Roman" w:hAnsi="Times New Roman" w:cs="Times New Roman"/>
                <w:color w:val="010205"/>
                <w:sz w:val="24"/>
                <w:szCs w:val="24"/>
              </w:rPr>
              <w:t>45</w:t>
            </w:r>
          </w:p>
        </w:tc>
        <w:tc>
          <w:tcPr>
            <w:tcW w:w="1993" w:type="dxa"/>
            <w:tcBorders>
              <w:top w:val="single" w:color="000000" w:sz="4" w:space="0"/>
              <w:left w:val="single" w:color="000000" w:sz="4" w:space="0"/>
              <w:bottom w:val="single" w:color="000000" w:sz="4" w:space="0"/>
              <w:right w:val="single" w:color="000000" w:sz="4" w:space="0"/>
            </w:tcBorders>
            <w:vAlign w:val="center"/>
          </w:tcPr>
          <w:p w14:paraId="52CEE999">
            <w:pPr>
              <w:rPr>
                <w:rFonts w:ascii="Times New Roman" w:hAnsi="Times New Roman" w:cs="Times New Roman"/>
                <w:color w:val="010205"/>
                <w:sz w:val="24"/>
                <w:szCs w:val="24"/>
              </w:rPr>
            </w:pPr>
            <w:r>
              <w:rPr>
                <w:rFonts w:ascii="Times New Roman" w:hAnsi="Times New Roman" w:cs="Times New Roman"/>
                <w:color w:val="010205"/>
                <w:sz w:val="24"/>
                <w:szCs w:val="24"/>
              </w:rPr>
              <w:t>16.5</w:t>
            </w:r>
          </w:p>
        </w:tc>
      </w:tr>
      <w:tr w14:paraId="6B397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FC21F14">
            <w:pPr>
              <w:rPr>
                <w:rFonts w:ascii="Times New Roman" w:hAnsi="Times New Roman" w:cs="Times New Roman"/>
                <w:color w:val="264A60"/>
                <w:sz w:val="24"/>
                <w:szCs w:val="24"/>
              </w:rPr>
            </w:pPr>
          </w:p>
        </w:tc>
        <w:tc>
          <w:tcPr>
            <w:tcW w:w="2264" w:type="dxa"/>
            <w:tcBorders>
              <w:top w:val="single" w:color="000000" w:sz="4" w:space="0"/>
              <w:left w:val="single" w:color="000000" w:sz="4" w:space="0"/>
              <w:bottom w:val="single" w:color="000000" w:sz="4" w:space="0"/>
              <w:right w:val="single" w:color="000000" w:sz="4" w:space="0"/>
            </w:tcBorders>
            <w:vAlign w:val="center"/>
          </w:tcPr>
          <w:p w14:paraId="4A7D7BE5">
            <w:pPr>
              <w:rPr>
                <w:rFonts w:ascii="Times New Roman" w:hAnsi="Times New Roman" w:cs="Times New Roman"/>
                <w:color w:val="264A60"/>
                <w:sz w:val="24"/>
                <w:szCs w:val="24"/>
              </w:rPr>
            </w:pPr>
            <w:r>
              <w:rPr>
                <w:rFonts w:ascii="Times New Roman" w:hAnsi="Times New Roman" w:cs="Times New Roman"/>
                <w:color w:val="264A60"/>
                <w:sz w:val="24"/>
                <w:szCs w:val="24"/>
              </w:rPr>
              <w:t xml:space="preserve">Important </w:t>
            </w:r>
          </w:p>
        </w:tc>
        <w:tc>
          <w:tcPr>
            <w:tcW w:w="1721" w:type="dxa"/>
            <w:tcBorders>
              <w:top w:val="single" w:color="000000" w:sz="4" w:space="0"/>
              <w:left w:val="single" w:color="000000" w:sz="4" w:space="0"/>
              <w:bottom w:val="single" w:color="000000" w:sz="4" w:space="0"/>
              <w:right w:val="single" w:color="000000" w:sz="4" w:space="0"/>
            </w:tcBorders>
            <w:vAlign w:val="center"/>
          </w:tcPr>
          <w:p w14:paraId="1CA58EF1">
            <w:pPr>
              <w:rPr>
                <w:rFonts w:ascii="Times New Roman" w:hAnsi="Times New Roman" w:cs="Times New Roman"/>
                <w:color w:val="010205"/>
                <w:sz w:val="24"/>
                <w:szCs w:val="24"/>
              </w:rPr>
            </w:pPr>
            <w:r>
              <w:rPr>
                <w:rFonts w:ascii="Times New Roman" w:hAnsi="Times New Roman" w:cs="Times New Roman"/>
                <w:color w:val="010205"/>
                <w:sz w:val="24"/>
                <w:szCs w:val="24"/>
              </w:rPr>
              <w:t>83</w:t>
            </w:r>
          </w:p>
        </w:tc>
        <w:tc>
          <w:tcPr>
            <w:tcW w:w="1993" w:type="dxa"/>
            <w:tcBorders>
              <w:top w:val="single" w:color="000000" w:sz="4" w:space="0"/>
              <w:left w:val="single" w:color="000000" w:sz="4" w:space="0"/>
              <w:bottom w:val="single" w:color="000000" w:sz="4" w:space="0"/>
              <w:right w:val="single" w:color="000000" w:sz="4" w:space="0"/>
            </w:tcBorders>
            <w:vAlign w:val="center"/>
          </w:tcPr>
          <w:p w14:paraId="28BBBB9C">
            <w:pPr>
              <w:rPr>
                <w:rFonts w:ascii="Times New Roman" w:hAnsi="Times New Roman" w:cs="Times New Roman"/>
                <w:color w:val="010205"/>
                <w:sz w:val="24"/>
                <w:szCs w:val="24"/>
              </w:rPr>
            </w:pPr>
            <w:r>
              <w:rPr>
                <w:rFonts w:ascii="Times New Roman" w:hAnsi="Times New Roman" w:cs="Times New Roman"/>
                <w:color w:val="010205"/>
                <w:sz w:val="24"/>
                <w:szCs w:val="24"/>
              </w:rPr>
              <w:t>24.9</w:t>
            </w:r>
          </w:p>
        </w:tc>
      </w:tr>
      <w:tr w14:paraId="4BD5E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BAAD674">
            <w:pPr>
              <w:rPr>
                <w:rFonts w:ascii="Times New Roman" w:hAnsi="Times New Roman" w:cs="Times New Roman"/>
                <w:color w:val="264A60"/>
                <w:sz w:val="24"/>
                <w:szCs w:val="24"/>
              </w:rPr>
            </w:pPr>
          </w:p>
        </w:tc>
        <w:tc>
          <w:tcPr>
            <w:tcW w:w="2264" w:type="dxa"/>
            <w:tcBorders>
              <w:top w:val="single" w:color="000000" w:sz="4" w:space="0"/>
              <w:left w:val="single" w:color="000000" w:sz="4" w:space="0"/>
              <w:bottom w:val="single" w:color="000000" w:sz="4" w:space="0"/>
              <w:right w:val="single" w:color="000000" w:sz="4" w:space="0"/>
            </w:tcBorders>
            <w:vAlign w:val="center"/>
          </w:tcPr>
          <w:p w14:paraId="02CE7675">
            <w:pPr>
              <w:rPr>
                <w:rFonts w:ascii="Times New Roman" w:hAnsi="Times New Roman" w:cs="Times New Roman"/>
                <w:color w:val="264A60"/>
                <w:sz w:val="24"/>
                <w:szCs w:val="24"/>
              </w:rPr>
            </w:pPr>
            <w:r>
              <w:rPr>
                <w:rFonts w:ascii="Times New Roman" w:hAnsi="Times New Roman" w:cs="Times New Roman"/>
                <w:color w:val="264A60"/>
                <w:sz w:val="24"/>
                <w:szCs w:val="24"/>
              </w:rPr>
              <w:t xml:space="preserve">Very important </w:t>
            </w:r>
          </w:p>
        </w:tc>
        <w:tc>
          <w:tcPr>
            <w:tcW w:w="1721" w:type="dxa"/>
            <w:tcBorders>
              <w:top w:val="single" w:color="000000" w:sz="4" w:space="0"/>
              <w:left w:val="single" w:color="000000" w:sz="4" w:space="0"/>
              <w:bottom w:val="single" w:color="000000" w:sz="4" w:space="0"/>
              <w:right w:val="single" w:color="000000" w:sz="4" w:space="0"/>
            </w:tcBorders>
            <w:vAlign w:val="center"/>
          </w:tcPr>
          <w:p w14:paraId="60DDC061">
            <w:pPr>
              <w:rPr>
                <w:rFonts w:ascii="Times New Roman" w:hAnsi="Times New Roman" w:cs="Times New Roman"/>
                <w:color w:val="010205"/>
                <w:sz w:val="24"/>
                <w:szCs w:val="24"/>
              </w:rPr>
            </w:pPr>
            <w:r>
              <w:rPr>
                <w:rFonts w:ascii="Times New Roman" w:hAnsi="Times New Roman" w:cs="Times New Roman"/>
                <w:color w:val="010205"/>
                <w:sz w:val="24"/>
                <w:szCs w:val="24"/>
              </w:rPr>
              <w:t>196</w:t>
            </w:r>
          </w:p>
        </w:tc>
        <w:tc>
          <w:tcPr>
            <w:tcW w:w="1993" w:type="dxa"/>
            <w:tcBorders>
              <w:top w:val="single" w:color="000000" w:sz="4" w:space="0"/>
              <w:left w:val="single" w:color="000000" w:sz="4" w:space="0"/>
              <w:bottom w:val="single" w:color="000000" w:sz="4" w:space="0"/>
              <w:right w:val="single" w:color="000000" w:sz="4" w:space="0"/>
            </w:tcBorders>
            <w:vAlign w:val="center"/>
          </w:tcPr>
          <w:p w14:paraId="54B536D5">
            <w:pPr>
              <w:rPr>
                <w:rFonts w:ascii="Times New Roman" w:hAnsi="Times New Roman" w:cs="Times New Roman"/>
                <w:color w:val="010205"/>
                <w:sz w:val="24"/>
                <w:szCs w:val="24"/>
              </w:rPr>
            </w:pPr>
            <w:r>
              <w:rPr>
                <w:rFonts w:ascii="Times New Roman" w:hAnsi="Times New Roman" w:cs="Times New Roman"/>
                <w:color w:val="010205"/>
                <w:sz w:val="24"/>
                <w:szCs w:val="24"/>
              </w:rPr>
              <w:t>58.7</w:t>
            </w:r>
          </w:p>
        </w:tc>
      </w:tr>
    </w:tbl>
    <w:p w14:paraId="79D6F93C">
      <w:pPr>
        <w:spacing w:after="200" w:line="276" w:lineRule="auto"/>
        <w:rPr>
          <w:rFonts w:ascii="Times New Roman" w:hAnsi="Times New Roman" w:eastAsia="Times New Roman" w:cs="Times New Roman"/>
          <w:sz w:val="24"/>
          <w:szCs w:val="24"/>
        </w:rPr>
      </w:pPr>
    </w:p>
    <w:p w14:paraId="6714282C">
      <w:pPr>
        <w:spacing w:after="200" w:line="276" w:lineRule="auto"/>
        <w:jc w:val="both"/>
        <w:rPr>
          <w:rFonts w:ascii="Times New Roman" w:hAnsi="Times New Roman" w:cs="Times New Roman"/>
          <w:b/>
          <w:sz w:val="24"/>
          <w:szCs w:val="24"/>
        </w:rPr>
      </w:pPr>
    </w:p>
    <w:p w14:paraId="4E2E0D25">
      <w:pPr>
        <w:spacing w:after="200" w:line="276" w:lineRule="auto"/>
        <w:jc w:val="both"/>
        <w:rPr>
          <w:rFonts w:ascii="Times New Roman" w:hAnsi="Times New Roman" w:cs="Times New Roman"/>
          <w:b/>
          <w:sz w:val="24"/>
          <w:szCs w:val="24"/>
        </w:rPr>
      </w:pPr>
    </w:p>
    <w:p w14:paraId="4CE8F26F">
      <w:pPr>
        <w:spacing w:after="200" w:line="276" w:lineRule="auto"/>
        <w:jc w:val="both"/>
        <w:rPr>
          <w:rFonts w:ascii="Times New Roman" w:hAnsi="Times New Roman" w:cs="Times New Roman"/>
          <w:b/>
          <w:sz w:val="24"/>
          <w:szCs w:val="24"/>
        </w:rPr>
      </w:pPr>
    </w:p>
    <w:p w14:paraId="0D8D46CE">
      <w:pPr>
        <w:spacing w:before="200" w:line="360" w:lineRule="auto"/>
        <w:rPr>
          <w:rFonts w:ascii="Times New Roman" w:hAnsi="Times New Roman" w:cs="Times New Roman"/>
          <w:b/>
          <w:sz w:val="24"/>
          <w:szCs w:val="24"/>
        </w:rPr>
      </w:pPr>
      <w:r>
        <w:rPr>
          <w:rFonts w:ascii="Times New Roman" w:hAnsi="Times New Roman" w:cs="Times New Roman"/>
          <w:b/>
          <w:sz w:val="24"/>
          <w:szCs w:val="24"/>
        </w:rPr>
        <w:t xml:space="preserve">Route of administration and dose of malaria vaccine </w:t>
      </w:r>
    </w:p>
    <w:p w14:paraId="7A1E511D">
      <w:pPr>
        <w:spacing w:line="360" w:lineRule="auto"/>
        <w:rPr>
          <w:rFonts w:ascii="Times New Roman" w:hAnsi="Times New Roman" w:cs="Times New Roman"/>
          <w:sz w:val="24"/>
          <w:szCs w:val="24"/>
        </w:rPr>
      </w:pPr>
      <w:r>
        <w:rPr>
          <w:rFonts w:ascii="Times New Roman" w:hAnsi="Times New Roman" w:cs="Times New Roman"/>
          <w:sz w:val="24"/>
          <w:szCs w:val="24"/>
        </w:rPr>
        <w:t xml:space="preserve">A large majority of respondents indicated a </w:t>
      </w:r>
      <w:r>
        <w:rPr>
          <w:rStyle w:val="23"/>
          <w:rFonts w:ascii="Times New Roman" w:hAnsi="Times New Roman" w:cs="Times New Roman"/>
          <w:b w:val="0"/>
          <w:sz w:val="24"/>
          <w:szCs w:val="24"/>
        </w:rPr>
        <w:t>willingness to take the vaccine in all four rounds (89.2%)</w:t>
      </w:r>
      <w:r>
        <w:rPr>
          <w:rFonts w:ascii="Times New Roman" w:hAnsi="Times New Roman" w:cs="Times New Roman"/>
          <w:b/>
          <w:sz w:val="24"/>
          <w:szCs w:val="24"/>
        </w:rPr>
        <w:t>,</w:t>
      </w:r>
      <w:r>
        <w:rPr>
          <w:rFonts w:ascii="Times New Roman" w:hAnsi="Times New Roman" w:cs="Times New Roman"/>
          <w:sz w:val="24"/>
          <w:szCs w:val="24"/>
        </w:rPr>
        <w:t xml:space="preserve"> while only 10.8% were unwilling. Similarly, </w:t>
      </w:r>
      <w:r>
        <w:rPr>
          <w:rStyle w:val="23"/>
          <w:rFonts w:ascii="Times New Roman" w:hAnsi="Times New Roman" w:cs="Times New Roman"/>
          <w:b w:val="0"/>
          <w:sz w:val="24"/>
          <w:szCs w:val="24"/>
        </w:rPr>
        <w:t>86.8% were willing to accept the injectable form of the vaccine</w:t>
      </w:r>
      <w:r>
        <w:rPr>
          <w:rFonts w:ascii="Times New Roman" w:hAnsi="Times New Roman" w:cs="Times New Roman"/>
          <w:sz w:val="24"/>
          <w:szCs w:val="24"/>
        </w:rPr>
        <w:t>, with 13.2% expressing reluctance [Figure 2].</w:t>
      </w:r>
    </w:p>
    <w:p w14:paraId="0F5D37B0">
      <w:pPr>
        <w:spacing w:after="200" w:line="276" w:lineRule="auto"/>
        <w:jc w:val="center"/>
      </w:pPr>
      <w:r>
        <w:rPr>
          <w:lang w:val="en-GB" w:eastAsia="en-GB"/>
        </w:rPr>
        <w:drawing>
          <wp:inline distT="0" distB="0" distL="0" distR="0">
            <wp:extent cx="3987800" cy="2768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10"/>
                    <a:stretch>
                      <a:fillRect/>
                    </a:stretch>
                  </pic:blipFill>
                  <pic:spPr>
                    <a:xfrm>
                      <a:off x="0" y="0"/>
                      <a:ext cx="3988005" cy="2768742"/>
                    </a:xfrm>
                    <a:prstGeom prst="rect">
                      <a:avLst/>
                    </a:prstGeom>
                  </pic:spPr>
                </pic:pic>
              </a:graphicData>
            </a:graphic>
          </wp:inline>
        </w:drawing>
      </w:r>
    </w:p>
    <w:p w14:paraId="381D21E8">
      <w:pPr>
        <w:pStyle w:val="14"/>
        <w:spacing w:line="360" w:lineRule="auto"/>
        <w:jc w:val="both"/>
        <w:rPr>
          <w:rFonts w:ascii="Times New Roman" w:hAnsi="Times New Roman" w:cs="Times New Roman"/>
          <w:sz w:val="24"/>
          <w:szCs w:val="24"/>
        </w:rPr>
      </w:pPr>
      <w:bookmarkStart w:id="348" w:name="_Toc197885026"/>
      <w:r>
        <w:rPr>
          <w:rFonts w:ascii="Times New Roman" w:hAnsi="Times New Roman" w:cs="Times New Roman"/>
          <w:sz w:val="24"/>
          <w:szCs w:val="24"/>
        </w:rPr>
        <w:t xml:space="preserve">Figure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Figure \* ARABIC </w:instrText>
      </w:r>
      <w:r>
        <w:rPr>
          <w:rFonts w:ascii="Times New Roman" w:hAnsi="Times New Roman" w:cs="Times New Roman"/>
          <w:sz w:val="24"/>
          <w:szCs w:val="24"/>
        </w:rPr>
        <w:fldChar w:fldCharType="separate"/>
      </w:r>
      <w:r>
        <w:rPr>
          <w:rFonts w:ascii="Times New Roman" w:hAnsi="Times New Roman" w:cs="Times New Roman"/>
          <w:sz w:val="24"/>
          <w:szCs w:val="24"/>
        </w:rPr>
        <w:t>4</w:t>
      </w:r>
      <w:r>
        <w:rPr>
          <w:rFonts w:ascii="Times New Roman" w:hAnsi="Times New Roman" w:cs="Times New Roman"/>
          <w:sz w:val="24"/>
          <w:szCs w:val="24"/>
        </w:rPr>
        <w:fldChar w:fldCharType="end"/>
      </w:r>
      <w:r>
        <w:rPr>
          <w:rFonts w:ascii="Times New Roman" w:hAnsi="Times New Roman" w:cs="Times New Roman"/>
          <w:sz w:val="24"/>
          <w:szCs w:val="24"/>
        </w:rPr>
        <w:t>: Willingness of mothers for taking injectable vaccine and a four round of complete dose in case malaria vaccine for their child</w:t>
      </w:r>
      <w:bookmarkEnd w:id="348"/>
      <w:r>
        <w:rPr>
          <w:rFonts w:ascii="Times New Roman" w:hAnsi="Times New Roman" w:cs="Times New Roman"/>
          <w:sz w:val="24"/>
          <w:szCs w:val="24"/>
        </w:rPr>
        <w:t xml:space="preserve"> </w:t>
      </w:r>
      <w:r>
        <w:rPr>
          <w:rFonts w:ascii="Times New Roman" w:hAnsi="Times New Roman" w:cs="Times New Roman"/>
          <w:sz w:val="24"/>
          <w:szCs w:val="24"/>
        </w:rPr>
        <w:br w:type="page"/>
      </w:r>
    </w:p>
    <w:p w14:paraId="581BC248">
      <w:p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Knowledge, Attitude, and Practice towards Malaria Prevention among Mothers Attending Immunization at Public Health Facilities in Nekemte City"</w:t>
      </w:r>
    </w:p>
    <w:p w14:paraId="2A784E14">
      <w:p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All respondents (100%) reported having </w:t>
      </w:r>
      <w:r>
        <w:rPr>
          <w:rFonts w:ascii="Times New Roman" w:hAnsi="Times New Roman" w:eastAsia="Times New Roman" w:cs="Times New Roman"/>
          <w:bCs/>
          <w:sz w:val="24"/>
          <w:szCs w:val="24"/>
        </w:rPr>
        <w:t>information about malaria</w:t>
      </w:r>
      <w:r>
        <w:rPr>
          <w:rFonts w:ascii="Times New Roman" w:hAnsi="Times New Roman" w:eastAsia="Times New Roman" w:cs="Times New Roman"/>
          <w:sz w:val="24"/>
          <w:szCs w:val="24"/>
        </w:rPr>
        <w:t xml:space="preserve">. Regarding knowledge of the </w:t>
      </w:r>
      <w:r>
        <w:rPr>
          <w:rFonts w:ascii="Times New Roman" w:hAnsi="Times New Roman" w:eastAsia="Times New Roman" w:cs="Times New Roman"/>
          <w:bCs/>
          <w:sz w:val="24"/>
          <w:szCs w:val="24"/>
        </w:rPr>
        <w:t>cause of malaria</w:t>
      </w:r>
      <w:r>
        <w:rPr>
          <w:rFonts w:ascii="Times New Roman" w:hAnsi="Times New Roman" w:eastAsia="Times New Roman" w:cs="Times New Roman"/>
          <w:sz w:val="24"/>
          <w:szCs w:val="24"/>
        </w:rPr>
        <w:t xml:space="preserve">, the majority (74.3%) correctly identified </w:t>
      </w:r>
      <w:r>
        <w:rPr>
          <w:rFonts w:ascii="Times New Roman" w:hAnsi="Times New Roman" w:eastAsia="Times New Roman" w:cs="Times New Roman"/>
          <w:bCs/>
          <w:sz w:val="24"/>
          <w:szCs w:val="24"/>
        </w:rPr>
        <w:t>mosquito bite</w:t>
      </w:r>
      <w:r>
        <w:rPr>
          <w:rFonts w:ascii="Times New Roman" w:hAnsi="Times New Roman" w:eastAsia="Times New Roman" w:cs="Times New Roman"/>
          <w:sz w:val="24"/>
          <w:szCs w:val="24"/>
        </w:rPr>
        <w:t xml:space="preserve">, followed by a smaller proportion who mentioned </w:t>
      </w:r>
      <w:r>
        <w:rPr>
          <w:rFonts w:ascii="Times New Roman" w:hAnsi="Times New Roman" w:eastAsia="Times New Roman" w:cs="Times New Roman"/>
          <w:bCs/>
          <w:sz w:val="24"/>
          <w:szCs w:val="24"/>
        </w:rPr>
        <w:t>housefly bite</w:t>
      </w:r>
      <w:r>
        <w:rPr>
          <w:rFonts w:ascii="Times New Roman" w:hAnsi="Times New Roman" w:eastAsia="Times New Roman" w:cs="Times New Roman"/>
          <w:sz w:val="24"/>
          <w:szCs w:val="24"/>
        </w:rPr>
        <w:t xml:space="preserve"> (15.9%).  Most mothers (62.3%) did </w:t>
      </w:r>
      <w:r>
        <w:rPr>
          <w:rFonts w:ascii="Times New Roman" w:hAnsi="Times New Roman" w:eastAsia="Times New Roman" w:cs="Times New Roman"/>
          <w:bCs/>
          <w:sz w:val="24"/>
          <w:szCs w:val="24"/>
        </w:rPr>
        <w:t>not believe everyone is at risk of malaria</w:t>
      </w:r>
      <w:r>
        <w:rPr>
          <w:rFonts w:ascii="Times New Roman" w:hAnsi="Times New Roman" w:eastAsia="Times New Roman" w:cs="Times New Roman"/>
          <w:sz w:val="24"/>
          <w:szCs w:val="24"/>
        </w:rPr>
        <w:t xml:space="preserve">, while 37.7% thought otherwise. A large proportion (96.1%) recognized that </w:t>
      </w:r>
      <w:r>
        <w:rPr>
          <w:rFonts w:ascii="Times New Roman" w:hAnsi="Times New Roman" w:eastAsia="Times New Roman" w:cs="Times New Roman"/>
          <w:bCs/>
          <w:sz w:val="24"/>
          <w:szCs w:val="24"/>
        </w:rPr>
        <w:t>malaria is preventable</w:t>
      </w:r>
      <w:r>
        <w:rPr>
          <w:rFonts w:ascii="Times New Roman" w:hAnsi="Times New Roman" w:eastAsia="Times New Roman" w:cs="Times New Roman"/>
          <w:sz w:val="24"/>
          <w:szCs w:val="24"/>
        </w:rPr>
        <w:t xml:space="preserve">, and only a few disagreed. When asked about </w:t>
      </w:r>
      <w:r>
        <w:rPr>
          <w:rFonts w:ascii="Times New Roman" w:hAnsi="Times New Roman" w:eastAsia="Times New Roman" w:cs="Times New Roman"/>
          <w:bCs/>
          <w:sz w:val="24"/>
          <w:szCs w:val="24"/>
        </w:rPr>
        <w:t>methods of malaria prevention</w:t>
      </w:r>
      <w:r>
        <w:rPr>
          <w:rFonts w:ascii="Times New Roman" w:hAnsi="Times New Roman" w:eastAsia="Times New Roman" w:cs="Times New Roman"/>
          <w:sz w:val="24"/>
          <w:szCs w:val="24"/>
        </w:rPr>
        <w:t xml:space="preserve">, the most commonly mentioned were </w:t>
      </w:r>
      <w:r>
        <w:rPr>
          <w:rFonts w:ascii="Times New Roman" w:hAnsi="Times New Roman" w:eastAsia="Times New Roman" w:cs="Times New Roman"/>
          <w:bCs/>
          <w:sz w:val="24"/>
          <w:szCs w:val="24"/>
        </w:rPr>
        <w:t>sleeping under bed nets (47.6%)</w:t>
      </w:r>
      <w:r>
        <w:rPr>
          <w:rFonts w:ascii="Times New Roman" w:hAnsi="Times New Roman" w:eastAsia="Times New Roman" w:cs="Times New Roman"/>
          <w:sz w:val="24"/>
          <w:szCs w:val="24"/>
        </w:rPr>
        <w:t xml:space="preserve"> and </w:t>
      </w:r>
      <w:r>
        <w:rPr>
          <w:rFonts w:ascii="Times New Roman" w:hAnsi="Times New Roman" w:eastAsia="Times New Roman" w:cs="Times New Roman"/>
          <w:bCs/>
          <w:sz w:val="24"/>
          <w:szCs w:val="24"/>
        </w:rPr>
        <w:t>cleaning the environment (21.6%)</w:t>
      </w:r>
      <w:r>
        <w:rPr>
          <w:rFonts w:ascii="Times New Roman" w:hAnsi="Times New Roman" w:eastAsia="Times New Roman" w:cs="Times New Roman"/>
          <w:sz w:val="24"/>
          <w:szCs w:val="24"/>
        </w:rPr>
        <w:t xml:space="preserve">. Regarding the </w:t>
      </w:r>
      <w:r>
        <w:rPr>
          <w:rFonts w:ascii="Times New Roman" w:hAnsi="Times New Roman" w:eastAsia="Times New Roman" w:cs="Times New Roman"/>
          <w:bCs/>
          <w:sz w:val="24"/>
          <w:szCs w:val="24"/>
        </w:rPr>
        <w:t>perceived severity of malaria</w:t>
      </w:r>
      <w:r>
        <w:rPr>
          <w:rFonts w:ascii="Times New Roman" w:hAnsi="Times New Roman" w:eastAsia="Times New Roman" w:cs="Times New Roman"/>
          <w:sz w:val="24"/>
          <w:szCs w:val="24"/>
        </w:rPr>
        <w:t xml:space="preserve">, a substantial majority (74%) </w:t>
      </w:r>
      <w:r>
        <w:rPr>
          <w:rFonts w:ascii="Times New Roman" w:hAnsi="Times New Roman" w:eastAsia="Times New Roman" w:cs="Times New Roman"/>
          <w:bCs/>
          <w:sz w:val="24"/>
          <w:szCs w:val="24"/>
        </w:rPr>
        <w:t>strongly agreed</w:t>
      </w:r>
      <w:r>
        <w:rPr>
          <w:rFonts w:ascii="Times New Roman" w:hAnsi="Times New Roman" w:eastAsia="Times New Roman" w:cs="Times New Roman"/>
          <w:sz w:val="24"/>
          <w:szCs w:val="24"/>
        </w:rPr>
        <w:t xml:space="preserve"> that it is severe. Similarly, a high proportion (72.2%) </w:t>
      </w:r>
      <w:r>
        <w:rPr>
          <w:rFonts w:ascii="Times New Roman" w:hAnsi="Times New Roman" w:eastAsia="Times New Roman" w:cs="Times New Roman"/>
          <w:bCs/>
          <w:sz w:val="24"/>
          <w:szCs w:val="24"/>
        </w:rPr>
        <w:t>strongly agreed</w:t>
      </w:r>
      <w:r>
        <w:rPr>
          <w:rFonts w:ascii="Times New Roman" w:hAnsi="Times New Roman" w:eastAsia="Times New Roman" w:cs="Times New Roman"/>
          <w:sz w:val="24"/>
          <w:szCs w:val="24"/>
        </w:rPr>
        <w:t xml:space="preserve"> with the </w:t>
      </w:r>
      <w:r>
        <w:rPr>
          <w:rFonts w:ascii="Times New Roman" w:hAnsi="Times New Roman" w:eastAsia="Times New Roman" w:cs="Times New Roman"/>
          <w:bCs/>
          <w:sz w:val="24"/>
          <w:szCs w:val="24"/>
        </w:rPr>
        <w:t>benefit of ITN utilization</w:t>
      </w:r>
      <w:r>
        <w:rPr>
          <w:rFonts w:ascii="Times New Roman" w:hAnsi="Times New Roman" w:eastAsia="Times New Roman" w:cs="Times New Roman"/>
          <w:sz w:val="24"/>
          <w:szCs w:val="24"/>
        </w:rPr>
        <w:t xml:space="preserve">. On </w:t>
      </w:r>
      <w:r>
        <w:rPr>
          <w:rFonts w:ascii="Times New Roman" w:hAnsi="Times New Roman" w:eastAsia="Times New Roman" w:cs="Times New Roman"/>
          <w:bCs/>
          <w:sz w:val="24"/>
          <w:szCs w:val="24"/>
        </w:rPr>
        <w:t>perceived susceptibility to malaria</w:t>
      </w:r>
      <w:r>
        <w:rPr>
          <w:rFonts w:ascii="Times New Roman" w:hAnsi="Times New Roman" w:eastAsia="Times New Roman" w:cs="Times New Roman"/>
          <w:sz w:val="24"/>
          <w:szCs w:val="24"/>
        </w:rPr>
        <w:t xml:space="preserve">, most respondents </w:t>
      </w:r>
      <w:r>
        <w:rPr>
          <w:rFonts w:ascii="Times New Roman" w:hAnsi="Times New Roman" w:eastAsia="Times New Roman" w:cs="Times New Roman"/>
          <w:bCs/>
          <w:sz w:val="24"/>
          <w:szCs w:val="24"/>
        </w:rPr>
        <w:t>strongly agreed</w:t>
      </w:r>
      <w:r>
        <w:rPr>
          <w:rFonts w:ascii="Times New Roman" w:hAnsi="Times New Roman" w:eastAsia="Times New Roman" w:cs="Times New Roman"/>
          <w:sz w:val="24"/>
          <w:szCs w:val="24"/>
        </w:rPr>
        <w:t xml:space="preserve"> (58.7%) that they or their children are at risk, followed by 15.6% who agreed [Table 5].</w:t>
      </w:r>
    </w:p>
    <w:p w14:paraId="27FED0BE">
      <w:pPr>
        <w:pStyle w:val="14"/>
      </w:pPr>
      <w:bookmarkStart w:id="349" w:name="_Toc197884920"/>
    </w:p>
    <w:p w14:paraId="41C88CEE">
      <w:pPr>
        <w:pStyle w:val="14"/>
      </w:pPr>
    </w:p>
    <w:p w14:paraId="4AA02832">
      <w:pPr>
        <w:pStyle w:val="14"/>
      </w:pPr>
    </w:p>
    <w:p w14:paraId="70D34BF2">
      <w:pPr>
        <w:pStyle w:val="14"/>
      </w:pPr>
    </w:p>
    <w:p w14:paraId="66A674D3">
      <w:pPr>
        <w:pStyle w:val="14"/>
      </w:pPr>
    </w:p>
    <w:p w14:paraId="2B08C7DF">
      <w:pPr>
        <w:pStyle w:val="14"/>
      </w:pPr>
    </w:p>
    <w:p w14:paraId="2413E96E">
      <w:pPr>
        <w:pStyle w:val="14"/>
      </w:pPr>
    </w:p>
    <w:p w14:paraId="4D3344A8">
      <w:pPr>
        <w:pStyle w:val="14"/>
      </w:pPr>
    </w:p>
    <w:p w14:paraId="5E99588A">
      <w:pPr>
        <w:pStyle w:val="14"/>
      </w:pPr>
    </w:p>
    <w:p w14:paraId="566C320E">
      <w:pPr>
        <w:pStyle w:val="14"/>
      </w:pPr>
    </w:p>
    <w:p w14:paraId="5EA52C3D">
      <w:pPr>
        <w:pStyle w:val="14"/>
      </w:pPr>
    </w:p>
    <w:p w14:paraId="1FB23D60">
      <w:pPr>
        <w:pStyle w:val="14"/>
      </w:pPr>
    </w:p>
    <w:p w14:paraId="28FF3331">
      <w:pPr>
        <w:pStyle w:val="14"/>
      </w:pPr>
    </w:p>
    <w:p w14:paraId="2136F929">
      <w:pPr>
        <w:pStyle w:val="14"/>
      </w:pPr>
    </w:p>
    <w:p w14:paraId="3F0DCF08">
      <w:pPr>
        <w:pStyle w:val="14"/>
      </w:pPr>
    </w:p>
    <w:p w14:paraId="1FA83B60">
      <w:pPr>
        <w:pStyle w:val="14"/>
      </w:pPr>
    </w:p>
    <w:p w14:paraId="66837608">
      <w:pPr>
        <w:pStyle w:val="14"/>
      </w:pPr>
    </w:p>
    <w:p w14:paraId="2E89630C">
      <w:pPr>
        <w:pStyle w:val="14"/>
      </w:pPr>
    </w:p>
    <w:p w14:paraId="385E29FF">
      <w:pPr>
        <w:pStyle w:val="14"/>
      </w:pPr>
    </w:p>
    <w:p w14:paraId="72AB7CE3">
      <w:pPr>
        <w:pStyle w:val="14"/>
      </w:pPr>
    </w:p>
    <w:p w14:paraId="6B9F0D61">
      <w:pPr>
        <w:pStyle w:val="14"/>
      </w:pPr>
    </w:p>
    <w:p w14:paraId="5DBA7AAD">
      <w:pPr>
        <w:pStyle w:val="14"/>
      </w:pPr>
    </w:p>
    <w:p w14:paraId="3FCC8405">
      <w:pPr>
        <w:pStyle w:val="14"/>
        <w:spacing w:line="360" w:lineRule="auto"/>
        <w:jc w:val="both"/>
        <w:rPr>
          <w:rFonts w:ascii="Times New Roman" w:hAnsi="Times New Roman" w:cs="Times New Roman"/>
          <w:sz w:val="24"/>
          <w:szCs w:val="24"/>
        </w:rPr>
      </w:pPr>
    </w:p>
    <w:p w14:paraId="09FAEE25">
      <w:pPr>
        <w:pStyle w:val="14"/>
        <w:spacing w:line="360" w:lineRule="auto"/>
        <w:jc w:val="both"/>
        <w:rPr>
          <w:rFonts w:ascii="Times New Roman" w:hAnsi="Times New Roman" w:cs="Times New Roman"/>
          <w:sz w:val="24"/>
          <w:szCs w:val="24"/>
        </w:rPr>
      </w:pPr>
    </w:p>
    <w:p w14:paraId="510018F6">
      <w:pPr>
        <w:pStyle w:val="14"/>
        <w:spacing w:line="360" w:lineRule="auto"/>
        <w:jc w:val="both"/>
        <w:rPr>
          <w:rFonts w:ascii="Times New Roman" w:hAnsi="Times New Roman" w:cs="Times New Roman"/>
          <w:sz w:val="24"/>
          <w:szCs w:val="24"/>
        </w:rPr>
      </w:pPr>
    </w:p>
    <w:p w14:paraId="664D5D15">
      <w:pPr>
        <w:pStyle w:val="14"/>
        <w:spacing w:line="360" w:lineRule="auto"/>
        <w:jc w:val="both"/>
        <w:rPr>
          <w:rFonts w:ascii="Times New Roman" w:hAnsi="Times New Roman" w:cs="Times New Roman"/>
          <w:sz w:val="24"/>
          <w:szCs w:val="24"/>
        </w:rPr>
      </w:pPr>
    </w:p>
    <w:p w14:paraId="4393B938">
      <w:pPr>
        <w:pStyle w:val="14"/>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Table \* ARABIC </w:instrText>
      </w:r>
      <w:r>
        <w:rPr>
          <w:rFonts w:ascii="Times New Roman" w:hAnsi="Times New Roman" w:cs="Times New Roman"/>
          <w:sz w:val="24"/>
          <w:szCs w:val="24"/>
        </w:rPr>
        <w:fldChar w:fldCharType="separate"/>
      </w:r>
      <w:r>
        <w:rPr>
          <w:rFonts w:ascii="Times New Roman" w:hAnsi="Times New Roman" w:cs="Times New Roman"/>
          <w:sz w:val="24"/>
          <w:szCs w:val="24"/>
        </w:rPr>
        <w:t>4</w:t>
      </w:r>
      <w:r>
        <w:rPr>
          <w:rFonts w:ascii="Times New Roman" w:hAnsi="Times New Roman" w:cs="Times New Roman"/>
          <w:sz w:val="24"/>
          <w:szCs w:val="24"/>
        </w:rPr>
        <w:fldChar w:fldCharType="end"/>
      </w:r>
      <w:r>
        <w:rPr>
          <w:rFonts w:ascii="Times New Roman" w:hAnsi="Times New Roman" w:cs="Times New Roman"/>
          <w:sz w:val="24"/>
          <w:szCs w:val="24"/>
        </w:rPr>
        <w:t>: Knowledge, Attitude, and Practice towards Malaria Prevention among Mothers Attending Immunization at Public Health Facilities in Nekemte City</w:t>
      </w:r>
      <w:bookmarkEnd w:id="349"/>
    </w:p>
    <w:p w14:paraId="7B6D23B9"/>
    <w:tbl>
      <w:tblPr>
        <w:tblStyle w:val="25"/>
        <w:tblW w:w="9469" w:type="dxa"/>
        <w:tblInd w:w="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510"/>
        <w:gridCol w:w="3696"/>
        <w:gridCol w:w="1230"/>
        <w:gridCol w:w="1033"/>
      </w:tblGrid>
      <w:tr w14:paraId="5BFBC2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1" w:hRule="atLeast"/>
        </w:trPr>
        <w:tc>
          <w:tcPr>
            <w:tcW w:w="3510" w:type="dxa"/>
            <w:tcBorders>
              <w:top w:val="single" w:color="000000" w:sz="4" w:space="0"/>
              <w:left w:val="single" w:color="000000" w:sz="4" w:space="0"/>
              <w:bottom w:val="single" w:color="000000" w:sz="4" w:space="0"/>
              <w:right w:val="single" w:color="000000" w:sz="4" w:space="0"/>
            </w:tcBorders>
          </w:tcPr>
          <w:p w14:paraId="224CDFFF">
            <w:pPr>
              <w:ind w:right="-1584"/>
              <w:outlineLvl w:val="0"/>
              <w:rPr>
                <w:rFonts w:ascii="Times New Roman" w:hAnsi="Times New Roman" w:cs="Times New Roman"/>
                <w:sz w:val="24"/>
                <w:szCs w:val="24"/>
              </w:rPr>
            </w:pPr>
            <w:bookmarkStart w:id="350" w:name="_Toc198635497"/>
            <w:bookmarkStart w:id="351" w:name="_Toc198622029"/>
            <w:r>
              <w:rPr>
                <w:rFonts w:ascii="Times New Roman" w:hAnsi="Times New Roman" w:cs="Times New Roman"/>
                <w:sz w:val="24"/>
                <w:szCs w:val="24"/>
              </w:rPr>
              <w:t>Variable</w:t>
            </w:r>
            <w:bookmarkEnd w:id="350"/>
            <w:bookmarkEnd w:id="351"/>
          </w:p>
        </w:tc>
        <w:tc>
          <w:tcPr>
            <w:tcW w:w="3696" w:type="dxa"/>
            <w:tcBorders>
              <w:top w:val="single" w:color="000000" w:sz="4" w:space="0"/>
              <w:left w:val="single" w:color="000000" w:sz="4" w:space="0"/>
              <w:bottom w:val="single" w:color="000000" w:sz="4" w:space="0"/>
              <w:right w:val="single" w:color="000000" w:sz="4" w:space="0"/>
            </w:tcBorders>
          </w:tcPr>
          <w:p w14:paraId="739C8343">
            <w:pPr>
              <w:ind w:right="-1584"/>
              <w:outlineLvl w:val="0"/>
              <w:rPr>
                <w:rFonts w:ascii="Times New Roman" w:hAnsi="Times New Roman" w:cs="Times New Roman"/>
                <w:sz w:val="24"/>
                <w:szCs w:val="24"/>
              </w:rPr>
            </w:pPr>
            <w:bookmarkStart w:id="352" w:name="_Toc198635498"/>
            <w:bookmarkStart w:id="353" w:name="_Toc198622030"/>
            <w:r>
              <w:rPr>
                <w:rFonts w:ascii="Times New Roman" w:hAnsi="Times New Roman" w:cs="Times New Roman"/>
                <w:sz w:val="24"/>
                <w:szCs w:val="24"/>
              </w:rPr>
              <w:t>Categories</w:t>
            </w:r>
            <w:bookmarkEnd w:id="352"/>
            <w:bookmarkEnd w:id="353"/>
          </w:p>
        </w:tc>
        <w:tc>
          <w:tcPr>
            <w:tcW w:w="1230" w:type="dxa"/>
            <w:tcBorders>
              <w:top w:val="single" w:color="000000" w:sz="4" w:space="0"/>
              <w:left w:val="single" w:color="000000" w:sz="4" w:space="0"/>
              <w:bottom w:val="single" w:color="000000" w:sz="4" w:space="0"/>
              <w:right w:val="single" w:color="000000" w:sz="4" w:space="0"/>
            </w:tcBorders>
          </w:tcPr>
          <w:p w14:paraId="2E72FB54">
            <w:pPr>
              <w:ind w:right="-1584"/>
              <w:outlineLvl w:val="0"/>
              <w:rPr>
                <w:rFonts w:ascii="Times New Roman" w:hAnsi="Times New Roman" w:cs="Times New Roman"/>
                <w:sz w:val="24"/>
                <w:szCs w:val="24"/>
              </w:rPr>
            </w:pPr>
            <w:bookmarkStart w:id="354" w:name="_Toc198635499"/>
            <w:bookmarkStart w:id="355" w:name="_Toc198622031"/>
            <w:r>
              <w:rPr>
                <w:rFonts w:ascii="Times New Roman" w:hAnsi="Times New Roman" w:cs="Times New Roman"/>
                <w:sz w:val="24"/>
                <w:szCs w:val="24"/>
              </w:rPr>
              <w:t>Frequency</w:t>
            </w:r>
            <w:bookmarkEnd w:id="354"/>
            <w:bookmarkEnd w:id="355"/>
            <w:r>
              <w:rPr>
                <w:rFonts w:ascii="Times New Roman" w:hAnsi="Times New Roman" w:cs="Times New Roman"/>
                <w:sz w:val="24"/>
                <w:szCs w:val="24"/>
              </w:rPr>
              <w:t xml:space="preserve"> </w:t>
            </w:r>
          </w:p>
        </w:tc>
        <w:tc>
          <w:tcPr>
            <w:tcW w:w="1033" w:type="dxa"/>
            <w:tcBorders>
              <w:top w:val="single" w:color="000000" w:sz="4" w:space="0"/>
              <w:left w:val="single" w:color="000000" w:sz="4" w:space="0"/>
              <w:bottom w:val="single" w:color="000000" w:sz="4" w:space="0"/>
              <w:right w:val="single" w:color="000000" w:sz="4" w:space="0"/>
            </w:tcBorders>
          </w:tcPr>
          <w:p w14:paraId="61C564B3">
            <w:pPr>
              <w:ind w:right="-1584"/>
              <w:outlineLvl w:val="0"/>
              <w:rPr>
                <w:rFonts w:ascii="Times New Roman" w:hAnsi="Times New Roman" w:cs="Times New Roman"/>
                <w:sz w:val="24"/>
                <w:szCs w:val="24"/>
              </w:rPr>
            </w:pPr>
            <w:bookmarkStart w:id="356" w:name="_Toc198622032"/>
            <w:bookmarkStart w:id="357" w:name="_Toc198635500"/>
            <w:r>
              <w:rPr>
                <w:rFonts w:ascii="Times New Roman" w:hAnsi="Times New Roman" w:cs="Times New Roman"/>
                <w:sz w:val="24"/>
                <w:szCs w:val="24"/>
              </w:rPr>
              <w:t>Percentage</w:t>
            </w:r>
            <w:bookmarkEnd w:id="356"/>
            <w:bookmarkEnd w:id="357"/>
          </w:p>
        </w:tc>
      </w:tr>
      <w:tr w14:paraId="627C7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trPr>
        <w:tc>
          <w:tcPr>
            <w:tcW w:w="3510" w:type="dxa"/>
            <w:vMerge w:val="restart"/>
            <w:tcBorders>
              <w:top w:val="single" w:color="000000" w:sz="4" w:space="0"/>
              <w:left w:val="single" w:color="000000" w:sz="4" w:space="0"/>
              <w:bottom w:val="single" w:color="000000" w:sz="4" w:space="0"/>
              <w:right w:val="single" w:color="000000" w:sz="4" w:space="0"/>
            </w:tcBorders>
          </w:tcPr>
          <w:p w14:paraId="178F76F7">
            <w:pPr>
              <w:ind w:right="-1584"/>
              <w:outlineLvl w:val="0"/>
              <w:rPr>
                <w:rFonts w:ascii="Times New Roman" w:hAnsi="Times New Roman" w:cs="Times New Roman"/>
                <w:sz w:val="24"/>
                <w:szCs w:val="24"/>
              </w:rPr>
            </w:pPr>
            <w:bookmarkStart w:id="358" w:name="_Toc198635501"/>
            <w:bookmarkStart w:id="359" w:name="_Toc198622033"/>
            <w:r>
              <w:rPr>
                <w:rFonts w:ascii="Times New Roman" w:hAnsi="Times New Roman" w:cs="Times New Roman"/>
                <w:sz w:val="24"/>
                <w:szCs w:val="24"/>
              </w:rPr>
              <w:t>Information on malaria</w:t>
            </w:r>
            <w:bookmarkEnd w:id="358"/>
            <w:bookmarkEnd w:id="359"/>
          </w:p>
          <w:p w14:paraId="71BC2922">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vAlign w:val="center"/>
          </w:tcPr>
          <w:p w14:paraId="62994C7C">
            <w:pPr>
              <w:autoSpaceDE w:val="0"/>
              <w:autoSpaceDN w:val="0"/>
              <w:adjustRightInd w:val="0"/>
              <w:ind w:right="-1584"/>
              <w:outlineLvl w:val="0"/>
              <w:rPr>
                <w:rFonts w:ascii="Times New Roman" w:hAnsi="Times New Roman" w:cs="Times New Roman"/>
                <w:sz w:val="24"/>
                <w:szCs w:val="24"/>
              </w:rPr>
            </w:pPr>
            <w:bookmarkStart w:id="360" w:name="_Toc198622034"/>
            <w:bookmarkStart w:id="361" w:name="_Toc198635502"/>
            <w:r>
              <w:rPr>
                <w:rFonts w:ascii="Times New Roman" w:hAnsi="Times New Roman" w:cs="Times New Roman"/>
                <w:sz w:val="24"/>
                <w:szCs w:val="24"/>
              </w:rPr>
              <w:t>Yes</w:t>
            </w:r>
            <w:bookmarkEnd w:id="360"/>
            <w:bookmarkEnd w:id="361"/>
            <w:r>
              <w:rPr>
                <w:rFonts w:ascii="Times New Roman" w:hAnsi="Times New Roman" w:cs="Times New Roman"/>
                <w:sz w:val="24"/>
                <w:szCs w:val="24"/>
              </w:rPr>
              <w:t xml:space="preserve"> </w:t>
            </w:r>
          </w:p>
        </w:tc>
        <w:tc>
          <w:tcPr>
            <w:tcW w:w="1230" w:type="dxa"/>
            <w:tcBorders>
              <w:top w:val="single" w:color="000000" w:sz="4" w:space="0"/>
              <w:left w:val="single" w:color="000000" w:sz="4" w:space="0"/>
              <w:bottom w:val="single" w:color="000000" w:sz="4" w:space="0"/>
              <w:right w:val="single" w:color="000000" w:sz="4" w:space="0"/>
            </w:tcBorders>
            <w:vAlign w:val="center"/>
          </w:tcPr>
          <w:p w14:paraId="45811E97">
            <w:pPr>
              <w:autoSpaceDE w:val="0"/>
              <w:autoSpaceDN w:val="0"/>
              <w:adjustRightInd w:val="0"/>
              <w:ind w:right="-1584"/>
              <w:outlineLvl w:val="0"/>
              <w:rPr>
                <w:rFonts w:ascii="Times New Roman" w:hAnsi="Times New Roman" w:cs="Times New Roman"/>
                <w:sz w:val="24"/>
                <w:szCs w:val="24"/>
              </w:rPr>
            </w:pPr>
            <w:bookmarkStart w:id="362" w:name="_Toc198622035"/>
            <w:bookmarkStart w:id="363" w:name="_Toc198635503"/>
            <w:r>
              <w:rPr>
                <w:rFonts w:ascii="Times New Roman" w:hAnsi="Times New Roman" w:cs="Times New Roman"/>
                <w:sz w:val="24"/>
                <w:szCs w:val="24"/>
              </w:rPr>
              <w:t>334</w:t>
            </w:r>
            <w:bookmarkEnd w:id="362"/>
            <w:bookmarkEnd w:id="363"/>
          </w:p>
        </w:tc>
        <w:tc>
          <w:tcPr>
            <w:tcW w:w="1033" w:type="dxa"/>
            <w:tcBorders>
              <w:top w:val="single" w:color="000000" w:sz="4" w:space="0"/>
              <w:left w:val="single" w:color="000000" w:sz="4" w:space="0"/>
              <w:bottom w:val="single" w:color="000000" w:sz="4" w:space="0"/>
              <w:right w:val="single" w:color="000000" w:sz="4" w:space="0"/>
            </w:tcBorders>
            <w:vAlign w:val="center"/>
          </w:tcPr>
          <w:p w14:paraId="255B902C">
            <w:pPr>
              <w:autoSpaceDE w:val="0"/>
              <w:autoSpaceDN w:val="0"/>
              <w:adjustRightInd w:val="0"/>
              <w:ind w:right="-1584"/>
              <w:outlineLvl w:val="0"/>
              <w:rPr>
                <w:rFonts w:ascii="Times New Roman" w:hAnsi="Times New Roman" w:cs="Times New Roman"/>
                <w:sz w:val="24"/>
                <w:szCs w:val="24"/>
              </w:rPr>
            </w:pPr>
            <w:bookmarkStart w:id="364" w:name="_Toc198622036"/>
            <w:bookmarkStart w:id="365" w:name="_Toc198635504"/>
            <w:r>
              <w:rPr>
                <w:rFonts w:ascii="Times New Roman" w:hAnsi="Times New Roman" w:cs="Times New Roman"/>
                <w:sz w:val="24"/>
                <w:szCs w:val="24"/>
              </w:rPr>
              <w:t>100</w:t>
            </w:r>
            <w:bookmarkEnd w:id="364"/>
            <w:bookmarkEnd w:id="365"/>
          </w:p>
        </w:tc>
      </w:tr>
      <w:tr w14:paraId="2082E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1" w:hRule="atLeast"/>
        </w:trPr>
        <w:tc>
          <w:tcPr>
            <w:tcW w:w="3510" w:type="dxa"/>
            <w:vMerge w:val="continue"/>
            <w:tcBorders>
              <w:top w:val="single" w:color="000000" w:sz="4" w:space="0"/>
              <w:left w:val="single" w:color="000000" w:sz="4" w:space="0"/>
              <w:bottom w:val="single" w:color="000000" w:sz="4" w:space="0"/>
              <w:right w:val="single" w:color="000000" w:sz="4" w:space="0"/>
            </w:tcBorders>
            <w:vAlign w:val="center"/>
          </w:tcPr>
          <w:p w14:paraId="001A1A9B">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vAlign w:val="center"/>
          </w:tcPr>
          <w:p w14:paraId="425AB0AE">
            <w:pPr>
              <w:autoSpaceDE w:val="0"/>
              <w:autoSpaceDN w:val="0"/>
              <w:adjustRightInd w:val="0"/>
              <w:ind w:right="-1584"/>
              <w:outlineLvl w:val="0"/>
              <w:rPr>
                <w:rFonts w:ascii="Times New Roman" w:hAnsi="Times New Roman" w:cs="Times New Roman"/>
                <w:sz w:val="24"/>
                <w:szCs w:val="24"/>
              </w:rPr>
            </w:pPr>
            <w:bookmarkStart w:id="366" w:name="_Toc198635505"/>
            <w:bookmarkStart w:id="367" w:name="_Toc198622037"/>
            <w:r>
              <w:rPr>
                <w:rFonts w:ascii="Times New Roman" w:hAnsi="Times New Roman" w:cs="Times New Roman"/>
                <w:sz w:val="24"/>
                <w:szCs w:val="24"/>
              </w:rPr>
              <w:t>No</w:t>
            </w:r>
            <w:bookmarkEnd w:id="366"/>
            <w:bookmarkEnd w:id="367"/>
          </w:p>
        </w:tc>
        <w:tc>
          <w:tcPr>
            <w:tcW w:w="1230" w:type="dxa"/>
            <w:tcBorders>
              <w:top w:val="single" w:color="000000" w:sz="4" w:space="0"/>
              <w:left w:val="single" w:color="000000" w:sz="4" w:space="0"/>
              <w:bottom w:val="single" w:color="000000" w:sz="4" w:space="0"/>
              <w:right w:val="single" w:color="000000" w:sz="4" w:space="0"/>
            </w:tcBorders>
            <w:vAlign w:val="center"/>
          </w:tcPr>
          <w:p w14:paraId="19F46360">
            <w:pPr>
              <w:autoSpaceDE w:val="0"/>
              <w:autoSpaceDN w:val="0"/>
              <w:adjustRightInd w:val="0"/>
              <w:ind w:right="-1584"/>
              <w:outlineLvl w:val="0"/>
              <w:rPr>
                <w:rFonts w:ascii="Times New Roman" w:hAnsi="Times New Roman" w:cs="Times New Roman"/>
                <w:sz w:val="24"/>
                <w:szCs w:val="24"/>
              </w:rPr>
            </w:pPr>
            <w:bookmarkStart w:id="368" w:name="_Toc198622038"/>
            <w:bookmarkStart w:id="369" w:name="_Toc198635506"/>
            <w:r>
              <w:rPr>
                <w:rFonts w:ascii="Times New Roman" w:hAnsi="Times New Roman" w:cs="Times New Roman"/>
                <w:sz w:val="24"/>
                <w:szCs w:val="24"/>
              </w:rPr>
              <w:t>0</w:t>
            </w:r>
            <w:bookmarkEnd w:id="368"/>
            <w:bookmarkEnd w:id="369"/>
          </w:p>
        </w:tc>
        <w:tc>
          <w:tcPr>
            <w:tcW w:w="1033" w:type="dxa"/>
            <w:tcBorders>
              <w:top w:val="single" w:color="000000" w:sz="4" w:space="0"/>
              <w:left w:val="single" w:color="000000" w:sz="4" w:space="0"/>
              <w:bottom w:val="single" w:color="000000" w:sz="4" w:space="0"/>
              <w:right w:val="single" w:color="000000" w:sz="4" w:space="0"/>
            </w:tcBorders>
            <w:vAlign w:val="center"/>
          </w:tcPr>
          <w:p w14:paraId="477C571A">
            <w:pPr>
              <w:autoSpaceDE w:val="0"/>
              <w:autoSpaceDN w:val="0"/>
              <w:adjustRightInd w:val="0"/>
              <w:ind w:right="-1584"/>
              <w:outlineLvl w:val="0"/>
              <w:rPr>
                <w:rFonts w:ascii="Times New Roman" w:hAnsi="Times New Roman" w:cs="Times New Roman"/>
                <w:sz w:val="24"/>
                <w:szCs w:val="24"/>
              </w:rPr>
            </w:pPr>
            <w:bookmarkStart w:id="370" w:name="_Toc198635507"/>
            <w:bookmarkStart w:id="371" w:name="_Toc198622039"/>
            <w:r>
              <w:rPr>
                <w:rFonts w:ascii="Times New Roman" w:hAnsi="Times New Roman" w:cs="Times New Roman"/>
                <w:sz w:val="24"/>
                <w:szCs w:val="24"/>
              </w:rPr>
              <w:t>0</w:t>
            </w:r>
            <w:bookmarkEnd w:id="370"/>
            <w:bookmarkEnd w:id="371"/>
          </w:p>
        </w:tc>
      </w:tr>
      <w:tr w14:paraId="7805E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8" w:hRule="atLeast"/>
        </w:trPr>
        <w:tc>
          <w:tcPr>
            <w:tcW w:w="3510" w:type="dxa"/>
            <w:vMerge w:val="restart"/>
            <w:tcBorders>
              <w:top w:val="single" w:color="000000" w:sz="4" w:space="0"/>
              <w:left w:val="single" w:color="000000" w:sz="4" w:space="0"/>
              <w:bottom w:val="single" w:color="000000" w:sz="4" w:space="0"/>
              <w:right w:val="single" w:color="000000" w:sz="4" w:space="0"/>
            </w:tcBorders>
          </w:tcPr>
          <w:p w14:paraId="6885A739">
            <w:pPr>
              <w:ind w:right="-1584"/>
              <w:outlineLvl w:val="0"/>
              <w:rPr>
                <w:rFonts w:ascii="Times New Roman" w:hAnsi="Times New Roman" w:cs="Times New Roman"/>
                <w:sz w:val="24"/>
                <w:szCs w:val="24"/>
              </w:rPr>
            </w:pPr>
            <w:bookmarkStart w:id="372" w:name="_Toc198635508"/>
            <w:bookmarkStart w:id="373" w:name="_Toc198622040"/>
            <w:r>
              <w:rPr>
                <w:rFonts w:ascii="Times New Roman" w:hAnsi="Times New Roman" w:cs="Times New Roman"/>
                <w:sz w:val="24"/>
                <w:szCs w:val="24"/>
              </w:rPr>
              <w:t>Cause of Malaria</w:t>
            </w:r>
            <w:bookmarkEnd w:id="372"/>
            <w:bookmarkEnd w:id="373"/>
            <w:r>
              <w:rPr>
                <w:rFonts w:ascii="Times New Roman" w:hAnsi="Times New Roman" w:cs="Times New Roman"/>
                <w:sz w:val="24"/>
                <w:szCs w:val="24"/>
              </w:rPr>
              <w:t xml:space="preserve"> </w:t>
            </w:r>
          </w:p>
        </w:tc>
        <w:tc>
          <w:tcPr>
            <w:tcW w:w="3696" w:type="dxa"/>
            <w:tcBorders>
              <w:top w:val="single" w:color="000000" w:sz="4" w:space="0"/>
              <w:left w:val="single" w:color="000000" w:sz="4" w:space="0"/>
              <w:bottom w:val="single" w:color="000000" w:sz="4" w:space="0"/>
              <w:right w:val="single" w:color="000000" w:sz="4" w:space="0"/>
            </w:tcBorders>
            <w:vAlign w:val="center"/>
          </w:tcPr>
          <w:p w14:paraId="02065FDF">
            <w:pPr>
              <w:autoSpaceDE w:val="0"/>
              <w:autoSpaceDN w:val="0"/>
              <w:adjustRightInd w:val="0"/>
              <w:ind w:right="-1584"/>
              <w:outlineLvl w:val="0"/>
              <w:rPr>
                <w:rFonts w:ascii="Times New Roman" w:hAnsi="Times New Roman" w:cs="Times New Roman"/>
                <w:sz w:val="24"/>
                <w:szCs w:val="24"/>
              </w:rPr>
            </w:pPr>
            <w:bookmarkStart w:id="374" w:name="_Toc198635509"/>
            <w:bookmarkStart w:id="375" w:name="_Toc198622041"/>
            <w:r>
              <w:rPr>
                <w:rFonts w:ascii="Times New Roman" w:hAnsi="Times New Roman" w:cs="Times New Roman"/>
                <w:sz w:val="24"/>
                <w:szCs w:val="24"/>
              </w:rPr>
              <w:t>Drinking Dirty Water</w:t>
            </w:r>
            <w:bookmarkEnd w:id="374"/>
            <w:bookmarkEnd w:id="375"/>
          </w:p>
        </w:tc>
        <w:tc>
          <w:tcPr>
            <w:tcW w:w="1230" w:type="dxa"/>
            <w:tcBorders>
              <w:top w:val="single" w:color="000000" w:sz="4" w:space="0"/>
              <w:left w:val="single" w:color="000000" w:sz="4" w:space="0"/>
              <w:bottom w:val="single" w:color="000000" w:sz="4" w:space="0"/>
              <w:right w:val="single" w:color="000000" w:sz="4" w:space="0"/>
            </w:tcBorders>
            <w:vAlign w:val="center"/>
          </w:tcPr>
          <w:p w14:paraId="01D2509D">
            <w:pPr>
              <w:autoSpaceDE w:val="0"/>
              <w:autoSpaceDN w:val="0"/>
              <w:adjustRightInd w:val="0"/>
              <w:ind w:right="-1584"/>
              <w:outlineLvl w:val="0"/>
              <w:rPr>
                <w:rFonts w:ascii="Times New Roman" w:hAnsi="Times New Roman" w:cs="Times New Roman"/>
                <w:sz w:val="24"/>
                <w:szCs w:val="24"/>
              </w:rPr>
            </w:pPr>
            <w:bookmarkStart w:id="376" w:name="_Toc198622042"/>
            <w:bookmarkStart w:id="377" w:name="_Toc198635510"/>
            <w:r>
              <w:rPr>
                <w:rFonts w:ascii="Times New Roman" w:hAnsi="Times New Roman" w:cs="Times New Roman"/>
                <w:sz w:val="24"/>
                <w:szCs w:val="24"/>
              </w:rPr>
              <w:t>33</w:t>
            </w:r>
            <w:bookmarkEnd w:id="376"/>
            <w:bookmarkEnd w:id="377"/>
          </w:p>
        </w:tc>
        <w:tc>
          <w:tcPr>
            <w:tcW w:w="1033" w:type="dxa"/>
            <w:tcBorders>
              <w:top w:val="single" w:color="000000" w:sz="4" w:space="0"/>
              <w:left w:val="single" w:color="000000" w:sz="4" w:space="0"/>
              <w:bottom w:val="single" w:color="000000" w:sz="4" w:space="0"/>
              <w:right w:val="single" w:color="000000" w:sz="4" w:space="0"/>
            </w:tcBorders>
            <w:vAlign w:val="center"/>
          </w:tcPr>
          <w:p w14:paraId="2945DF20">
            <w:pPr>
              <w:autoSpaceDE w:val="0"/>
              <w:autoSpaceDN w:val="0"/>
              <w:adjustRightInd w:val="0"/>
              <w:ind w:right="-1584"/>
              <w:outlineLvl w:val="0"/>
              <w:rPr>
                <w:rFonts w:ascii="Times New Roman" w:hAnsi="Times New Roman" w:cs="Times New Roman"/>
                <w:sz w:val="24"/>
                <w:szCs w:val="24"/>
              </w:rPr>
            </w:pPr>
            <w:bookmarkStart w:id="378" w:name="_Toc198635511"/>
            <w:bookmarkStart w:id="379" w:name="_Toc198622043"/>
            <w:r>
              <w:rPr>
                <w:rFonts w:ascii="Times New Roman" w:hAnsi="Times New Roman" w:cs="Times New Roman"/>
                <w:sz w:val="24"/>
                <w:szCs w:val="24"/>
              </w:rPr>
              <w:t>9.9</w:t>
            </w:r>
            <w:bookmarkEnd w:id="378"/>
            <w:bookmarkEnd w:id="379"/>
          </w:p>
        </w:tc>
      </w:tr>
      <w:tr w14:paraId="65A49B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6" w:hRule="atLeast"/>
        </w:trPr>
        <w:tc>
          <w:tcPr>
            <w:tcW w:w="3510" w:type="dxa"/>
            <w:vMerge w:val="continue"/>
            <w:tcBorders>
              <w:top w:val="single" w:color="000000" w:sz="4" w:space="0"/>
              <w:left w:val="single" w:color="000000" w:sz="4" w:space="0"/>
              <w:bottom w:val="single" w:color="000000" w:sz="4" w:space="0"/>
              <w:right w:val="single" w:color="000000" w:sz="4" w:space="0"/>
            </w:tcBorders>
            <w:vAlign w:val="center"/>
          </w:tcPr>
          <w:p w14:paraId="00502F6C">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vAlign w:val="center"/>
          </w:tcPr>
          <w:p w14:paraId="20B4C44D">
            <w:pPr>
              <w:autoSpaceDE w:val="0"/>
              <w:autoSpaceDN w:val="0"/>
              <w:adjustRightInd w:val="0"/>
              <w:ind w:right="-1584"/>
              <w:outlineLvl w:val="0"/>
              <w:rPr>
                <w:rFonts w:ascii="Times New Roman" w:hAnsi="Times New Roman" w:cs="Times New Roman"/>
                <w:sz w:val="24"/>
                <w:szCs w:val="24"/>
              </w:rPr>
            </w:pPr>
            <w:bookmarkStart w:id="380" w:name="_Toc198635512"/>
            <w:bookmarkStart w:id="381" w:name="_Toc198622044"/>
            <w:r>
              <w:rPr>
                <w:rFonts w:ascii="Times New Roman" w:hAnsi="Times New Roman" w:cs="Times New Roman"/>
                <w:sz w:val="24"/>
                <w:szCs w:val="24"/>
              </w:rPr>
              <w:t>Housefly Bite</w:t>
            </w:r>
            <w:bookmarkEnd w:id="380"/>
            <w:bookmarkEnd w:id="381"/>
          </w:p>
        </w:tc>
        <w:tc>
          <w:tcPr>
            <w:tcW w:w="1230" w:type="dxa"/>
            <w:tcBorders>
              <w:top w:val="single" w:color="000000" w:sz="4" w:space="0"/>
              <w:left w:val="single" w:color="000000" w:sz="4" w:space="0"/>
              <w:bottom w:val="single" w:color="000000" w:sz="4" w:space="0"/>
              <w:right w:val="single" w:color="000000" w:sz="4" w:space="0"/>
            </w:tcBorders>
            <w:vAlign w:val="center"/>
          </w:tcPr>
          <w:p w14:paraId="23FAE331">
            <w:pPr>
              <w:autoSpaceDE w:val="0"/>
              <w:autoSpaceDN w:val="0"/>
              <w:adjustRightInd w:val="0"/>
              <w:ind w:right="-1584"/>
              <w:outlineLvl w:val="0"/>
              <w:rPr>
                <w:rFonts w:ascii="Times New Roman" w:hAnsi="Times New Roman" w:cs="Times New Roman"/>
                <w:sz w:val="24"/>
                <w:szCs w:val="24"/>
              </w:rPr>
            </w:pPr>
            <w:bookmarkStart w:id="382" w:name="_Toc198622045"/>
            <w:bookmarkStart w:id="383" w:name="_Toc198635513"/>
            <w:r>
              <w:rPr>
                <w:rFonts w:ascii="Times New Roman" w:hAnsi="Times New Roman" w:cs="Times New Roman"/>
                <w:sz w:val="24"/>
                <w:szCs w:val="24"/>
              </w:rPr>
              <w:t>53</w:t>
            </w:r>
            <w:bookmarkEnd w:id="382"/>
            <w:bookmarkEnd w:id="383"/>
          </w:p>
        </w:tc>
        <w:tc>
          <w:tcPr>
            <w:tcW w:w="1033" w:type="dxa"/>
            <w:tcBorders>
              <w:top w:val="single" w:color="000000" w:sz="4" w:space="0"/>
              <w:left w:val="single" w:color="000000" w:sz="4" w:space="0"/>
              <w:bottom w:val="single" w:color="000000" w:sz="4" w:space="0"/>
              <w:right w:val="single" w:color="000000" w:sz="4" w:space="0"/>
            </w:tcBorders>
            <w:vAlign w:val="center"/>
          </w:tcPr>
          <w:p w14:paraId="05B7FE5E">
            <w:pPr>
              <w:autoSpaceDE w:val="0"/>
              <w:autoSpaceDN w:val="0"/>
              <w:adjustRightInd w:val="0"/>
              <w:ind w:right="-1584"/>
              <w:outlineLvl w:val="0"/>
              <w:rPr>
                <w:rFonts w:ascii="Times New Roman" w:hAnsi="Times New Roman" w:cs="Times New Roman"/>
                <w:sz w:val="24"/>
                <w:szCs w:val="24"/>
              </w:rPr>
            </w:pPr>
            <w:bookmarkStart w:id="384" w:name="_Toc198622046"/>
            <w:bookmarkStart w:id="385" w:name="_Toc198635514"/>
            <w:r>
              <w:rPr>
                <w:rFonts w:ascii="Times New Roman" w:hAnsi="Times New Roman" w:cs="Times New Roman"/>
                <w:sz w:val="24"/>
                <w:szCs w:val="24"/>
              </w:rPr>
              <w:t>15.9</w:t>
            </w:r>
            <w:bookmarkEnd w:id="384"/>
            <w:bookmarkEnd w:id="385"/>
          </w:p>
        </w:tc>
      </w:tr>
      <w:tr w14:paraId="725E1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0" w:hRule="atLeast"/>
        </w:trPr>
        <w:tc>
          <w:tcPr>
            <w:tcW w:w="3510" w:type="dxa"/>
            <w:vMerge w:val="continue"/>
            <w:tcBorders>
              <w:top w:val="single" w:color="000000" w:sz="4" w:space="0"/>
              <w:left w:val="single" w:color="000000" w:sz="4" w:space="0"/>
              <w:bottom w:val="single" w:color="000000" w:sz="4" w:space="0"/>
              <w:right w:val="single" w:color="000000" w:sz="4" w:space="0"/>
            </w:tcBorders>
            <w:vAlign w:val="center"/>
          </w:tcPr>
          <w:p w14:paraId="66B39FDD">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vAlign w:val="center"/>
          </w:tcPr>
          <w:p w14:paraId="2E07D754">
            <w:pPr>
              <w:autoSpaceDE w:val="0"/>
              <w:autoSpaceDN w:val="0"/>
              <w:adjustRightInd w:val="0"/>
              <w:ind w:right="-1584"/>
              <w:outlineLvl w:val="0"/>
              <w:rPr>
                <w:rFonts w:ascii="Times New Roman" w:hAnsi="Times New Roman" w:cs="Times New Roman"/>
                <w:sz w:val="24"/>
                <w:szCs w:val="24"/>
              </w:rPr>
            </w:pPr>
            <w:bookmarkStart w:id="386" w:name="_Toc198635515"/>
            <w:bookmarkStart w:id="387" w:name="_Toc198622047"/>
            <w:r>
              <w:rPr>
                <w:rFonts w:ascii="Times New Roman" w:hAnsi="Times New Roman" w:cs="Times New Roman"/>
                <w:sz w:val="24"/>
                <w:szCs w:val="24"/>
              </w:rPr>
              <w:t>Mosquito Bite</w:t>
            </w:r>
            <w:bookmarkEnd w:id="386"/>
            <w:bookmarkEnd w:id="387"/>
          </w:p>
        </w:tc>
        <w:tc>
          <w:tcPr>
            <w:tcW w:w="1230" w:type="dxa"/>
            <w:tcBorders>
              <w:top w:val="single" w:color="000000" w:sz="4" w:space="0"/>
              <w:left w:val="single" w:color="000000" w:sz="4" w:space="0"/>
              <w:bottom w:val="single" w:color="000000" w:sz="4" w:space="0"/>
              <w:right w:val="single" w:color="000000" w:sz="4" w:space="0"/>
            </w:tcBorders>
            <w:vAlign w:val="center"/>
          </w:tcPr>
          <w:p w14:paraId="416A8E44">
            <w:pPr>
              <w:autoSpaceDE w:val="0"/>
              <w:autoSpaceDN w:val="0"/>
              <w:adjustRightInd w:val="0"/>
              <w:ind w:right="-1584"/>
              <w:outlineLvl w:val="0"/>
              <w:rPr>
                <w:rFonts w:ascii="Times New Roman" w:hAnsi="Times New Roman" w:cs="Times New Roman"/>
                <w:sz w:val="24"/>
                <w:szCs w:val="24"/>
              </w:rPr>
            </w:pPr>
            <w:bookmarkStart w:id="388" w:name="_Toc198635516"/>
            <w:bookmarkStart w:id="389" w:name="_Toc198622048"/>
            <w:r>
              <w:rPr>
                <w:rFonts w:ascii="Times New Roman" w:hAnsi="Times New Roman" w:cs="Times New Roman"/>
                <w:sz w:val="24"/>
                <w:szCs w:val="24"/>
              </w:rPr>
              <w:t>248</w:t>
            </w:r>
            <w:bookmarkEnd w:id="388"/>
            <w:bookmarkEnd w:id="389"/>
          </w:p>
        </w:tc>
        <w:tc>
          <w:tcPr>
            <w:tcW w:w="1033" w:type="dxa"/>
            <w:tcBorders>
              <w:top w:val="single" w:color="000000" w:sz="4" w:space="0"/>
              <w:left w:val="single" w:color="000000" w:sz="4" w:space="0"/>
              <w:bottom w:val="single" w:color="000000" w:sz="4" w:space="0"/>
              <w:right w:val="single" w:color="000000" w:sz="4" w:space="0"/>
            </w:tcBorders>
            <w:vAlign w:val="center"/>
          </w:tcPr>
          <w:p w14:paraId="07ADEBF6">
            <w:pPr>
              <w:autoSpaceDE w:val="0"/>
              <w:autoSpaceDN w:val="0"/>
              <w:adjustRightInd w:val="0"/>
              <w:ind w:right="-1584"/>
              <w:outlineLvl w:val="0"/>
              <w:rPr>
                <w:rFonts w:ascii="Times New Roman" w:hAnsi="Times New Roman" w:cs="Times New Roman"/>
                <w:sz w:val="24"/>
                <w:szCs w:val="24"/>
              </w:rPr>
            </w:pPr>
            <w:bookmarkStart w:id="390" w:name="_Toc198635517"/>
            <w:bookmarkStart w:id="391" w:name="_Toc198622049"/>
            <w:r>
              <w:rPr>
                <w:rFonts w:ascii="Times New Roman" w:hAnsi="Times New Roman" w:cs="Times New Roman"/>
                <w:sz w:val="24"/>
                <w:szCs w:val="24"/>
              </w:rPr>
              <w:t>74.3</w:t>
            </w:r>
            <w:bookmarkEnd w:id="390"/>
            <w:bookmarkEnd w:id="391"/>
          </w:p>
        </w:tc>
      </w:tr>
      <w:tr w14:paraId="0004C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3" w:hRule="atLeast"/>
        </w:trPr>
        <w:tc>
          <w:tcPr>
            <w:tcW w:w="3510" w:type="dxa"/>
            <w:vMerge w:val="restart"/>
            <w:tcBorders>
              <w:top w:val="single" w:color="000000" w:sz="4" w:space="0"/>
              <w:left w:val="single" w:color="000000" w:sz="4" w:space="0"/>
              <w:bottom w:val="single" w:color="000000" w:sz="4" w:space="0"/>
              <w:right w:val="single" w:color="000000" w:sz="4" w:space="0"/>
            </w:tcBorders>
            <w:vAlign w:val="center"/>
          </w:tcPr>
          <w:p w14:paraId="44939503">
            <w:pPr>
              <w:autoSpaceDE w:val="0"/>
              <w:autoSpaceDN w:val="0"/>
              <w:adjustRightInd w:val="0"/>
              <w:ind w:right="-1584"/>
              <w:outlineLvl w:val="0"/>
              <w:rPr>
                <w:rFonts w:ascii="Times New Roman" w:hAnsi="Times New Roman" w:cs="Times New Roman"/>
                <w:sz w:val="24"/>
                <w:szCs w:val="24"/>
              </w:rPr>
            </w:pPr>
            <w:bookmarkStart w:id="392" w:name="_Toc198622050"/>
            <w:bookmarkStart w:id="393" w:name="_Toc198635518"/>
            <w:r>
              <w:rPr>
                <w:rFonts w:ascii="Times New Roman" w:hAnsi="Times New Roman" w:cs="Times New Roman"/>
                <w:sz w:val="24"/>
                <w:szCs w:val="24"/>
              </w:rPr>
              <w:t>Everyone is at risk of malaria</w:t>
            </w:r>
            <w:bookmarkEnd w:id="392"/>
            <w:bookmarkEnd w:id="393"/>
            <w:r>
              <w:rPr>
                <w:rFonts w:ascii="Times New Roman" w:hAnsi="Times New Roman" w:cs="Times New Roman"/>
                <w:sz w:val="24"/>
                <w:szCs w:val="24"/>
              </w:rPr>
              <w:t xml:space="preserve"> </w:t>
            </w:r>
          </w:p>
        </w:tc>
        <w:tc>
          <w:tcPr>
            <w:tcW w:w="3696" w:type="dxa"/>
            <w:tcBorders>
              <w:top w:val="single" w:color="000000" w:sz="4" w:space="0"/>
              <w:left w:val="single" w:color="000000" w:sz="4" w:space="0"/>
              <w:bottom w:val="single" w:color="000000" w:sz="4" w:space="0"/>
              <w:right w:val="single" w:color="000000" w:sz="4" w:space="0"/>
            </w:tcBorders>
          </w:tcPr>
          <w:p w14:paraId="1DF454A8">
            <w:pPr>
              <w:autoSpaceDE w:val="0"/>
              <w:autoSpaceDN w:val="0"/>
              <w:adjustRightInd w:val="0"/>
              <w:ind w:right="-1584"/>
              <w:outlineLvl w:val="0"/>
              <w:rPr>
                <w:rFonts w:ascii="Times New Roman" w:hAnsi="Times New Roman" w:cs="Times New Roman"/>
                <w:sz w:val="24"/>
                <w:szCs w:val="24"/>
              </w:rPr>
            </w:pPr>
            <w:bookmarkStart w:id="394" w:name="_Toc198622051"/>
            <w:bookmarkStart w:id="395" w:name="_Toc198635519"/>
            <w:r>
              <w:rPr>
                <w:rFonts w:ascii="Times New Roman" w:hAnsi="Times New Roman" w:cs="Times New Roman"/>
                <w:sz w:val="24"/>
                <w:szCs w:val="24"/>
              </w:rPr>
              <w:t>Yes</w:t>
            </w:r>
            <w:bookmarkEnd w:id="394"/>
            <w:bookmarkEnd w:id="395"/>
          </w:p>
        </w:tc>
        <w:tc>
          <w:tcPr>
            <w:tcW w:w="1230" w:type="dxa"/>
            <w:tcBorders>
              <w:top w:val="single" w:color="000000" w:sz="4" w:space="0"/>
              <w:left w:val="single" w:color="000000" w:sz="4" w:space="0"/>
              <w:bottom w:val="single" w:color="000000" w:sz="4" w:space="0"/>
              <w:right w:val="single" w:color="000000" w:sz="4" w:space="0"/>
            </w:tcBorders>
          </w:tcPr>
          <w:p w14:paraId="18CDDA6A">
            <w:pPr>
              <w:autoSpaceDE w:val="0"/>
              <w:autoSpaceDN w:val="0"/>
              <w:adjustRightInd w:val="0"/>
              <w:ind w:right="-1584"/>
              <w:outlineLvl w:val="0"/>
              <w:rPr>
                <w:rFonts w:ascii="Times New Roman" w:hAnsi="Times New Roman" w:cs="Times New Roman"/>
                <w:sz w:val="24"/>
                <w:szCs w:val="24"/>
              </w:rPr>
            </w:pPr>
            <w:bookmarkStart w:id="396" w:name="_Toc198635520"/>
            <w:bookmarkStart w:id="397" w:name="_Toc198622052"/>
            <w:r>
              <w:rPr>
                <w:rFonts w:ascii="Times New Roman" w:hAnsi="Times New Roman" w:cs="Times New Roman"/>
                <w:sz w:val="24"/>
                <w:szCs w:val="24"/>
              </w:rPr>
              <w:t>126</w:t>
            </w:r>
            <w:bookmarkEnd w:id="396"/>
            <w:bookmarkEnd w:id="397"/>
          </w:p>
        </w:tc>
        <w:tc>
          <w:tcPr>
            <w:tcW w:w="1033" w:type="dxa"/>
            <w:tcBorders>
              <w:top w:val="single" w:color="000000" w:sz="4" w:space="0"/>
              <w:left w:val="single" w:color="000000" w:sz="4" w:space="0"/>
              <w:bottom w:val="single" w:color="000000" w:sz="4" w:space="0"/>
              <w:right w:val="single" w:color="000000" w:sz="4" w:space="0"/>
            </w:tcBorders>
          </w:tcPr>
          <w:p w14:paraId="5DE9470E">
            <w:pPr>
              <w:autoSpaceDE w:val="0"/>
              <w:autoSpaceDN w:val="0"/>
              <w:adjustRightInd w:val="0"/>
              <w:ind w:right="-1584"/>
              <w:outlineLvl w:val="0"/>
              <w:rPr>
                <w:rFonts w:ascii="Times New Roman" w:hAnsi="Times New Roman" w:cs="Times New Roman"/>
                <w:sz w:val="24"/>
                <w:szCs w:val="24"/>
              </w:rPr>
            </w:pPr>
            <w:bookmarkStart w:id="398" w:name="_Toc198635521"/>
            <w:bookmarkStart w:id="399" w:name="_Toc198622053"/>
            <w:r>
              <w:rPr>
                <w:rFonts w:ascii="Times New Roman" w:hAnsi="Times New Roman" w:cs="Times New Roman"/>
                <w:sz w:val="24"/>
                <w:szCs w:val="24"/>
              </w:rPr>
              <w:t>37.7</w:t>
            </w:r>
            <w:bookmarkEnd w:id="398"/>
            <w:bookmarkEnd w:id="399"/>
          </w:p>
        </w:tc>
      </w:tr>
      <w:tr w14:paraId="6AD7B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trPr>
        <w:tc>
          <w:tcPr>
            <w:tcW w:w="3510" w:type="dxa"/>
            <w:vMerge w:val="continue"/>
            <w:tcBorders>
              <w:top w:val="single" w:color="000000" w:sz="4" w:space="0"/>
              <w:left w:val="single" w:color="000000" w:sz="4" w:space="0"/>
              <w:bottom w:val="single" w:color="000000" w:sz="4" w:space="0"/>
              <w:right w:val="single" w:color="000000" w:sz="4" w:space="0"/>
            </w:tcBorders>
            <w:vAlign w:val="center"/>
          </w:tcPr>
          <w:p w14:paraId="1E659E1A">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tcPr>
          <w:p w14:paraId="43E1EADD">
            <w:pPr>
              <w:ind w:right="-1584"/>
              <w:outlineLvl w:val="0"/>
              <w:rPr>
                <w:rFonts w:ascii="Times New Roman" w:hAnsi="Times New Roman" w:cs="Times New Roman"/>
                <w:sz w:val="24"/>
                <w:szCs w:val="24"/>
              </w:rPr>
            </w:pPr>
            <w:bookmarkStart w:id="400" w:name="_Toc198622054"/>
            <w:bookmarkStart w:id="401" w:name="_Toc198635522"/>
            <w:r>
              <w:rPr>
                <w:rFonts w:ascii="Times New Roman" w:hAnsi="Times New Roman" w:cs="Times New Roman"/>
                <w:sz w:val="24"/>
                <w:szCs w:val="24"/>
              </w:rPr>
              <w:t>No</w:t>
            </w:r>
            <w:bookmarkEnd w:id="400"/>
            <w:bookmarkEnd w:id="401"/>
          </w:p>
        </w:tc>
        <w:tc>
          <w:tcPr>
            <w:tcW w:w="1230" w:type="dxa"/>
            <w:tcBorders>
              <w:top w:val="single" w:color="000000" w:sz="4" w:space="0"/>
              <w:left w:val="single" w:color="000000" w:sz="4" w:space="0"/>
              <w:bottom w:val="single" w:color="000000" w:sz="4" w:space="0"/>
              <w:right w:val="single" w:color="000000" w:sz="4" w:space="0"/>
            </w:tcBorders>
          </w:tcPr>
          <w:p w14:paraId="35FB426C">
            <w:pPr>
              <w:ind w:right="-1584"/>
              <w:outlineLvl w:val="0"/>
              <w:rPr>
                <w:rFonts w:ascii="Times New Roman" w:hAnsi="Times New Roman" w:cs="Times New Roman"/>
                <w:sz w:val="24"/>
                <w:szCs w:val="24"/>
              </w:rPr>
            </w:pPr>
            <w:bookmarkStart w:id="402" w:name="_Toc198622055"/>
            <w:bookmarkStart w:id="403" w:name="_Toc198635523"/>
            <w:r>
              <w:rPr>
                <w:rFonts w:ascii="Times New Roman" w:hAnsi="Times New Roman" w:cs="Times New Roman"/>
                <w:sz w:val="24"/>
                <w:szCs w:val="24"/>
              </w:rPr>
              <w:t>208</w:t>
            </w:r>
            <w:bookmarkEnd w:id="402"/>
            <w:bookmarkEnd w:id="403"/>
          </w:p>
        </w:tc>
        <w:tc>
          <w:tcPr>
            <w:tcW w:w="1033" w:type="dxa"/>
            <w:tcBorders>
              <w:top w:val="single" w:color="000000" w:sz="4" w:space="0"/>
              <w:left w:val="single" w:color="000000" w:sz="4" w:space="0"/>
              <w:bottom w:val="single" w:color="000000" w:sz="4" w:space="0"/>
              <w:right w:val="single" w:color="000000" w:sz="4" w:space="0"/>
            </w:tcBorders>
          </w:tcPr>
          <w:p w14:paraId="756D7632">
            <w:pPr>
              <w:ind w:right="-1584"/>
              <w:outlineLvl w:val="0"/>
              <w:rPr>
                <w:rFonts w:ascii="Times New Roman" w:hAnsi="Times New Roman" w:cs="Times New Roman"/>
                <w:sz w:val="24"/>
                <w:szCs w:val="24"/>
              </w:rPr>
            </w:pPr>
            <w:bookmarkStart w:id="404" w:name="_Toc198622056"/>
            <w:bookmarkStart w:id="405" w:name="_Toc198635524"/>
            <w:r>
              <w:rPr>
                <w:rFonts w:ascii="Times New Roman" w:hAnsi="Times New Roman" w:cs="Times New Roman"/>
                <w:sz w:val="24"/>
                <w:szCs w:val="24"/>
              </w:rPr>
              <w:t>62.3</w:t>
            </w:r>
            <w:bookmarkEnd w:id="404"/>
            <w:bookmarkEnd w:id="405"/>
          </w:p>
        </w:tc>
      </w:tr>
      <w:tr w14:paraId="33056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0" w:hRule="atLeast"/>
        </w:trPr>
        <w:tc>
          <w:tcPr>
            <w:tcW w:w="3510" w:type="dxa"/>
            <w:vMerge w:val="restart"/>
            <w:tcBorders>
              <w:top w:val="single" w:color="000000" w:sz="4" w:space="0"/>
              <w:left w:val="single" w:color="000000" w:sz="4" w:space="0"/>
              <w:bottom w:val="single" w:color="000000" w:sz="4" w:space="0"/>
              <w:right w:val="single" w:color="000000" w:sz="4" w:space="0"/>
            </w:tcBorders>
            <w:vAlign w:val="center"/>
          </w:tcPr>
          <w:p w14:paraId="0B5D2390">
            <w:pPr>
              <w:ind w:right="-1584"/>
              <w:outlineLvl w:val="0"/>
              <w:rPr>
                <w:rFonts w:ascii="Times New Roman" w:hAnsi="Times New Roman" w:cs="Times New Roman"/>
                <w:sz w:val="24"/>
                <w:szCs w:val="24"/>
              </w:rPr>
            </w:pPr>
            <w:bookmarkStart w:id="406" w:name="_Toc198635525"/>
            <w:bookmarkStart w:id="407" w:name="_Toc198622057"/>
            <w:r>
              <w:rPr>
                <w:rFonts w:ascii="Times New Roman" w:hAnsi="Times New Roman" w:cs="Times New Roman"/>
                <w:sz w:val="24"/>
                <w:szCs w:val="24"/>
              </w:rPr>
              <w:t>Is malaria preventable</w:t>
            </w:r>
            <w:bookmarkEnd w:id="406"/>
            <w:bookmarkEnd w:id="407"/>
            <w:r>
              <w:rPr>
                <w:rFonts w:ascii="Times New Roman" w:hAnsi="Times New Roman" w:cs="Times New Roman"/>
                <w:sz w:val="24"/>
                <w:szCs w:val="24"/>
              </w:rPr>
              <w:t xml:space="preserve">  </w:t>
            </w:r>
          </w:p>
          <w:p w14:paraId="24A3422A">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tcPr>
          <w:p w14:paraId="772F5367">
            <w:pPr>
              <w:ind w:right="-1584"/>
              <w:outlineLvl w:val="0"/>
              <w:rPr>
                <w:rFonts w:ascii="Times New Roman" w:hAnsi="Times New Roman" w:cs="Times New Roman"/>
                <w:sz w:val="24"/>
                <w:szCs w:val="24"/>
              </w:rPr>
            </w:pPr>
            <w:bookmarkStart w:id="408" w:name="_Toc198635526"/>
            <w:bookmarkStart w:id="409" w:name="_Toc198622058"/>
            <w:r>
              <w:rPr>
                <w:rFonts w:ascii="Times New Roman" w:hAnsi="Times New Roman" w:cs="Times New Roman"/>
                <w:sz w:val="24"/>
                <w:szCs w:val="24"/>
              </w:rPr>
              <w:t>Yes</w:t>
            </w:r>
            <w:bookmarkEnd w:id="408"/>
            <w:bookmarkEnd w:id="409"/>
          </w:p>
        </w:tc>
        <w:tc>
          <w:tcPr>
            <w:tcW w:w="1230" w:type="dxa"/>
            <w:tcBorders>
              <w:top w:val="single" w:color="000000" w:sz="4" w:space="0"/>
              <w:left w:val="single" w:color="000000" w:sz="4" w:space="0"/>
              <w:bottom w:val="single" w:color="000000" w:sz="4" w:space="0"/>
              <w:right w:val="single" w:color="000000" w:sz="4" w:space="0"/>
            </w:tcBorders>
          </w:tcPr>
          <w:p w14:paraId="52A069C5">
            <w:pPr>
              <w:ind w:right="-1584"/>
              <w:outlineLvl w:val="0"/>
              <w:rPr>
                <w:rFonts w:ascii="Times New Roman" w:hAnsi="Times New Roman" w:cs="Times New Roman"/>
                <w:sz w:val="24"/>
                <w:szCs w:val="24"/>
              </w:rPr>
            </w:pPr>
            <w:bookmarkStart w:id="410" w:name="_Toc198635527"/>
            <w:bookmarkStart w:id="411" w:name="_Toc198622059"/>
            <w:r>
              <w:rPr>
                <w:rFonts w:ascii="Times New Roman" w:hAnsi="Times New Roman" w:cs="Times New Roman"/>
                <w:sz w:val="24"/>
                <w:szCs w:val="24"/>
              </w:rPr>
              <w:t>321</w:t>
            </w:r>
            <w:bookmarkEnd w:id="410"/>
            <w:bookmarkEnd w:id="411"/>
          </w:p>
        </w:tc>
        <w:tc>
          <w:tcPr>
            <w:tcW w:w="1033" w:type="dxa"/>
            <w:tcBorders>
              <w:top w:val="single" w:color="000000" w:sz="4" w:space="0"/>
              <w:left w:val="single" w:color="000000" w:sz="4" w:space="0"/>
              <w:bottom w:val="single" w:color="000000" w:sz="4" w:space="0"/>
              <w:right w:val="single" w:color="000000" w:sz="4" w:space="0"/>
            </w:tcBorders>
          </w:tcPr>
          <w:p w14:paraId="7DDA6375">
            <w:pPr>
              <w:ind w:right="-1584"/>
              <w:outlineLvl w:val="0"/>
              <w:rPr>
                <w:rFonts w:ascii="Times New Roman" w:hAnsi="Times New Roman" w:cs="Times New Roman"/>
                <w:sz w:val="24"/>
                <w:szCs w:val="24"/>
              </w:rPr>
            </w:pPr>
            <w:bookmarkStart w:id="412" w:name="_Toc198635528"/>
            <w:bookmarkStart w:id="413" w:name="_Toc198622060"/>
            <w:r>
              <w:rPr>
                <w:rFonts w:ascii="Times New Roman" w:hAnsi="Times New Roman" w:cs="Times New Roman"/>
                <w:sz w:val="24"/>
                <w:szCs w:val="24"/>
              </w:rPr>
              <w:t>96.1</w:t>
            </w:r>
            <w:bookmarkEnd w:id="412"/>
            <w:bookmarkEnd w:id="413"/>
          </w:p>
        </w:tc>
      </w:tr>
      <w:tr w14:paraId="44B21A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0" w:hRule="atLeast"/>
        </w:trPr>
        <w:tc>
          <w:tcPr>
            <w:tcW w:w="3510" w:type="dxa"/>
            <w:vMerge w:val="continue"/>
            <w:tcBorders>
              <w:top w:val="single" w:color="000000" w:sz="4" w:space="0"/>
              <w:left w:val="single" w:color="000000" w:sz="4" w:space="0"/>
              <w:bottom w:val="single" w:color="000000" w:sz="4" w:space="0"/>
              <w:right w:val="single" w:color="000000" w:sz="4" w:space="0"/>
            </w:tcBorders>
            <w:vAlign w:val="center"/>
          </w:tcPr>
          <w:p w14:paraId="56D7BD61">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tcPr>
          <w:p w14:paraId="5C35A847">
            <w:pPr>
              <w:ind w:right="-1584"/>
              <w:outlineLvl w:val="0"/>
              <w:rPr>
                <w:rFonts w:ascii="Times New Roman" w:hAnsi="Times New Roman" w:cs="Times New Roman"/>
                <w:sz w:val="24"/>
                <w:szCs w:val="24"/>
              </w:rPr>
            </w:pPr>
            <w:bookmarkStart w:id="414" w:name="_Toc198635529"/>
            <w:bookmarkStart w:id="415" w:name="_Toc198622061"/>
            <w:r>
              <w:rPr>
                <w:rFonts w:ascii="Times New Roman" w:hAnsi="Times New Roman" w:cs="Times New Roman"/>
                <w:sz w:val="24"/>
                <w:szCs w:val="24"/>
              </w:rPr>
              <w:t>No</w:t>
            </w:r>
            <w:bookmarkEnd w:id="414"/>
            <w:bookmarkEnd w:id="415"/>
          </w:p>
        </w:tc>
        <w:tc>
          <w:tcPr>
            <w:tcW w:w="1230" w:type="dxa"/>
            <w:tcBorders>
              <w:top w:val="single" w:color="000000" w:sz="4" w:space="0"/>
              <w:left w:val="single" w:color="000000" w:sz="4" w:space="0"/>
              <w:bottom w:val="single" w:color="000000" w:sz="4" w:space="0"/>
              <w:right w:val="single" w:color="000000" w:sz="4" w:space="0"/>
            </w:tcBorders>
          </w:tcPr>
          <w:p w14:paraId="4FF6A774">
            <w:pPr>
              <w:ind w:right="-1584"/>
              <w:outlineLvl w:val="0"/>
              <w:rPr>
                <w:rFonts w:ascii="Times New Roman" w:hAnsi="Times New Roman" w:cs="Times New Roman"/>
                <w:sz w:val="24"/>
                <w:szCs w:val="24"/>
              </w:rPr>
            </w:pPr>
            <w:bookmarkStart w:id="416" w:name="_Toc198622062"/>
            <w:bookmarkStart w:id="417" w:name="_Toc198635530"/>
            <w:r>
              <w:rPr>
                <w:rFonts w:ascii="Times New Roman" w:hAnsi="Times New Roman" w:cs="Times New Roman"/>
                <w:sz w:val="24"/>
                <w:szCs w:val="24"/>
              </w:rPr>
              <w:t>13</w:t>
            </w:r>
            <w:bookmarkEnd w:id="416"/>
            <w:bookmarkEnd w:id="417"/>
          </w:p>
        </w:tc>
        <w:tc>
          <w:tcPr>
            <w:tcW w:w="1033" w:type="dxa"/>
            <w:tcBorders>
              <w:top w:val="single" w:color="000000" w:sz="4" w:space="0"/>
              <w:left w:val="single" w:color="000000" w:sz="4" w:space="0"/>
              <w:bottom w:val="single" w:color="000000" w:sz="4" w:space="0"/>
              <w:right w:val="single" w:color="000000" w:sz="4" w:space="0"/>
            </w:tcBorders>
          </w:tcPr>
          <w:p w14:paraId="13BDBE7F">
            <w:pPr>
              <w:ind w:right="-1584"/>
              <w:outlineLvl w:val="0"/>
              <w:rPr>
                <w:rFonts w:ascii="Times New Roman" w:hAnsi="Times New Roman" w:cs="Times New Roman"/>
                <w:sz w:val="24"/>
                <w:szCs w:val="24"/>
              </w:rPr>
            </w:pPr>
            <w:bookmarkStart w:id="418" w:name="_Toc198622063"/>
            <w:bookmarkStart w:id="419" w:name="_Toc198635531"/>
            <w:r>
              <w:rPr>
                <w:rFonts w:ascii="Times New Roman" w:hAnsi="Times New Roman" w:cs="Times New Roman"/>
                <w:sz w:val="24"/>
                <w:szCs w:val="24"/>
              </w:rPr>
              <w:t>3.9</w:t>
            </w:r>
            <w:bookmarkEnd w:id="418"/>
            <w:bookmarkEnd w:id="419"/>
          </w:p>
        </w:tc>
      </w:tr>
      <w:tr w14:paraId="2B019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0" w:hRule="atLeast"/>
        </w:trPr>
        <w:tc>
          <w:tcPr>
            <w:tcW w:w="3510" w:type="dxa"/>
            <w:vMerge w:val="restart"/>
            <w:tcBorders>
              <w:top w:val="single" w:color="000000" w:sz="4" w:space="0"/>
              <w:left w:val="single" w:color="000000" w:sz="4" w:space="0"/>
              <w:bottom w:val="single" w:color="000000" w:sz="4" w:space="0"/>
              <w:right w:val="single" w:color="000000" w:sz="4" w:space="0"/>
            </w:tcBorders>
            <w:vAlign w:val="center"/>
          </w:tcPr>
          <w:p w14:paraId="46F62F73">
            <w:pPr>
              <w:ind w:right="-1584"/>
              <w:outlineLvl w:val="0"/>
              <w:rPr>
                <w:rFonts w:ascii="Times New Roman" w:hAnsi="Times New Roman" w:cs="Times New Roman"/>
                <w:sz w:val="24"/>
                <w:szCs w:val="24"/>
              </w:rPr>
            </w:pPr>
            <w:bookmarkStart w:id="420" w:name="_Toc198622064"/>
            <w:bookmarkStart w:id="421" w:name="_Toc198635532"/>
            <w:r>
              <w:rPr>
                <w:rFonts w:ascii="Times New Roman" w:hAnsi="Times New Roman" w:cs="Times New Roman"/>
                <w:sz w:val="24"/>
                <w:szCs w:val="24"/>
              </w:rPr>
              <w:t>Methods of malaria prevention</w:t>
            </w:r>
            <w:bookmarkEnd w:id="420"/>
            <w:bookmarkEnd w:id="421"/>
            <w:r>
              <w:rPr>
                <w:rFonts w:ascii="Times New Roman" w:hAnsi="Times New Roman" w:cs="Times New Roman"/>
                <w:sz w:val="24"/>
                <w:szCs w:val="24"/>
              </w:rPr>
              <w:t xml:space="preserve"> </w:t>
            </w:r>
          </w:p>
        </w:tc>
        <w:tc>
          <w:tcPr>
            <w:tcW w:w="3696" w:type="dxa"/>
            <w:tcBorders>
              <w:top w:val="single" w:color="000000" w:sz="4" w:space="0"/>
              <w:left w:val="single" w:color="000000" w:sz="4" w:space="0"/>
              <w:bottom w:val="single" w:color="000000" w:sz="4" w:space="0"/>
              <w:right w:val="single" w:color="000000" w:sz="4" w:space="0"/>
            </w:tcBorders>
          </w:tcPr>
          <w:p w14:paraId="03AD40E7">
            <w:pPr>
              <w:ind w:right="-1584"/>
              <w:outlineLvl w:val="0"/>
              <w:rPr>
                <w:rFonts w:ascii="Times New Roman" w:hAnsi="Times New Roman" w:cs="Times New Roman"/>
                <w:sz w:val="24"/>
                <w:szCs w:val="24"/>
              </w:rPr>
            </w:pPr>
            <w:bookmarkStart w:id="422" w:name="_Toc198622065"/>
            <w:bookmarkStart w:id="423" w:name="_Toc198635533"/>
            <w:r>
              <w:rPr>
                <w:rFonts w:ascii="Times New Roman" w:hAnsi="Times New Roman" w:cs="Times New Roman"/>
                <w:sz w:val="24"/>
                <w:szCs w:val="24"/>
              </w:rPr>
              <w:t>Sleeping under bed nets (ITN)</w:t>
            </w:r>
            <w:bookmarkEnd w:id="422"/>
            <w:bookmarkEnd w:id="423"/>
          </w:p>
        </w:tc>
        <w:tc>
          <w:tcPr>
            <w:tcW w:w="1230" w:type="dxa"/>
            <w:tcBorders>
              <w:top w:val="single" w:color="000000" w:sz="4" w:space="0"/>
              <w:left w:val="single" w:color="000000" w:sz="4" w:space="0"/>
              <w:bottom w:val="single" w:color="000000" w:sz="4" w:space="0"/>
              <w:right w:val="single" w:color="000000" w:sz="4" w:space="0"/>
            </w:tcBorders>
          </w:tcPr>
          <w:p w14:paraId="0BE4554E">
            <w:pPr>
              <w:ind w:right="-1584"/>
              <w:outlineLvl w:val="0"/>
              <w:rPr>
                <w:rFonts w:ascii="Times New Roman" w:hAnsi="Times New Roman" w:cs="Times New Roman"/>
                <w:sz w:val="24"/>
                <w:szCs w:val="24"/>
              </w:rPr>
            </w:pPr>
            <w:bookmarkStart w:id="424" w:name="_Toc198635534"/>
            <w:bookmarkStart w:id="425" w:name="_Toc198622066"/>
            <w:r>
              <w:rPr>
                <w:rFonts w:ascii="Times New Roman" w:hAnsi="Times New Roman" w:cs="Times New Roman"/>
                <w:sz w:val="24"/>
                <w:szCs w:val="24"/>
              </w:rPr>
              <w:t>159</w:t>
            </w:r>
            <w:bookmarkEnd w:id="424"/>
            <w:bookmarkEnd w:id="425"/>
          </w:p>
        </w:tc>
        <w:tc>
          <w:tcPr>
            <w:tcW w:w="1033" w:type="dxa"/>
            <w:tcBorders>
              <w:top w:val="single" w:color="000000" w:sz="4" w:space="0"/>
              <w:left w:val="single" w:color="000000" w:sz="4" w:space="0"/>
              <w:bottom w:val="single" w:color="000000" w:sz="4" w:space="0"/>
              <w:right w:val="single" w:color="000000" w:sz="4" w:space="0"/>
            </w:tcBorders>
          </w:tcPr>
          <w:p w14:paraId="74BAB169">
            <w:pPr>
              <w:ind w:right="-1584"/>
              <w:outlineLvl w:val="0"/>
              <w:rPr>
                <w:rFonts w:ascii="Times New Roman" w:hAnsi="Times New Roman" w:cs="Times New Roman"/>
                <w:sz w:val="24"/>
                <w:szCs w:val="24"/>
              </w:rPr>
            </w:pPr>
            <w:bookmarkStart w:id="426" w:name="_Toc198622067"/>
            <w:bookmarkStart w:id="427" w:name="_Toc198635535"/>
            <w:r>
              <w:rPr>
                <w:rFonts w:ascii="Times New Roman" w:hAnsi="Times New Roman" w:cs="Times New Roman"/>
                <w:sz w:val="24"/>
                <w:szCs w:val="24"/>
              </w:rPr>
              <w:t>47.6</w:t>
            </w:r>
            <w:bookmarkEnd w:id="426"/>
            <w:bookmarkEnd w:id="427"/>
          </w:p>
        </w:tc>
      </w:tr>
      <w:tr w14:paraId="4BF90C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0" w:hRule="atLeast"/>
        </w:trPr>
        <w:tc>
          <w:tcPr>
            <w:tcW w:w="3510" w:type="dxa"/>
            <w:vMerge w:val="continue"/>
            <w:tcBorders>
              <w:top w:val="single" w:color="000000" w:sz="4" w:space="0"/>
              <w:left w:val="single" w:color="000000" w:sz="4" w:space="0"/>
              <w:bottom w:val="single" w:color="000000" w:sz="4" w:space="0"/>
              <w:right w:val="single" w:color="000000" w:sz="4" w:space="0"/>
            </w:tcBorders>
            <w:vAlign w:val="center"/>
          </w:tcPr>
          <w:p w14:paraId="2AA2339A">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tcPr>
          <w:p w14:paraId="5FADC411">
            <w:pPr>
              <w:ind w:right="-1584"/>
              <w:outlineLvl w:val="0"/>
              <w:rPr>
                <w:rFonts w:ascii="Times New Roman" w:hAnsi="Times New Roman" w:cs="Times New Roman"/>
                <w:sz w:val="24"/>
                <w:szCs w:val="24"/>
              </w:rPr>
            </w:pPr>
            <w:bookmarkStart w:id="428" w:name="_Toc198622068"/>
            <w:bookmarkStart w:id="429" w:name="_Toc198635536"/>
            <w:r>
              <w:rPr>
                <w:rFonts w:ascii="Times New Roman" w:hAnsi="Times New Roman" w:cs="Times New Roman"/>
                <w:sz w:val="24"/>
                <w:szCs w:val="24"/>
              </w:rPr>
              <w:t>Spraying Insecticide</w:t>
            </w:r>
            <w:bookmarkEnd w:id="428"/>
            <w:bookmarkEnd w:id="429"/>
          </w:p>
        </w:tc>
        <w:tc>
          <w:tcPr>
            <w:tcW w:w="1230" w:type="dxa"/>
            <w:tcBorders>
              <w:top w:val="single" w:color="000000" w:sz="4" w:space="0"/>
              <w:left w:val="single" w:color="000000" w:sz="4" w:space="0"/>
              <w:bottom w:val="single" w:color="000000" w:sz="4" w:space="0"/>
              <w:right w:val="single" w:color="000000" w:sz="4" w:space="0"/>
            </w:tcBorders>
          </w:tcPr>
          <w:p w14:paraId="602D2FF1">
            <w:pPr>
              <w:ind w:right="-1584"/>
              <w:outlineLvl w:val="0"/>
              <w:rPr>
                <w:rFonts w:ascii="Times New Roman" w:hAnsi="Times New Roman" w:cs="Times New Roman"/>
                <w:sz w:val="24"/>
                <w:szCs w:val="24"/>
              </w:rPr>
            </w:pPr>
            <w:bookmarkStart w:id="430" w:name="_Toc198622069"/>
            <w:bookmarkStart w:id="431" w:name="_Toc198635537"/>
            <w:r>
              <w:rPr>
                <w:rFonts w:ascii="Times New Roman" w:hAnsi="Times New Roman" w:cs="Times New Roman"/>
                <w:sz w:val="24"/>
                <w:szCs w:val="24"/>
              </w:rPr>
              <w:t>64</w:t>
            </w:r>
            <w:bookmarkEnd w:id="430"/>
            <w:bookmarkEnd w:id="431"/>
          </w:p>
        </w:tc>
        <w:tc>
          <w:tcPr>
            <w:tcW w:w="1033" w:type="dxa"/>
            <w:tcBorders>
              <w:top w:val="single" w:color="000000" w:sz="4" w:space="0"/>
              <w:left w:val="single" w:color="000000" w:sz="4" w:space="0"/>
              <w:bottom w:val="single" w:color="000000" w:sz="4" w:space="0"/>
              <w:right w:val="single" w:color="000000" w:sz="4" w:space="0"/>
            </w:tcBorders>
          </w:tcPr>
          <w:p w14:paraId="03F29F49">
            <w:pPr>
              <w:ind w:right="-1584"/>
              <w:outlineLvl w:val="0"/>
              <w:rPr>
                <w:rFonts w:ascii="Times New Roman" w:hAnsi="Times New Roman" w:cs="Times New Roman"/>
                <w:sz w:val="24"/>
                <w:szCs w:val="24"/>
              </w:rPr>
            </w:pPr>
            <w:bookmarkStart w:id="432" w:name="_Toc198635538"/>
            <w:bookmarkStart w:id="433" w:name="_Toc198622070"/>
            <w:r>
              <w:rPr>
                <w:rFonts w:ascii="Times New Roman" w:hAnsi="Times New Roman" w:cs="Times New Roman"/>
                <w:sz w:val="24"/>
                <w:szCs w:val="24"/>
              </w:rPr>
              <w:t>19.2</w:t>
            </w:r>
            <w:bookmarkEnd w:id="432"/>
            <w:bookmarkEnd w:id="433"/>
          </w:p>
        </w:tc>
      </w:tr>
      <w:tr w14:paraId="158886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trPr>
        <w:tc>
          <w:tcPr>
            <w:tcW w:w="3510" w:type="dxa"/>
            <w:vMerge w:val="continue"/>
            <w:tcBorders>
              <w:top w:val="single" w:color="000000" w:sz="4" w:space="0"/>
              <w:left w:val="single" w:color="000000" w:sz="4" w:space="0"/>
              <w:bottom w:val="single" w:color="000000" w:sz="4" w:space="0"/>
              <w:right w:val="single" w:color="000000" w:sz="4" w:space="0"/>
            </w:tcBorders>
            <w:vAlign w:val="center"/>
          </w:tcPr>
          <w:p w14:paraId="4F26C9FF">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tcPr>
          <w:p w14:paraId="1EF2140B">
            <w:pPr>
              <w:ind w:right="-1584"/>
              <w:outlineLvl w:val="0"/>
              <w:rPr>
                <w:rFonts w:ascii="Times New Roman" w:hAnsi="Times New Roman" w:cs="Times New Roman"/>
                <w:sz w:val="24"/>
                <w:szCs w:val="24"/>
              </w:rPr>
            </w:pPr>
            <w:bookmarkStart w:id="434" w:name="_Toc198635539"/>
            <w:bookmarkStart w:id="435" w:name="_Toc198622071"/>
            <w:r>
              <w:rPr>
                <w:rFonts w:ascii="Times New Roman" w:hAnsi="Times New Roman" w:cs="Times New Roman"/>
                <w:sz w:val="24"/>
                <w:szCs w:val="24"/>
              </w:rPr>
              <w:t>Cleaning The Environment</w:t>
            </w:r>
            <w:bookmarkEnd w:id="434"/>
            <w:bookmarkEnd w:id="435"/>
          </w:p>
        </w:tc>
        <w:tc>
          <w:tcPr>
            <w:tcW w:w="1230" w:type="dxa"/>
            <w:tcBorders>
              <w:top w:val="single" w:color="000000" w:sz="4" w:space="0"/>
              <w:left w:val="single" w:color="000000" w:sz="4" w:space="0"/>
              <w:bottom w:val="single" w:color="000000" w:sz="4" w:space="0"/>
              <w:right w:val="single" w:color="000000" w:sz="4" w:space="0"/>
            </w:tcBorders>
          </w:tcPr>
          <w:p w14:paraId="12AD6534">
            <w:pPr>
              <w:ind w:right="-1584"/>
              <w:outlineLvl w:val="0"/>
              <w:rPr>
                <w:rFonts w:ascii="Times New Roman" w:hAnsi="Times New Roman" w:cs="Times New Roman"/>
                <w:sz w:val="24"/>
                <w:szCs w:val="24"/>
              </w:rPr>
            </w:pPr>
            <w:bookmarkStart w:id="436" w:name="_Toc198622072"/>
            <w:bookmarkStart w:id="437" w:name="_Toc198635540"/>
            <w:r>
              <w:rPr>
                <w:rFonts w:ascii="Times New Roman" w:hAnsi="Times New Roman" w:cs="Times New Roman"/>
                <w:sz w:val="24"/>
                <w:szCs w:val="24"/>
              </w:rPr>
              <w:t>72</w:t>
            </w:r>
            <w:bookmarkEnd w:id="436"/>
            <w:bookmarkEnd w:id="437"/>
          </w:p>
        </w:tc>
        <w:tc>
          <w:tcPr>
            <w:tcW w:w="1033" w:type="dxa"/>
            <w:tcBorders>
              <w:top w:val="single" w:color="000000" w:sz="4" w:space="0"/>
              <w:left w:val="single" w:color="000000" w:sz="4" w:space="0"/>
              <w:bottom w:val="single" w:color="000000" w:sz="4" w:space="0"/>
              <w:right w:val="single" w:color="000000" w:sz="4" w:space="0"/>
            </w:tcBorders>
          </w:tcPr>
          <w:p w14:paraId="14C55CC7">
            <w:pPr>
              <w:ind w:right="-1584"/>
              <w:outlineLvl w:val="0"/>
              <w:rPr>
                <w:rFonts w:ascii="Times New Roman" w:hAnsi="Times New Roman" w:cs="Times New Roman"/>
                <w:sz w:val="24"/>
                <w:szCs w:val="24"/>
              </w:rPr>
            </w:pPr>
            <w:bookmarkStart w:id="438" w:name="_Toc198622073"/>
            <w:bookmarkStart w:id="439" w:name="_Toc198635541"/>
            <w:r>
              <w:rPr>
                <w:rFonts w:ascii="Times New Roman" w:hAnsi="Times New Roman" w:cs="Times New Roman"/>
                <w:sz w:val="24"/>
                <w:szCs w:val="24"/>
              </w:rPr>
              <w:t>21.6</w:t>
            </w:r>
            <w:bookmarkEnd w:id="438"/>
            <w:bookmarkEnd w:id="439"/>
          </w:p>
        </w:tc>
      </w:tr>
      <w:tr w14:paraId="0A760C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2" w:hRule="atLeast"/>
        </w:trPr>
        <w:tc>
          <w:tcPr>
            <w:tcW w:w="3510" w:type="dxa"/>
            <w:vMerge w:val="continue"/>
            <w:tcBorders>
              <w:top w:val="single" w:color="000000" w:sz="4" w:space="0"/>
              <w:left w:val="single" w:color="000000" w:sz="4" w:space="0"/>
              <w:bottom w:val="single" w:color="000000" w:sz="4" w:space="0"/>
              <w:right w:val="single" w:color="000000" w:sz="4" w:space="0"/>
            </w:tcBorders>
            <w:vAlign w:val="center"/>
          </w:tcPr>
          <w:p w14:paraId="5ED1F907">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tcPr>
          <w:p w14:paraId="6D435AE4">
            <w:pPr>
              <w:ind w:right="-1584"/>
              <w:outlineLvl w:val="0"/>
              <w:rPr>
                <w:rFonts w:ascii="Times New Roman" w:hAnsi="Times New Roman" w:cs="Times New Roman"/>
                <w:sz w:val="24"/>
                <w:szCs w:val="24"/>
              </w:rPr>
            </w:pPr>
            <w:bookmarkStart w:id="440" w:name="_Toc198635542"/>
            <w:bookmarkStart w:id="441" w:name="_Toc198622074"/>
            <w:r>
              <w:rPr>
                <w:rFonts w:ascii="Times New Roman" w:hAnsi="Times New Roman" w:cs="Times New Roman"/>
                <w:sz w:val="24"/>
                <w:szCs w:val="24"/>
              </w:rPr>
              <w:t>Taking Malaria Vaccine</w:t>
            </w:r>
            <w:bookmarkEnd w:id="440"/>
            <w:bookmarkEnd w:id="441"/>
          </w:p>
        </w:tc>
        <w:tc>
          <w:tcPr>
            <w:tcW w:w="1230" w:type="dxa"/>
            <w:tcBorders>
              <w:top w:val="single" w:color="000000" w:sz="4" w:space="0"/>
              <w:left w:val="single" w:color="000000" w:sz="4" w:space="0"/>
              <w:bottom w:val="single" w:color="000000" w:sz="4" w:space="0"/>
              <w:right w:val="single" w:color="000000" w:sz="4" w:space="0"/>
            </w:tcBorders>
          </w:tcPr>
          <w:p w14:paraId="1C3B5338">
            <w:pPr>
              <w:ind w:right="-1584"/>
              <w:outlineLvl w:val="0"/>
              <w:rPr>
                <w:rFonts w:ascii="Times New Roman" w:hAnsi="Times New Roman" w:cs="Times New Roman"/>
                <w:sz w:val="24"/>
                <w:szCs w:val="24"/>
              </w:rPr>
            </w:pPr>
            <w:bookmarkStart w:id="442" w:name="_Toc198622075"/>
            <w:bookmarkStart w:id="443" w:name="_Toc198635543"/>
            <w:r>
              <w:rPr>
                <w:rFonts w:ascii="Times New Roman" w:hAnsi="Times New Roman" w:cs="Times New Roman"/>
                <w:sz w:val="24"/>
                <w:szCs w:val="24"/>
              </w:rPr>
              <w:t>12</w:t>
            </w:r>
            <w:bookmarkEnd w:id="442"/>
            <w:bookmarkEnd w:id="443"/>
          </w:p>
        </w:tc>
        <w:tc>
          <w:tcPr>
            <w:tcW w:w="1033" w:type="dxa"/>
            <w:tcBorders>
              <w:top w:val="single" w:color="000000" w:sz="4" w:space="0"/>
              <w:left w:val="single" w:color="000000" w:sz="4" w:space="0"/>
              <w:bottom w:val="single" w:color="000000" w:sz="4" w:space="0"/>
              <w:right w:val="single" w:color="000000" w:sz="4" w:space="0"/>
            </w:tcBorders>
          </w:tcPr>
          <w:p w14:paraId="44FD59C9">
            <w:pPr>
              <w:ind w:right="-1584"/>
              <w:outlineLvl w:val="0"/>
              <w:rPr>
                <w:rFonts w:ascii="Times New Roman" w:hAnsi="Times New Roman" w:cs="Times New Roman"/>
                <w:sz w:val="24"/>
                <w:szCs w:val="24"/>
              </w:rPr>
            </w:pPr>
            <w:bookmarkStart w:id="444" w:name="_Toc198622076"/>
            <w:bookmarkStart w:id="445" w:name="_Toc198635544"/>
            <w:r>
              <w:rPr>
                <w:rFonts w:ascii="Times New Roman" w:hAnsi="Times New Roman" w:cs="Times New Roman"/>
                <w:sz w:val="24"/>
                <w:szCs w:val="24"/>
              </w:rPr>
              <w:t>3.6</w:t>
            </w:r>
            <w:bookmarkEnd w:id="444"/>
            <w:bookmarkEnd w:id="445"/>
          </w:p>
        </w:tc>
      </w:tr>
      <w:tr w14:paraId="30E5D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4" w:hRule="atLeast"/>
        </w:trPr>
        <w:tc>
          <w:tcPr>
            <w:tcW w:w="3510" w:type="dxa"/>
            <w:vMerge w:val="continue"/>
            <w:tcBorders>
              <w:top w:val="single" w:color="000000" w:sz="4" w:space="0"/>
              <w:left w:val="single" w:color="000000" w:sz="4" w:space="0"/>
              <w:bottom w:val="single" w:color="000000" w:sz="4" w:space="0"/>
              <w:right w:val="single" w:color="000000" w:sz="4" w:space="0"/>
            </w:tcBorders>
            <w:vAlign w:val="center"/>
          </w:tcPr>
          <w:p w14:paraId="08C8DC46">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tcPr>
          <w:p w14:paraId="16527693">
            <w:pPr>
              <w:ind w:right="-1584"/>
              <w:outlineLvl w:val="0"/>
              <w:rPr>
                <w:rFonts w:ascii="Times New Roman" w:hAnsi="Times New Roman" w:cs="Times New Roman"/>
                <w:sz w:val="24"/>
                <w:szCs w:val="24"/>
              </w:rPr>
            </w:pPr>
            <w:bookmarkStart w:id="446" w:name="_Toc198622077"/>
            <w:bookmarkStart w:id="447" w:name="_Toc198635545"/>
            <w:r>
              <w:rPr>
                <w:rFonts w:ascii="Times New Roman" w:hAnsi="Times New Roman" w:cs="Times New Roman"/>
                <w:sz w:val="24"/>
                <w:szCs w:val="24"/>
              </w:rPr>
              <w:t>All of the above</w:t>
            </w:r>
            <w:bookmarkEnd w:id="446"/>
            <w:bookmarkEnd w:id="447"/>
            <w:r>
              <w:rPr>
                <w:rFonts w:ascii="Times New Roman" w:hAnsi="Times New Roman" w:cs="Times New Roman"/>
                <w:sz w:val="24"/>
                <w:szCs w:val="24"/>
              </w:rPr>
              <w:t xml:space="preserve"> </w:t>
            </w:r>
          </w:p>
        </w:tc>
        <w:tc>
          <w:tcPr>
            <w:tcW w:w="1230" w:type="dxa"/>
            <w:tcBorders>
              <w:top w:val="single" w:color="000000" w:sz="4" w:space="0"/>
              <w:left w:val="single" w:color="000000" w:sz="4" w:space="0"/>
              <w:bottom w:val="single" w:color="000000" w:sz="4" w:space="0"/>
              <w:right w:val="single" w:color="000000" w:sz="4" w:space="0"/>
            </w:tcBorders>
          </w:tcPr>
          <w:p w14:paraId="6E9A6147">
            <w:pPr>
              <w:ind w:right="-1584"/>
              <w:outlineLvl w:val="0"/>
              <w:rPr>
                <w:rFonts w:ascii="Times New Roman" w:hAnsi="Times New Roman" w:cs="Times New Roman"/>
                <w:sz w:val="24"/>
                <w:szCs w:val="24"/>
              </w:rPr>
            </w:pPr>
            <w:bookmarkStart w:id="448" w:name="_Toc198635546"/>
            <w:bookmarkStart w:id="449" w:name="_Toc198622078"/>
            <w:r>
              <w:rPr>
                <w:rFonts w:ascii="Times New Roman" w:hAnsi="Times New Roman" w:cs="Times New Roman"/>
                <w:sz w:val="24"/>
                <w:szCs w:val="24"/>
              </w:rPr>
              <w:t>14</w:t>
            </w:r>
            <w:bookmarkEnd w:id="448"/>
            <w:bookmarkEnd w:id="449"/>
          </w:p>
        </w:tc>
        <w:tc>
          <w:tcPr>
            <w:tcW w:w="1033" w:type="dxa"/>
            <w:tcBorders>
              <w:top w:val="single" w:color="000000" w:sz="4" w:space="0"/>
              <w:left w:val="single" w:color="000000" w:sz="4" w:space="0"/>
              <w:bottom w:val="single" w:color="000000" w:sz="4" w:space="0"/>
              <w:right w:val="single" w:color="000000" w:sz="4" w:space="0"/>
            </w:tcBorders>
          </w:tcPr>
          <w:p w14:paraId="0D641A5C">
            <w:pPr>
              <w:ind w:right="-1584"/>
              <w:outlineLvl w:val="0"/>
              <w:rPr>
                <w:rFonts w:ascii="Times New Roman" w:hAnsi="Times New Roman" w:cs="Times New Roman"/>
                <w:sz w:val="24"/>
                <w:szCs w:val="24"/>
              </w:rPr>
            </w:pPr>
            <w:bookmarkStart w:id="450" w:name="_Toc198635547"/>
            <w:bookmarkStart w:id="451" w:name="_Toc198622079"/>
            <w:r>
              <w:rPr>
                <w:rFonts w:ascii="Times New Roman" w:hAnsi="Times New Roman" w:cs="Times New Roman"/>
                <w:sz w:val="24"/>
                <w:szCs w:val="24"/>
              </w:rPr>
              <w:t>4.2</w:t>
            </w:r>
            <w:bookmarkEnd w:id="450"/>
            <w:bookmarkEnd w:id="451"/>
          </w:p>
        </w:tc>
      </w:tr>
      <w:tr w14:paraId="559BC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0" w:hRule="atLeast"/>
        </w:trPr>
        <w:tc>
          <w:tcPr>
            <w:tcW w:w="3510" w:type="dxa"/>
            <w:vMerge w:val="restart"/>
            <w:tcBorders>
              <w:top w:val="single" w:color="000000" w:sz="4" w:space="0"/>
              <w:left w:val="single" w:color="000000" w:sz="4" w:space="0"/>
              <w:bottom w:val="single" w:color="000000" w:sz="4" w:space="0"/>
              <w:right w:val="single" w:color="000000" w:sz="4" w:space="0"/>
            </w:tcBorders>
            <w:vAlign w:val="center"/>
          </w:tcPr>
          <w:p w14:paraId="08A22F80">
            <w:pPr>
              <w:ind w:right="-1584"/>
              <w:outlineLvl w:val="0"/>
              <w:rPr>
                <w:rFonts w:ascii="Times New Roman" w:hAnsi="Times New Roman" w:cs="Times New Roman"/>
                <w:sz w:val="24"/>
                <w:szCs w:val="24"/>
              </w:rPr>
            </w:pPr>
            <w:bookmarkStart w:id="452" w:name="_Toc198635548"/>
            <w:bookmarkStart w:id="453" w:name="_Toc198622080"/>
            <w:r>
              <w:rPr>
                <w:rFonts w:ascii="Times New Roman" w:hAnsi="Times New Roman" w:cs="Times New Roman"/>
                <w:sz w:val="24"/>
                <w:szCs w:val="24"/>
              </w:rPr>
              <w:t>ITN availability in HH</w:t>
            </w:r>
            <w:bookmarkEnd w:id="452"/>
            <w:bookmarkEnd w:id="453"/>
          </w:p>
          <w:p w14:paraId="7F5B7E5D">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tcPr>
          <w:p w14:paraId="7D10CDE4">
            <w:pPr>
              <w:ind w:right="-1584"/>
              <w:outlineLvl w:val="0"/>
              <w:rPr>
                <w:rFonts w:ascii="Times New Roman" w:hAnsi="Times New Roman" w:cs="Times New Roman"/>
                <w:sz w:val="24"/>
                <w:szCs w:val="24"/>
              </w:rPr>
            </w:pPr>
            <w:bookmarkStart w:id="454" w:name="_Toc198635549"/>
            <w:bookmarkStart w:id="455" w:name="_Toc198622081"/>
            <w:r>
              <w:rPr>
                <w:rFonts w:ascii="Times New Roman" w:hAnsi="Times New Roman" w:cs="Times New Roman"/>
                <w:sz w:val="24"/>
                <w:szCs w:val="24"/>
              </w:rPr>
              <w:t>Yes</w:t>
            </w:r>
            <w:bookmarkEnd w:id="454"/>
            <w:bookmarkEnd w:id="455"/>
          </w:p>
        </w:tc>
        <w:tc>
          <w:tcPr>
            <w:tcW w:w="1230" w:type="dxa"/>
            <w:tcBorders>
              <w:top w:val="single" w:color="000000" w:sz="4" w:space="0"/>
              <w:left w:val="single" w:color="000000" w:sz="4" w:space="0"/>
              <w:bottom w:val="single" w:color="000000" w:sz="4" w:space="0"/>
              <w:right w:val="single" w:color="000000" w:sz="4" w:space="0"/>
            </w:tcBorders>
          </w:tcPr>
          <w:p w14:paraId="3CDD60A6">
            <w:pPr>
              <w:ind w:right="-1584"/>
              <w:outlineLvl w:val="0"/>
              <w:rPr>
                <w:rFonts w:ascii="Times New Roman" w:hAnsi="Times New Roman" w:cs="Times New Roman"/>
                <w:sz w:val="24"/>
                <w:szCs w:val="24"/>
              </w:rPr>
            </w:pPr>
            <w:bookmarkStart w:id="456" w:name="_Toc198622082"/>
            <w:bookmarkStart w:id="457" w:name="_Toc198635550"/>
            <w:r>
              <w:rPr>
                <w:rFonts w:ascii="Times New Roman" w:hAnsi="Times New Roman" w:cs="Times New Roman"/>
                <w:sz w:val="24"/>
                <w:szCs w:val="24"/>
              </w:rPr>
              <w:t>253</w:t>
            </w:r>
            <w:bookmarkEnd w:id="456"/>
            <w:bookmarkEnd w:id="457"/>
          </w:p>
        </w:tc>
        <w:tc>
          <w:tcPr>
            <w:tcW w:w="1033" w:type="dxa"/>
            <w:tcBorders>
              <w:top w:val="single" w:color="000000" w:sz="4" w:space="0"/>
              <w:left w:val="single" w:color="000000" w:sz="4" w:space="0"/>
              <w:bottom w:val="single" w:color="000000" w:sz="4" w:space="0"/>
              <w:right w:val="single" w:color="000000" w:sz="4" w:space="0"/>
            </w:tcBorders>
          </w:tcPr>
          <w:p w14:paraId="778AE8A3">
            <w:pPr>
              <w:ind w:right="-1584"/>
              <w:outlineLvl w:val="0"/>
              <w:rPr>
                <w:rFonts w:ascii="Times New Roman" w:hAnsi="Times New Roman" w:cs="Times New Roman"/>
                <w:sz w:val="24"/>
                <w:szCs w:val="24"/>
              </w:rPr>
            </w:pPr>
            <w:bookmarkStart w:id="458" w:name="_Toc198622083"/>
            <w:bookmarkStart w:id="459" w:name="_Toc198635551"/>
            <w:r>
              <w:rPr>
                <w:rFonts w:ascii="Times New Roman" w:hAnsi="Times New Roman" w:cs="Times New Roman"/>
                <w:sz w:val="24"/>
                <w:szCs w:val="24"/>
              </w:rPr>
              <w:t>75.7</w:t>
            </w:r>
            <w:bookmarkEnd w:id="458"/>
            <w:bookmarkEnd w:id="459"/>
          </w:p>
        </w:tc>
      </w:tr>
      <w:tr w14:paraId="5635AB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trPr>
        <w:tc>
          <w:tcPr>
            <w:tcW w:w="3510" w:type="dxa"/>
            <w:vMerge w:val="continue"/>
            <w:tcBorders>
              <w:top w:val="single" w:color="000000" w:sz="4" w:space="0"/>
              <w:left w:val="single" w:color="000000" w:sz="4" w:space="0"/>
              <w:bottom w:val="single" w:color="000000" w:sz="4" w:space="0"/>
              <w:right w:val="single" w:color="000000" w:sz="4" w:space="0"/>
            </w:tcBorders>
            <w:vAlign w:val="center"/>
          </w:tcPr>
          <w:p w14:paraId="55A0F9A1">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tcPr>
          <w:p w14:paraId="40EDC217">
            <w:pPr>
              <w:ind w:right="-1584"/>
              <w:outlineLvl w:val="0"/>
              <w:rPr>
                <w:rFonts w:ascii="Times New Roman" w:hAnsi="Times New Roman" w:cs="Times New Roman"/>
                <w:sz w:val="24"/>
                <w:szCs w:val="24"/>
              </w:rPr>
            </w:pPr>
            <w:bookmarkStart w:id="460" w:name="_Toc198622084"/>
            <w:bookmarkStart w:id="461" w:name="_Toc198635552"/>
            <w:r>
              <w:rPr>
                <w:rFonts w:ascii="Times New Roman" w:hAnsi="Times New Roman" w:cs="Times New Roman"/>
                <w:sz w:val="24"/>
                <w:szCs w:val="24"/>
              </w:rPr>
              <w:t>No</w:t>
            </w:r>
            <w:bookmarkEnd w:id="460"/>
            <w:bookmarkEnd w:id="461"/>
          </w:p>
        </w:tc>
        <w:tc>
          <w:tcPr>
            <w:tcW w:w="1230" w:type="dxa"/>
            <w:tcBorders>
              <w:top w:val="single" w:color="000000" w:sz="4" w:space="0"/>
              <w:left w:val="single" w:color="000000" w:sz="4" w:space="0"/>
              <w:bottom w:val="single" w:color="000000" w:sz="4" w:space="0"/>
              <w:right w:val="single" w:color="auto" w:sz="4" w:space="0"/>
            </w:tcBorders>
          </w:tcPr>
          <w:p w14:paraId="0BDE961C">
            <w:pPr>
              <w:ind w:right="-1584"/>
              <w:outlineLvl w:val="0"/>
              <w:rPr>
                <w:rFonts w:ascii="Times New Roman" w:hAnsi="Times New Roman" w:cs="Times New Roman"/>
                <w:sz w:val="24"/>
                <w:szCs w:val="24"/>
              </w:rPr>
            </w:pPr>
            <w:bookmarkStart w:id="462" w:name="_Toc198635553"/>
            <w:bookmarkStart w:id="463" w:name="_Toc198622085"/>
            <w:r>
              <w:rPr>
                <w:rFonts w:ascii="Times New Roman" w:hAnsi="Times New Roman" w:cs="Times New Roman"/>
                <w:sz w:val="24"/>
                <w:szCs w:val="24"/>
              </w:rPr>
              <w:t>81</w:t>
            </w:r>
            <w:bookmarkEnd w:id="462"/>
            <w:bookmarkEnd w:id="463"/>
          </w:p>
        </w:tc>
        <w:tc>
          <w:tcPr>
            <w:tcW w:w="1033" w:type="dxa"/>
            <w:tcBorders>
              <w:top w:val="single" w:color="000000" w:sz="4" w:space="0"/>
              <w:left w:val="single" w:color="auto" w:sz="4" w:space="0"/>
              <w:bottom w:val="single" w:color="000000" w:sz="4" w:space="0"/>
              <w:right w:val="single" w:color="000000" w:sz="4" w:space="0"/>
            </w:tcBorders>
          </w:tcPr>
          <w:p w14:paraId="4D231314">
            <w:pPr>
              <w:ind w:right="-1584"/>
              <w:outlineLvl w:val="0"/>
              <w:rPr>
                <w:rFonts w:ascii="Times New Roman" w:hAnsi="Times New Roman" w:cs="Times New Roman"/>
                <w:sz w:val="24"/>
                <w:szCs w:val="24"/>
              </w:rPr>
            </w:pPr>
            <w:bookmarkStart w:id="464" w:name="_Toc198635554"/>
            <w:bookmarkStart w:id="465" w:name="_Toc198622086"/>
            <w:r>
              <w:rPr>
                <w:rFonts w:ascii="Times New Roman" w:hAnsi="Times New Roman" w:cs="Times New Roman"/>
                <w:sz w:val="24"/>
                <w:szCs w:val="24"/>
              </w:rPr>
              <w:t>24.3</w:t>
            </w:r>
            <w:bookmarkEnd w:id="464"/>
            <w:bookmarkEnd w:id="465"/>
          </w:p>
        </w:tc>
      </w:tr>
      <w:tr w14:paraId="2966D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1" w:hRule="atLeast"/>
        </w:trPr>
        <w:tc>
          <w:tcPr>
            <w:tcW w:w="3510" w:type="dxa"/>
            <w:vMerge w:val="restart"/>
            <w:tcBorders>
              <w:top w:val="single" w:color="000000" w:sz="4" w:space="0"/>
              <w:left w:val="single" w:color="000000" w:sz="4" w:space="0"/>
              <w:bottom w:val="single" w:color="000000" w:sz="4" w:space="0"/>
              <w:right w:val="single" w:color="000000" w:sz="4" w:space="0"/>
            </w:tcBorders>
            <w:vAlign w:val="center"/>
          </w:tcPr>
          <w:p w14:paraId="67A1EED7">
            <w:pPr>
              <w:ind w:right="-1584"/>
              <w:outlineLvl w:val="0"/>
              <w:rPr>
                <w:rFonts w:ascii="Times New Roman" w:hAnsi="Times New Roman" w:cs="Times New Roman"/>
                <w:sz w:val="24"/>
                <w:szCs w:val="24"/>
              </w:rPr>
            </w:pPr>
            <w:bookmarkStart w:id="466" w:name="_Toc198622087"/>
            <w:bookmarkStart w:id="467" w:name="_Toc198635555"/>
            <w:r>
              <w:rPr>
                <w:rFonts w:ascii="Times New Roman" w:hAnsi="Times New Roman" w:cs="Times New Roman"/>
                <w:sz w:val="24"/>
                <w:szCs w:val="24"/>
              </w:rPr>
              <w:t>Utilization of ITN</w:t>
            </w:r>
            <w:bookmarkEnd w:id="466"/>
            <w:bookmarkEnd w:id="467"/>
          </w:p>
          <w:p w14:paraId="11A1336C">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tcPr>
          <w:p w14:paraId="2929EDA4">
            <w:pPr>
              <w:ind w:right="-1584"/>
              <w:outlineLvl w:val="0"/>
              <w:rPr>
                <w:rFonts w:ascii="Times New Roman" w:hAnsi="Times New Roman" w:cs="Times New Roman"/>
                <w:sz w:val="24"/>
                <w:szCs w:val="24"/>
              </w:rPr>
            </w:pPr>
            <w:bookmarkStart w:id="468" w:name="_Toc198622088"/>
            <w:bookmarkStart w:id="469" w:name="_Toc198635556"/>
            <w:r>
              <w:rPr>
                <w:rFonts w:ascii="Times New Roman" w:hAnsi="Times New Roman" w:cs="Times New Roman"/>
                <w:sz w:val="24"/>
                <w:szCs w:val="24"/>
              </w:rPr>
              <w:t>Mother</w:t>
            </w:r>
            <w:bookmarkEnd w:id="468"/>
            <w:bookmarkEnd w:id="469"/>
          </w:p>
        </w:tc>
        <w:tc>
          <w:tcPr>
            <w:tcW w:w="1230" w:type="dxa"/>
            <w:tcBorders>
              <w:top w:val="single" w:color="000000" w:sz="4" w:space="0"/>
              <w:left w:val="single" w:color="000000" w:sz="4" w:space="0"/>
              <w:bottom w:val="single" w:color="000000" w:sz="4" w:space="0"/>
              <w:right w:val="single" w:color="auto" w:sz="4" w:space="0"/>
            </w:tcBorders>
          </w:tcPr>
          <w:p w14:paraId="2D59E112">
            <w:pPr>
              <w:ind w:right="-1584"/>
              <w:outlineLvl w:val="0"/>
              <w:rPr>
                <w:rFonts w:ascii="Times New Roman" w:hAnsi="Times New Roman" w:cs="Times New Roman"/>
                <w:sz w:val="24"/>
                <w:szCs w:val="24"/>
              </w:rPr>
            </w:pPr>
            <w:bookmarkStart w:id="470" w:name="_Toc198622089"/>
            <w:bookmarkStart w:id="471" w:name="_Toc198635557"/>
            <w:r>
              <w:rPr>
                <w:rFonts w:ascii="Times New Roman" w:hAnsi="Times New Roman" w:cs="Times New Roman"/>
                <w:sz w:val="24"/>
                <w:szCs w:val="24"/>
              </w:rPr>
              <w:t>7</w:t>
            </w:r>
            <w:bookmarkEnd w:id="470"/>
            <w:bookmarkEnd w:id="471"/>
          </w:p>
        </w:tc>
        <w:tc>
          <w:tcPr>
            <w:tcW w:w="1033" w:type="dxa"/>
            <w:tcBorders>
              <w:top w:val="single" w:color="000000" w:sz="4" w:space="0"/>
              <w:left w:val="single" w:color="auto" w:sz="4" w:space="0"/>
              <w:bottom w:val="single" w:color="000000" w:sz="4" w:space="0"/>
              <w:right w:val="single" w:color="000000" w:sz="4" w:space="0"/>
            </w:tcBorders>
          </w:tcPr>
          <w:p w14:paraId="4EDF7427">
            <w:pPr>
              <w:ind w:right="-1584"/>
              <w:outlineLvl w:val="0"/>
              <w:rPr>
                <w:rFonts w:ascii="Times New Roman" w:hAnsi="Times New Roman" w:cs="Times New Roman"/>
                <w:sz w:val="24"/>
                <w:szCs w:val="24"/>
              </w:rPr>
            </w:pPr>
            <w:bookmarkStart w:id="472" w:name="_Toc198622090"/>
            <w:bookmarkStart w:id="473" w:name="_Toc198635558"/>
            <w:r>
              <w:rPr>
                <w:rFonts w:ascii="Times New Roman" w:hAnsi="Times New Roman" w:cs="Times New Roman"/>
                <w:sz w:val="24"/>
                <w:szCs w:val="24"/>
              </w:rPr>
              <w:t>2.1</w:t>
            </w:r>
            <w:bookmarkEnd w:id="472"/>
            <w:bookmarkEnd w:id="473"/>
          </w:p>
        </w:tc>
      </w:tr>
      <w:tr w14:paraId="50E9C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0" w:hRule="atLeast"/>
        </w:trPr>
        <w:tc>
          <w:tcPr>
            <w:tcW w:w="3510" w:type="dxa"/>
            <w:vMerge w:val="continue"/>
            <w:tcBorders>
              <w:top w:val="single" w:color="000000" w:sz="4" w:space="0"/>
              <w:left w:val="single" w:color="000000" w:sz="4" w:space="0"/>
              <w:bottom w:val="single" w:color="000000" w:sz="4" w:space="0"/>
              <w:right w:val="single" w:color="000000" w:sz="4" w:space="0"/>
            </w:tcBorders>
            <w:vAlign w:val="center"/>
          </w:tcPr>
          <w:p w14:paraId="73BFAEA3">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tcPr>
          <w:p w14:paraId="63877AD7">
            <w:pPr>
              <w:ind w:right="-1584"/>
              <w:outlineLvl w:val="0"/>
              <w:rPr>
                <w:rFonts w:ascii="Times New Roman" w:hAnsi="Times New Roman" w:cs="Times New Roman"/>
                <w:sz w:val="24"/>
                <w:szCs w:val="24"/>
              </w:rPr>
            </w:pPr>
            <w:bookmarkStart w:id="474" w:name="_Toc198622091"/>
            <w:bookmarkStart w:id="475" w:name="_Toc198635559"/>
            <w:r>
              <w:rPr>
                <w:rFonts w:ascii="Times New Roman" w:hAnsi="Times New Roman" w:cs="Times New Roman"/>
                <w:sz w:val="24"/>
                <w:szCs w:val="24"/>
              </w:rPr>
              <w:t>Children under-five</w:t>
            </w:r>
            <w:bookmarkEnd w:id="474"/>
            <w:bookmarkEnd w:id="475"/>
          </w:p>
        </w:tc>
        <w:tc>
          <w:tcPr>
            <w:tcW w:w="1230" w:type="dxa"/>
            <w:tcBorders>
              <w:top w:val="single" w:color="000000" w:sz="4" w:space="0"/>
              <w:left w:val="single" w:color="000000" w:sz="4" w:space="0"/>
              <w:bottom w:val="single" w:color="000000" w:sz="4" w:space="0"/>
              <w:right w:val="single" w:color="auto" w:sz="4" w:space="0"/>
            </w:tcBorders>
          </w:tcPr>
          <w:p w14:paraId="1EF007CD">
            <w:pPr>
              <w:ind w:right="-1584"/>
              <w:outlineLvl w:val="0"/>
              <w:rPr>
                <w:rFonts w:ascii="Times New Roman" w:hAnsi="Times New Roman" w:cs="Times New Roman"/>
                <w:sz w:val="24"/>
                <w:szCs w:val="24"/>
              </w:rPr>
            </w:pPr>
            <w:bookmarkStart w:id="476" w:name="_Toc198635560"/>
            <w:bookmarkStart w:id="477" w:name="_Toc198622092"/>
            <w:r>
              <w:rPr>
                <w:rFonts w:ascii="Times New Roman" w:hAnsi="Times New Roman" w:cs="Times New Roman"/>
                <w:sz w:val="24"/>
                <w:szCs w:val="24"/>
              </w:rPr>
              <w:t>56</w:t>
            </w:r>
            <w:bookmarkEnd w:id="476"/>
            <w:bookmarkEnd w:id="477"/>
          </w:p>
        </w:tc>
        <w:tc>
          <w:tcPr>
            <w:tcW w:w="1033" w:type="dxa"/>
            <w:tcBorders>
              <w:top w:val="single" w:color="000000" w:sz="4" w:space="0"/>
              <w:left w:val="single" w:color="auto" w:sz="4" w:space="0"/>
              <w:bottom w:val="single" w:color="000000" w:sz="4" w:space="0"/>
              <w:right w:val="single" w:color="000000" w:sz="4" w:space="0"/>
            </w:tcBorders>
          </w:tcPr>
          <w:p w14:paraId="0024362E">
            <w:pPr>
              <w:ind w:right="-1584"/>
              <w:outlineLvl w:val="0"/>
              <w:rPr>
                <w:rFonts w:ascii="Times New Roman" w:hAnsi="Times New Roman" w:cs="Times New Roman"/>
                <w:sz w:val="24"/>
                <w:szCs w:val="24"/>
              </w:rPr>
            </w:pPr>
            <w:bookmarkStart w:id="478" w:name="_Toc198622093"/>
            <w:bookmarkStart w:id="479" w:name="_Toc198635561"/>
            <w:r>
              <w:rPr>
                <w:rFonts w:ascii="Times New Roman" w:hAnsi="Times New Roman" w:cs="Times New Roman"/>
                <w:sz w:val="24"/>
                <w:szCs w:val="24"/>
              </w:rPr>
              <w:t>16.8</w:t>
            </w:r>
            <w:bookmarkEnd w:id="478"/>
            <w:bookmarkEnd w:id="479"/>
          </w:p>
        </w:tc>
      </w:tr>
      <w:tr w14:paraId="2B067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1" w:hRule="atLeast"/>
        </w:trPr>
        <w:tc>
          <w:tcPr>
            <w:tcW w:w="3510" w:type="dxa"/>
            <w:vMerge w:val="continue"/>
            <w:tcBorders>
              <w:top w:val="single" w:color="000000" w:sz="4" w:space="0"/>
              <w:left w:val="single" w:color="000000" w:sz="4" w:space="0"/>
              <w:bottom w:val="single" w:color="000000" w:sz="4" w:space="0"/>
              <w:right w:val="single" w:color="000000" w:sz="4" w:space="0"/>
            </w:tcBorders>
            <w:vAlign w:val="center"/>
          </w:tcPr>
          <w:p w14:paraId="20AB1E0C">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tcPr>
          <w:p w14:paraId="411EA13D">
            <w:pPr>
              <w:ind w:right="-1584"/>
              <w:outlineLvl w:val="0"/>
              <w:rPr>
                <w:rFonts w:ascii="Times New Roman" w:hAnsi="Times New Roman" w:cs="Times New Roman"/>
                <w:sz w:val="24"/>
                <w:szCs w:val="24"/>
              </w:rPr>
            </w:pPr>
            <w:bookmarkStart w:id="480" w:name="_Toc198635562"/>
            <w:bookmarkStart w:id="481" w:name="_Toc198622094"/>
            <w:r>
              <w:rPr>
                <w:rFonts w:ascii="Times New Roman" w:hAnsi="Times New Roman" w:cs="Times New Roman"/>
                <w:sz w:val="24"/>
                <w:szCs w:val="24"/>
              </w:rPr>
              <w:t>Everyone</w:t>
            </w:r>
            <w:bookmarkEnd w:id="480"/>
            <w:bookmarkEnd w:id="481"/>
          </w:p>
        </w:tc>
        <w:tc>
          <w:tcPr>
            <w:tcW w:w="1230" w:type="dxa"/>
            <w:tcBorders>
              <w:top w:val="single" w:color="000000" w:sz="4" w:space="0"/>
              <w:left w:val="single" w:color="000000" w:sz="4" w:space="0"/>
              <w:bottom w:val="single" w:color="000000" w:sz="4" w:space="0"/>
              <w:right w:val="single" w:color="auto" w:sz="4" w:space="0"/>
            </w:tcBorders>
          </w:tcPr>
          <w:p w14:paraId="1D784645">
            <w:pPr>
              <w:ind w:right="-1584"/>
              <w:outlineLvl w:val="0"/>
              <w:rPr>
                <w:rFonts w:ascii="Times New Roman" w:hAnsi="Times New Roman" w:cs="Times New Roman"/>
                <w:sz w:val="24"/>
                <w:szCs w:val="24"/>
              </w:rPr>
            </w:pPr>
            <w:bookmarkStart w:id="482" w:name="_Toc198635563"/>
            <w:bookmarkStart w:id="483" w:name="_Toc198622095"/>
            <w:r>
              <w:rPr>
                <w:rFonts w:ascii="Times New Roman" w:hAnsi="Times New Roman" w:cs="Times New Roman"/>
                <w:sz w:val="24"/>
                <w:szCs w:val="24"/>
              </w:rPr>
              <w:t>190</w:t>
            </w:r>
            <w:bookmarkEnd w:id="482"/>
            <w:bookmarkEnd w:id="483"/>
          </w:p>
        </w:tc>
        <w:tc>
          <w:tcPr>
            <w:tcW w:w="1033" w:type="dxa"/>
            <w:tcBorders>
              <w:top w:val="single" w:color="000000" w:sz="4" w:space="0"/>
              <w:left w:val="single" w:color="auto" w:sz="4" w:space="0"/>
              <w:bottom w:val="single" w:color="000000" w:sz="4" w:space="0"/>
              <w:right w:val="single" w:color="000000" w:sz="4" w:space="0"/>
            </w:tcBorders>
          </w:tcPr>
          <w:p w14:paraId="16DDF1A7">
            <w:pPr>
              <w:ind w:right="-1584"/>
              <w:outlineLvl w:val="0"/>
              <w:rPr>
                <w:rFonts w:ascii="Times New Roman" w:hAnsi="Times New Roman" w:cs="Times New Roman"/>
                <w:sz w:val="24"/>
                <w:szCs w:val="24"/>
              </w:rPr>
            </w:pPr>
            <w:bookmarkStart w:id="484" w:name="_Toc198622096"/>
            <w:bookmarkStart w:id="485" w:name="_Toc198635564"/>
            <w:r>
              <w:rPr>
                <w:rFonts w:ascii="Times New Roman" w:hAnsi="Times New Roman" w:cs="Times New Roman"/>
                <w:sz w:val="24"/>
                <w:szCs w:val="24"/>
              </w:rPr>
              <w:t>56.9</w:t>
            </w:r>
            <w:bookmarkEnd w:id="484"/>
            <w:bookmarkEnd w:id="485"/>
          </w:p>
        </w:tc>
      </w:tr>
      <w:tr w14:paraId="6184F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1" w:hRule="atLeast"/>
        </w:trPr>
        <w:tc>
          <w:tcPr>
            <w:tcW w:w="3510" w:type="dxa"/>
            <w:vMerge w:val="restart"/>
            <w:tcBorders>
              <w:top w:val="single" w:color="000000" w:sz="4" w:space="0"/>
              <w:left w:val="single" w:color="000000" w:sz="4" w:space="0"/>
              <w:bottom w:val="single" w:color="000000" w:sz="4" w:space="0"/>
              <w:right w:val="single" w:color="000000" w:sz="4" w:space="0"/>
            </w:tcBorders>
            <w:vAlign w:val="center"/>
          </w:tcPr>
          <w:p w14:paraId="2F143028">
            <w:pPr>
              <w:ind w:right="-1584"/>
              <w:outlineLvl w:val="0"/>
              <w:rPr>
                <w:rFonts w:ascii="Times New Roman" w:hAnsi="Times New Roman" w:cs="Times New Roman"/>
                <w:sz w:val="24"/>
                <w:szCs w:val="24"/>
              </w:rPr>
            </w:pPr>
            <w:bookmarkStart w:id="486" w:name="_Toc198622097"/>
            <w:bookmarkStart w:id="487" w:name="_Toc198635565"/>
            <w:r>
              <w:rPr>
                <w:rFonts w:ascii="Times New Roman" w:hAnsi="Times New Roman" w:cs="Times New Roman"/>
                <w:sz w:val="24"/>
                <w:szCs w:val="24"/>
              </w:rPr>
              <w:t>Perceived severity of malaria</w:t>
            </w:r>
            <w:bookmarkEnd w:id="486"/>
            <w:bookmarkEnd w:id="487"/>
          </w:p>
          <w:p w14:paraId="56AA2AAA">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tcPr>
          <w:p w14:paraId="5D89178E">
            <w:pPr>
              <w:ind w:right="-1584"/>
              <w:outlineLvl w:val="0"/>
              <w:rPr>
                <w:rFonts w:ascii="Times New Roman" w:hAnsi="Times New Roman" w:cs="Times New Roman"/>
                <w:sz w:val="24"/>
                <w:szCs w:val="24"/>
              </w:rPr>
            </w:pPr>
            <w:bookmarkStart w:id="488" w:name="_Toc198622098"/>
            <w:bookmarkStart w:id="489" w:name="_Toc198635566"/>
            <w:r>
              <w:rPr>
                <w:rFonts w:ascii="Times New Roman" w:hAnsi="Times New Roman" w:cs="Times New Roman"/>
                <w:sz w:val="24"/>
                <w:szCs w:val="24"/>
              </w:rPr>
              <w:t>Strongly Disagree</w:t>
            </w:r>
            <w:bookmarkEnd w:id="488"/>
            <w:bookmarkEnd w:id="489"/>
          </w:p>
        </w:tc>
        <w:tc>
          <w:tcPr>
            <w:tcW w:w="1230" w:type="dxa"/>
            <w:tcBorders>
              <w:top w:val="single" w:color="000000" w:sz="4" w:space="0"/>
              <w:left w:val="single" w:color="000000" w:sz="4" w:space="0"/>
              <w:bottom w:val="single" w:color="000000" w:sz="4" w:space="0"/>
              <w:right w:val="single" w:color="auto" w:sz="4" w:space="0"/>
            </w:tcBorders>
          </w:tcPr>
          <w:p w14:paraId="457D8A07">
            <w:pPr>
              <w:ind w:right="-1584"/>
              <w:outlineLvl w:val="0"/>
              <w:rPr>
                <w:rFonts w:ascii="Times New Roman" w:hAnsi="Times New Roman" w:cs="Times New Roman"/>
                <w:sz w:val="24"/>
                <w:szCs w:val="24"/>
              </w:rPr>
            </w:pPr>
            <w:bookmarkStart w:id="490" w:name="_Toc198622099"/>
            <w:bookmarkStart w:id="491" w:name="_Toc198635567"/>
            <w:r>
              <w:rPr>
                <w:rFonts w:ascii="Times New Roman" w:hAnsi="Times New Roman" w:cs="Times New Roman"/>
                <w:sz w:val="24"/>
                <w:szCs w:val="24"/>
              </w:rPr>
              <w:t>28</w:t>
            </w:r>
            <w:bookmarkEnd w:id="490"/>
            <w:bookmarkEnd w:id="491"/>
          </w:p>
        </w:tc>
        <w:tc>
          <w:tcPr>
            <w:tcW w:w="1033" w:type="dxa"/>
            <w:tcBorders>
              <w:top w:val="single" w:color="000000" w:sz="4" w:space="0"/>
              <w:left w:val="single" w:color="auto" w:sz="4" w:space="0"/>
              <w:bottom w:val="single" w:color="000000" w:sz="4" w:space="0"/>
              <w:right w:val="single" w:color="000000" w:sz="4" w:space="0"/>
            </w:tcBorders>
          </w:tcPr>
          <w:p w14:paraId="7DED029E">
            <w:pPr>
              <w:ind w:right="-1584"/>
              <w:outlineLvl w:val="0"/>
              <w:rPr>
                <w:rFonts w:ascii="Times New Roman" w:hAnsi="Times New Roman" w:cs="Times New Roman"/>
                <w:sz w:val="24"/>
                <w:szCs w:val="24"/>
              </w:rPr>
            </w:pPr>
            <w:bookmarkStart w:id="492" w:name="_Toc198635568"/>
            <w:bookmarkStart w:id="493" w:name="_Toc198622100"/>
            <w:r>
              <w:rPr>
                <w:rFonts w:ascii="Times New Roman" w:hAnsi="Times New Roman" w:cs="Times New Roman"/>
                <w:sz w:val="24"/>
                <w:szCs w:val="24"/>
              </w:rPr>
              <w:t>8.4</w:t>
            </w:r>
            <w:bookmarkEnd w:id="492"/>
            <w:bookmarkEnd w:id="493"/>
          </w:p>
        </w:tc>
      </w:tr>
      <w:tr w14:paraId="4F86F5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1" w:hRule="atLeast"/>
        </w:trPr>
        <w:tc>
          <w:tcPr>
            <w:tcW w:w="3510" w:type="dxa"/>
            <w:vMerge w:val="continue"/>
            <w:tcBorders>
              <w:top w:val="single" w:color="000000" w:sz="4" w:space="0"/>
              <w:left w:val="single" w:color="000000" w:sz="4" w:space="0"/>
              <w:bottom w:val="single" w:color="000000" w:sz="4" w:space="0"/>
              <w:right w:val="single" w:color="000000" w:sz="4" w:space="0"/>
            </w:tcBorders>
            <w:vAlign w:val="center"/>
          </w:tcPr>
          <w:p w14:paraId="5C3EA178">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tcPr>
          <w:p w14:paraId="065C7CC1">
            <w:pPr>
              <w:ind w:right="-1584"/>
              <w:outlineLvl w:val="0"/>
              <w:rPr>
                <w:rFonts w:ascii="Times New Roman" w:hAnsi="Times New Roman" w:cs="Times New Roman"/>
                <w:sz w:val="24"/>
                <w:szCs w:val="24"/>
              </w:rPr>
            </w:pPr>
            <w:bookmarkStart w:id="494" w:name="_Toc198622101"/>
            <w:bookmarkStart w:id="495" w:name="_Toc198635569"/>
            <w:r>
              <w:rPr>
                <w:rFonts w:ascii="Times New Roman" w:hAnsi="Times New Roman" w:cs="Times New Roman"/>
                <w:sz w:val="24"/>
                <w:szCs w:val="24"/>
              </w:rPr>
              <w:t>Agree</w:t>
            </w:r>
            <w:bookmarkEnd w:id="494"/>
            <w:bookmarkEnd w:id="495"/>
          </w:p>
        </w:tc>
        <w:tc>
          <w:tcPr>
            <w:tcW w:w="1230" w:type="dxa"/>
            <w:tcBorders>
              <w:top w:val="single" w:color="000000" w:sz="4" w:space="0"/>
              <w:left w:val="single" w:color="000000" w:sz="4" w:space="0"/>
              <w:bottom w:val="single" w:color="000000" w:sz="4" w:space="0"/>
              <w:right w:val="single" w:color="auto" w:sz="4" w:space="0"/>
            </w:tcBorders>
          </w:tcPr>
          <w:p w14:paraId="6C843034">
            <w:pPr>
              <w:ind w:right="-1584"/>
              <w:outlineLvl w:val="0"/>
              <w:rPr>
                <w:rFonts w:ascii="Times New Roman" w:hAnsi="Times New Roman" w:cs="Times New Roman"/>
                <w:sz w:val="24"/>
                <w:szCs w:val="24"/>
              </w:rPr>
            </w:pPr>
            <w:bookmarkStart w:id="496" w:name="_Toc198635570"/>
            <w:bookmarkStart w:id="497" w:name="_Toc198622102"/>
            <w:r>
              <w:rPr>
                <w:rFonts w:ascii="Times New Roman" w:hAnsi="Times New Roman" w:cs="Times New Roman"/>
                <w:sz w:val="24"/>
                <w:szCs w:val="24"/>
              </w:rPr>
              <w:t>59</w:t>
            </w:r>
            <w:bookmarkEnd w:id="496"/>
            <w:bookmarkEnd w:id="497"/>
          </w:p>
        </w:tc>
        <w:tc>
          <w:tcPr>
            <w:tcW w:w="1033" w:type="dxa"/>
            <w:tcBorders>
              <w:top w:val="single" w:color="000000" w:sz="4" w:space="0"/>
              <w:left w:val="single" w:color="auto" w:sz="4" w:space="0"/>
              <w:bottom w:val="single" w:color="000000" w:sz="4" w:space="0"/>
              <w:right w:val="single" w:color="000000" w:sz="4" w:space="0"/>
            </w:tcBorders>
          </w:tcPr>
          <w:p w14:paraId="6AD64BB0">
            <w:pPr>
              <w:ind w:right="-1584"/>
              <w:outlineLvl w:val="0"/>
              <w:rPr>
                <w:rFonts w:ascii="Times New Roman" w:hAnsi="Times New Roman" w:cs="Times New Roman"/>
                <w:sz w:val="24"/>
                <w:szCs w:val="24"/>
              </w:rPr>
            </w:pPr>
            <w:bookmarkStart w:id="498" w:name="_Toc198635571"/>
            <w:bookmarkStart w:id="499" w:name="_Toc198622103"/>
            <w:r>
              <w:rPr>
                <w:rFonts w:ascii="Times New Roman" w:hAnsi="Times New Roman" w:cs="Times New Roman"/>
                <w:sz w:val="24"/>
                <w:szCs w:val="24"/>
              </w:rPr>
              <w:t>17.7</w:t>
            </w:r>
            <w:bookmarkEnd w:id="498"/>
            <w:bookmarkEnd w:id="499"/>
          </w:p>
        </w:tc>
      </w:tr>
      <w:tr w14:paraId="1848C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1" w:hRule="atLeast"/>
        </w:trPr>
        <w:tc>
          <w:tcPr>
            <w:tcW w:w="3510" w:type="dxa"/>
            <w:vMerge w:val="continue"/>
            <w:tcBorders>
              <w:top w:val="single" w:color="000000" w:sz="4" w:space="0"/>
              <w:left w:val="single" w:color="000000" w:sz="4" w:space="0"/>
              <w:bottom w:val="single" w:color="000000" w:sz="4" w:space="0"/>
              <w:right w:val="single" w:color="000000" w:sz="4" w:space="0"/>
            </w:tcBorders>
            <w:vAlign w:val="center"/>
          </w:tcPr>
          <w:p w14:paraId="5D256194">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tcPr>
          <w:p w14:paraId="7603D624">
            <w:pPr>
              <w:ind w:right="-1584"/>
              <w:outlineLvl w:val="0"/>
              <w:rPr>
                <w:rFonts w:ascii="Times New Roman" w:hAnsi="Times New Roman" w:cs="Times New Roman"/>
                <w:sz w:val="24"/>
                <w:szCs w:val="24"/>
              </w:rPr>
            </w:pPr>
            <w:bookmarkStart w:id="500" w:name="_Toc198622104"/>
            <w:bookmarkStart w:id="501" w:name="_Toc198635572"/>
            <w:r>
              <w:rPr>
                <w:rFonts w:ascii="Times New Roman" w:hAnsi="Times New Roman" w:cs="Times New Roman"/>
                <w:sz w:val="24"/>
                <w:szCs w:val="24"/>
              </w:rPr>
              <w:t>Strongly Agree</w:t>
            </w:r>
            <w:bookmarkEnd w:id="500"/>
            <w:bookmarkEnd w:id="501"/>
          </w:p>
        </w:tc>
        <w:tc>
          <w:tcPr>
            <w:tcW w:w="1230" w:type="dxa"/>
            <w:tcBorders>
              <w:top w:val="single" w:color="000000" w:sz="4" w:space="0"/>
              <w:left w:val="single" w:color="000000" w:sz="4" w:space="0"/>
              <w:bottom w:val="single" w:color="000000" w:sz="4" w:space="0"/>
              <w:right w:val="single" w:color="auto" w:sz="4" w:space="0"/>
            </w:tcBorders>
          </w:tcPr>
          <w:p w14:paraId="557ACAD1">
            <w:pPr>
              <w:ind w:right="-1584"/>
              <w:outlineLvl w:val="0"/>
              <w:rPr>
                <w:rFonts w:ascii="Times New Roman" w:hAnsi="Times New Roman" w:cs="Times New Roman"/>
                <w:sz w:val="24"/>
                <w:szCs w:val="24"/>
              </w:rPr>
            </w:pPr>
            <w:bookmarkStart w:id="502" w:name="_Toc198635573"/>
            <w:bookmarkStart w:id="503" w:name="_Toc198622105"/>
            <w:r>
              <w:rPr>
                <w:rFonts w:ascii="Times New Roman" w:hAnsi="Times New Roman" w:cs="Times New Roman"/>
                <w:sz w:val="24"/>
                <w:szCs w:val="24"/>
              </w:rPr>
              <w:t>247</w:t>
            </w:r>
            <w:bookmarkEnd w:id="502"/>
            <w:bookmarkEnd w:id="503"/>
          </w:p>
        </w:tc>
        <w:tc>
          <w:tcPr>
            <w:tcW w:w="1033" w:type="dxa"/>
            <w:tcBorders>
              <w:top w:val="single" w:color="000000" w:sz="4" w:space="0"/>
              <w:left w:val="single" w:color="auto" w:sz="4" w:space="0"/>
              <w:bottom w:val="single" w:color="000000" w:sz="4" w:space="0"/>
              <w:right w:val="single" w:color="000000" w:sz="4" w:space="0"/>
            </w:tcBorders>
          </w:tcPr>
          <w:p w14:paraId="53CF0855">
            <w:pPr>
              <w:ind w:right="-1584"/>
              <w:outlineLvl w:val="0"/>
              <w:rPr>
                <w:rFonts w:ascii="Times New Roman" w:hAnsi="Times New Roman" w:cs="Times New Roman"/>
                <w:sz w:val="24"/>
                <w:szCs w:val="24"/>
              </w:rPr>
            </w:pPr>
            <w:bookmarkStart w:id="504" w:name="_Toc198635574"/>
            <w:bookmarkStart w:id="505" w:name="_Toc198622106"/>
            <w:r>
              <w:rPr>
                <w:rFonts w:ascii="Times New Roman" w:hAnsi="Times New Roman" w:cs="Times New Roman"/>
                <w:sz w:val="24"/>
                <w:szCs w:val="24"/>
              </w:rPr>
              <w:t>74</w:t>
            </w:r>
            <w:bookmarkEnd w:id="504"/>
            <w:bookmarkEnd w:id="505"/>
          </w:p>
        </w:tc>
      </w:tr>
      <w:tr w14:paraId="655FD0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1" w:hRule="atLeast"/>
        </w:trPr>
        <w:tc>
          <w:tcPr>
            <w:tcW w:w="3510" w:type="dxa"/>
            <w:vMerge w:val="restart"/>
            <w:tcBorders>
              <w:top w:val="single" w:color="000000" w:sz="4" w:space="0"/>
              <w:left w:val="single" w:color="000000" w:sz="4" w:space="0"/>
              <w:bottom w:val="single" w:color="000000" w:sz="4" w:space="0"/>
              <w:right w:val="single" w:color="000000" w:sz="4" w:space="0"/>
            </w:tcBorders>
            <w:vAlign w:val="center"/>
          </w:tcPr>
          <w:p w14:paraId="75DEF234">
            <w:pPr>
              <w:ind w:right="-1584"/>
              <w:outlineLvl w:val="0"/>
              <w:rPr>
                <w:rFonts w:ascii="Times New Roman" w:hAnsi="Times New Roman" w:cs="Times New Roman"/>
                <w:sz w:val="24"/>
                <w:szCs w:val="24"/>
              </w:rPr>
            </w:pPr>
            <w:bookmarkStart w:id="506" w:name="_Toc198622107"/>
            <w:bookmarkStart w:id="507" w:name="_Toc198635575"/>
            <w:r>
              <w:rPr>
                <w:rFonts w:ascii="Times New Roman" w:hAnsi="Times New Roman" w:cs="Times New Roman"/>
                <w:sz w:val="24"/>
                <w:szCs w:val="24"/>
              </w:rPr>
              <w:t>Attitude towards benefit of ITN</w:t>
            </w:r>
            <w:bookmarkEnd w:id="506"/>
            <w:bookmarkEnd w:id="507"/>
            <w:r>
              <w:rPr>
                <w:rFonts w:ascii="Times New Roman" w:hAnsi="Times New Roman" w:cs="Times New Roman"/>
                <w:sz w:val="24"/>
                <w:szCs w:val="24"/>
              </w:rPr>
              <w:t xml:space="preserve"> </w:t>
            </w:r>
          </w:p>
          <w:p w14:paraId="0E477063">
            <w:pPr>
              <w:ind w:right="-1584"/>
              <w:outlineLvl w:val="0"/>
              <w:rPr>
                <w:rFonts w:ascii="Times New Roman" w:hAnsi="Times New Roman" w:cs="Times New Roman"/>
                <w:sz w:val="24"/>
                <w:szCs w:val="24"/>
              </w:rPr>
            </w:pPr>
            <w:bookmarkStart w:id="508" w:name="_Toc198622108"/>
            <w:bookmarkStart w:id="509" w:name="_Toc198635576"/>
            <w:r>
              <w:rPr>
                <w:rFonts w:ascii="Times New Roman" w:hAnsi="Times New Roman" w:cs="Times New Roman"/>
                <w:sz w:val="24"/>
                <w:szCs w:val="24"/>
              </w:rPr>
              <w:t>Utilization</w:t>
            </w:r>
            <w:bookmarkEnd w:id="508"/>
            <w:bookmarkEnd w:id="509"/>
          </w:p>
          <w:p w14:paraId="43D0BDDF">
            <w:pPr>
              <w:ind w:right="-1584"/>
              <w:outlineLvl w:val="0"/>
              <w:rPr>
                <w:rFonts w:ascii="Times New Roman" w:hAnsi="Times New Roman" w:cs="Times New Roman"/>
                <w:sz w:val="24"/>
                <w:szCs w:val="24"/>
              </w:rPr>
            </w:pPr>
            <w:r>
              <w:rPr>
                <w:rFonts w:ascii="Times New Roman" w:hAnsi="Times New Roman" w:cs="Times New Roman"/>
                <w:sz w:val="24"/>
                <w:szCs w:val="24"/>
              </w:rPr>
              <w:t xml:space="preserve"> </w:t>
            </w:r>
          </w:p>
        </w:tc>
        <w:tc>
          <w:tcPr>
            <w:tcW w:w="3696" w:type="dxa"/>
            <w:tcBorders>
              <w:top w:val="single" w:color="000000" w:sz="4" w:space="0"/>
              <w:left w:val="single" w:color="000000" w:sz="4" w:space="0"/>
              <w:bottom w:val="single" w:color="000000" w:sz="4" w:space="0"/>
              <w:right w:val="single" w:color="000000" w:sz="4" w:space="0"/>
            </w:tcBorders>
          </w:tcPr>
          <w:p w14:paraId="091973E2">
            <w:pPr>
              <w:ind w:right="-1584"/>
              <w:outlineLvl w:val="0"/>
              <w:rPr>
                <w:rFonts w:ascii="Times New Roman" w:hAnsi="Times New Roman" w:cs="Times New Roman"/>
                <w:sz w:val="24"/>
                <w:szCs w:val="24"/>
              </w:rPr>
            </w:pPr>
            <w:bookmarkStart w:id="510" w:name="_Toc198635577"/>
            <w:bookmarkStart w:id="511" w:name="_Toc198622109"/>
            <w:r>
              <w:rPr>
                <w:rFonts w:ascii="Times New Roman" w:hAnsi="Times New Roman" w:cs="Times New Roman"/>
                <w:sz w:val="24"/>
                <w:szCs w:val="24"/>
              </w:rPr>
              <w:t>Strongly Disagree</w:t>
            </w:r>
            <w:bookmarkEnd w:id="510"/>
            <w:bookmarkEnd w:id="511"/>
          </w:p>
        </w:tc>
        <w:tc>
          <w:tcPr>
            <w:tcW w:w="1230" w:type="dxa"/>
            <w:tcBorders>
              <w:top w:val="single" w:color="000000" w:sz="4" w:space="0"/>
              <w:left w:val="single" w:color="000000" w:sz="4" w:space="0"/>
              <w:bottom w:val="single" w:color="000000" w:sz="4" w:space="0"/>
              <w:right w:val="single" w:color="auto" w:sz="4" w:space="0"/>
            </w:tcBorders>
          </w:tcPr>
          <w:p w14:paraId="2BF85857">
            <w:pPr>
              <w:ind w:right="-1584"/>
              <w:outlineLvl w:val="0"/>
              <w:rPr>
                <w:rFonts w:ascii="Times New Roman" w:hAnsi="Times New Roman" w:cs="Times New Roman"/>
                <w:sz w:val="24"/>
                <w:szCs w:val="24"/>
              </w:rPr>
            </w:pPr>
            <w:bookmarkStart w:id="512" w:name="_Toc198635578"/>
            <w:bookmarkStart w:id="513" w:name="_Toc198622110"/>
            <w:r>
              <w:rPr>
                <w:rFonts w:ascii="Times New Roman" w:hAnsi="Times New Roman" w:cs="Times New Roman"/>
                <w:sz w:val="24"/>
                <w:szCs w:val="24"/>
              </w:rPr>
              <w:t>19</w:t>
            </w:r>
            <w:bookmarkEnd w:id="512"/>
            <w:bookmarkEnd w:id="513"/>
          </w:p>
        </w:tc>
        <w:tc>
          <w:tcPr>
            <w:tcW w:w="1033" w:type="dxa"/>
            <w:tcBorders>
              <w:top w:val="single" w:color="000000" w:sz="4" w:space="0"/>
              <w:left w:val="single" w:color="auto" w:sz="4" w:space="0"/>
              <w:bottom w:val="single" w:color="000000" w:sz="4" w:space="0"/>
              <w:right w:val="single" w:color="000000" w:sz="4" w:space="0"/>
            </w:tcBorders>
          </w:tcPr>
          <w:p w14:paraId="05032E15">
            <w:pPr>
              <w:ind w:right="-1584"/>
              <w:outlineLvl w:val="0"/>
              <w:rPr>
                <w:rFonts w:ascii="Times New Roman" w:hAnsi="Times New Roman" w:cs="Times New Roman"/>
                <w:sz w:val="24"/>
                <w:szCs w:val="24"/>
              </w:rPr>
            </w:pPr>
            <w:bookmarkStart w:id="514" w:name="_Toc198622111"/>
            <w:bookmarkStart w:id="515" w:name="_Toc198635579"/>
            <w:r>
              <w:rPr>
                <w:rFonts w:ascii="Times New Roman" w:hAnsi="Times New Roman" w:cs="Times New Roman"/>
                <w:sz w:val="24"/>
                <w:szCs w:val="24"/>
              </w:rPr>
              <w:t>5.7</w:t>
            </w:r>
            <w:bookmarkEnd w:id="514"/>
            <w:bookmarkEnd w:id="515"/>
          </w:p>
        </w:tc>
      </w:tr>
      <w:tr w14:paraId="7A9D1D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1" w:hRule="atLeast"/>
        </w:trPr>
        <w:tc>
          <w:tcPr>
            <w:tcW w:w="3510" w:type="dxa"/>
            <w:vMerge w:val="continue"/>
            <w:tcBorders>
              <w:top w:val="single" w:color="000000" w:sz="4" w:space="0"/>
              <w:left w:val="single" w:color="000000" w:sz="4" w:space="0"/>
              <w:bottom w:val="single" w:color="000000" w:sz="4" w:space="0"/>
              <w:right w:val="single" w:color="000000" w:sz="4" w:space="0"/>
            </w:tcBorders>
            <w:vAlign w:val="center"/>
          </w:tcPr>
          <w:p w14:paraId="6977945A">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tcPr>
          <w:p w14:paraId="1D632E2A">
            <w:pPr>
              <w:ind w:right="-1584"/>
              <w:outlineLvl w:val="0"/>
              <w:rPr>
                <w:rFonts w:ascii="Times New Roman" w:hAnsi="Times New Roman" w:cs="Times New Roman"/>
                <w:sz w:val="24"/>
                <w:szCs w:val="24"/>
              </w:rPr>
            </w:pPr>
            <w:bookmarkStart w:id="516" w:name="_Toc198622112"/>
            <w:bookmarkStart w:id="517" w:name="_Toc198635580"/>
            <w:r>
              <w:rPr>
                <w:rFonts w:ascii="Times New Roman" w:hAnsi="Times New Roman" w:cs="Times New Roman"/>
                <w:sz w:val="24"/>
                <w:szCs w:val="24"/>
              </w:rPr>
              <w:t>Disagree</w:t>
            </w:r>
            <w:bookmarkEnd w:id="516"/>
            <w:bookmarkEnd w:id="517"/>
          </w:p>
        </w:tc>
        <w:tc>
          <w:tcPr>
            <w:tcW w:w="1230" w:type="dxa"/>
            <w:tcBorders>
              <w:top w:val="single" w:color="000000" w:sz="4" w:space="0"/>
              <w:left w:val="single" w:color="000000" w:sz="4" w:space="0"/>
              <w:bottom w:val="single" w:color="000000" w:sz="4" w:space="0"/>
              <w:right w:val="single" w:color="auto" w:sz="4" w:space="0"/>
            </w:tcBorders>
          </w:tcPr>
          <w:p w14:paraId="1238DEDE">
            <w:pPr>
              <w:ind w:right="-1584"/>
              <w:outlineLvl w:val="0"/>
              <w:rPr>
                <w:rFonts w:ascii="Times New Roman" w:hAnsi="Times New Roman" w:cs="Times New Roman"/>
                <w:sz w:val="24"/>
                <w:szCs w:val="24"/>
              </w:rPr>
            </w:pPr>
            <w:bookmarkStart w:id="518" w:name="_Toc198622113"/>
            <w:bookmarkStart w:id="519" w:name="_Toc198635581"/>
            <w:r>
              <w:rPr>
                <w:rFonts w:ascii="Times New Roman" w:hAnsi="Times New Roman" w:cs="Times New Roman"/>
                <w:sz w:val="24"/>
                <w:szCs w:val="24"/>
              </w:rPr>
              <w:t>19</w:t>
            </w:r>
            <w:bookmarkEnd w:id="518"/>
            <w:bookmarkEnd w:id="519"/>
          </w:p>
        </w:tc>
        <w:tc>
          <w:tcPr>
            <w:tcW w:w="1033" w:type="dxa"/>
            <w:tcBorders>
              <w:top w:val="single" w:color="000000" w:sz="4" w:space="0"/>
              <w:left w:val="single" w:color="auto" w:sz="4" w:space="0"/>
              <w:bottom w:val="single" w:color="000000" w:sz="4" w:space="0"/>
              <w:right w:val="single" w:color="000000" w:sz="4" w:space="0"/>
            </w:tcBorders>
          </w:tcPr>
          <w:p w14:paraId="743A1BE8">
            <w:pPr>
              <w:ind w:right="-1584"/>
              <w:outlineLvl w:val="0"/>
              <w:rPr>
                <w:rFonts w:ascii="Times New Roman" w:hAnsi="Times New Roman" w:cs="Times New Roman"/>
                <w:sz w:val="24"/>
                <w:szCs w:val="24"/>
              </w:rPr>
            </w:pPr>
            <w:bookmarkStart w:id="520" w:name="_Toc198622114"/>
            <w:bookmarkStart w:id="521" w:name="_Toc198635582"/>
            <w:r>
              <w:rPr>
                <w:rFonts w:ascii="Times New Roman" w:hAnsi="Times New Roman" w:cs="Times New Roman"/>
                <w:sz w:val="24"/>
                <w:szCs w:val="24"/>
              </w:rPr>
              <w:t>5.7</w:t>
            </w:r>
            <w:bookmarkEnd w:id="520"/>
            <w:bookmarkEnd w:id="521"/>
          </w:p>
        </w:tc>
      </w:tr>
      <w:tr w14:paraId="7A90CB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6" w:hRule="atLeast"/>
        </w:trPr>
        <w:tc>
          <w:tcPr>
            <w:tcW w:w="3510" w:type="dxa"/>
            <w:vMerge w:val="continue"/>
            <w:tcBorders>
              <w:top w:val="single" w:color="000000" w:sz="4" w:space="0"/>
              <w:left w:val="single" w:color="000000" w:sz="4" w:space="0"/>
              <w:bottom w:val="single" w:color="000000" w:sz="4" w:space="0"/>
              <w:right w:val="single" w:color="000000" w:sz="4" w:space="0"/>
            </w:tcBorders>
            <w:vAlign w:val="center"/>
          </w:tcPr>
          <w:p w14:paraId="270A74F7">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tcPr>
          <w:p w14:paraId="5E224D57">
            <w:pPr>
              <w:ind w:right="-1584"/>
              <w:outlineLvl w:val="0"/>
              <w:rPr>
                <w:rFonts w:ascii="Times New Roman" w:hAnsi="Times New Roman" w:cs="Times New Roman"/>
                <w:sz w:val="24"/>
                <w:szCs w:val="24"/>
              </w:rPr>
            </w:pPr>
            <w:bookmarkStart w:id="522" w:name="_Toc198635583"/>
            <w:bookmarkStart w:id="523" w:name="_Toc198622115"/>
            <w:r>
              <w:rPr>
                <w:rFonts w:ascii="Times New Roman" w:hAnsi="Times New Roman" w:cs="Times New Roman"/>
                <w:sz w:val="24"/>
                <w:szCs w:val="24"/>
              </w:rPr>
              <w:t>Agree</w:t>
            </w:r>
            <w:bookmarkEnd w:id="522"/>
            <w:bookmarkEnd w:id="523"/>
          </w:p>
        </w:tc>
        <w:tc>
          <w:tcPr>
            <w:tcW w:w="1230" w:type="dxa"/>
            <w:tcBorders>
              <w:top w:val="single" w:color="000000" w:sz="4" w:space="0"/>
              <w:left w:val="single" w:color="000000" w:sz="4" w:space="0"/>
              <w:bottom w:val="single" w:color="000000" w:sz="4" w:space="0"/>
              <w:right w:val="single" w:color="auto" w:sz="4" w:space="0"/>
            </w:tcBorders>
          </w:tcPr>
          <w:p w14:paraId="32353133">
            <w:pPr>
              <w:ind w:right="-1584"/>
              <w:outlineLvl w:val="0"/>
              <w:rPr>
                <w:rFonts w:ascii="Times New Roman" w:hAnsi="Times New Roman" w:cs="Times New Roman"/>
                <w:sz w:val="24"/>
                <w:szCs w:val="24"/>
              </w:rPr>
            </w:pPr>
            <w:bookmarkStart w:id="524" w:name="_Toc198622116"/>
            <w:bookmarkStart w:id="525" w:name="_Toc198635584"/>
            <w:r>
              <w:rPr>
                <w:rFonts w:ascii="Times New Roman" w:hAnsi="Times New Roman" w:cs="Times New Roman"/>
                <w:sz w:val="24"/>
                <w:szCs w:val="24"/>
              </w:rPr>
              <w:t>55</w:t>
            </w:r>
            <w:bookmarkEnd w:id="524"/>
            <w:bookmarkEnd w:id="525"/>
          </w:p>
        </w:tc>
        <w:tc>
          <w:tcPr>
            <w:tcW w:w="1033" w:type="dxa"/>
            <w:tcBorders>
              <w:top w:val="single" w:color="000000" w:sz="4" w:space="0"/>
              <w:left w:val="single" w:color="auto" w:sz="4" w:space="0"/>
              <w:bottom w:val="single" w:color="000000" w:sz="4" w:space="0"/>
              <w:right w:val="single" w:color="000000" w:sz="4" w:space="0"/>
            </w:tcBorders>
          </w:tcPr>
          <w:p w14:paraId="2EF04214">
            <w:pPr>
              <w:ind w:right="-1584"/>
              <w:outlineLvl w:val="0"/>
              <w:rPr>
                <w:rFonts w:ascii="Times New Roman" w:hAnsi="Times New Roman" w:cs="Times New Roman"/>
                <w:sz w:val="24"/>
                <w:szCs w:val="24"/>
              </w:rPr>
            </w:pPr>
            <w:bookmarkStart w:id="526" w:name="_Toc198622117"/>
            <w:bookmarkStart w:id="527" w:name="_Toc198635585"/>
            <w:r>
              <w:rPr>
                <w:rFonts w:ascii="Times New Roman" w:hAnsi="Times New Roman" w:cs="Times New Roman"/>
                <w:sz w:val="24"/>
                <w:szCs w:val="24"/>
              </w:rPr>
              <w:t>16.5</w:t>
            </w:r>
            <w:bookmarkEnd w:id="526"/>
            <w:bookmarkEnd w:id="527"/>
          </w:p>
        </w:tc>
      </w:tr>
      <w:tr w14:paraId="258CD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1" w:hRule="atLeast"/>
        </w:trPr>
        <w:tc>
          <w:tcPr>
            <w:tcW w:w="3510" w:type="dxa"/>
            <w:vMerge w:val="continue"/>
            <w:tcBorders>
              <w:top w:val="single" w:color="000000" w:sz="4" w:space="0"/>
              <w:left w:val="single" w:color="000000" w:sz="4" w:space="0"/>
              <w:bottom w:val="single" w:color="000000" w:sz="4" w:space="0"/>
              <w:right w:val="single" w:color="000000" w:sz="4" w:space="0"/>
            </w:tcBorders>
            <w:vAlign w:val="center"/>
          </w:tcPr>
          <w:p w14:paraId="5D2388F4">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tcPr>
          <w:p w14:paraId="0F06EB95">
            <w:pPr>
              <w:ind w:right="-1584"/>
              <w:outlineLvl w:val="0"/>
              <w:rPr>
                <w:rFonts w:ascii="Times New Roman" w:hAnsi="Times New Roman" w:cs="Times New Roman"/>
                <w:sz w:val="24"/>
                <w:szCs w:val="24"/>
              </w:rPr>
            </w:pPr>
            <w:bookmarkStart w:id="528" w:name="_Toc198622118"/>
            <w:bookmarkStart w:id="529" w:name="_Toc198635586"/>
            <w:r>
              <w:rPr>
                <w:rFonts w:ascii="Times New Roman" w:hAnsi="Times New Roman" w:cs="Times New Roman"/>
                <w:sz w:val="24"/>
                <w:szCs w:val="24"/>
              </w:rPr>
              <w:t>Strongly Agree</w:t>
            </w:r>
            <w:bookmarkEnd w:id="528"/>
            <w:bookmarkEnd w:id="529"/>
          </w:p>
        </w:tc>
        <w:tc>
          <w:tcPr>
            <w:tcW w:w="1230" w:type="dxa"/>
            <w:tcBorders>
              <w:top w:val="single" w:color="000000" w:sz="4" w:space="0"/>
              <w:left w:val="single" w:color="000000" w:sz="4" w:space="0"/>
              <w:bottom w:val="single" w:color="000000" w:sz="4" w:space="0"/>
              <w:right w:val="single" w:color="auto" w:sz="4" w:space="0"/>
            </w:tcBorders>
          </w:tcPr>
          <w:p w14:paraId="11AEF2C6">
            <w:pPr>
              <w:ind w:right="-1584"/>
              <w:outlineLvl w:val="0"/>
              <w:rPr>
                <w:rFonts w:ascii="Times New Roman" w:hAnsi="Times New Roman" w:cs="Times New Roman"/>
                <w:sz w:val="24"/>
                <w:szCs w:val="24"/>
              </w:rPr>
            </w:pPr>
            <w:bookmarkStart w:id="530" w:name="_Toc198635587"/>
            <w:bookmarkStart w:id="531" w:name="_Toc198622119"/>
            <w:r>
              <w:rPr>
                <w:rFonts w:ascii="Times New Roman" w:hAnsi="Times New Roman" w:cs="Times New Roman"/>
                <w:sz w:val="24"/>
                <w:szCs w:val="24"/>
              </w:rPr>
              <w:t>241</w:t>
            </w:r>
            <w:bookmarkEnd w:id="530"/>
            <w:bookmarkEnd w:id="531"/>
          </w:p>
        </w:tc>
        <w:tc>
          <w:tcPr>
            <w:tcW w:w="1033" w:type="dxa"/>
            <w:tcBorders>
              <w:top w:val="single" w:color="000000" w:sz="4" w:space="0"/>
              <w:left w:val="single" w:color="auto" w:sz="4" w:space="0"/>
              <w:bottom w:val="single" w:color="000000" w:sz="4" w:space="0"/>
              <w:right w:val="single" w:color="000000" w:sz="4" w:space="0"/>
            </w:tcBorders>
          </w:tcPr>
          <w:p w14:paraId="03384622">
            <w:pPr>
              <w:ind w:right="-1584"/>
              <w:outlineLvl w:val="0"/>
              <w:rPr>
                <w:rFonts w:ascii="Times New Roman" w:hAnsi="Times New Roman" w:cs="Times New Roman"/>
                <w:sz w:val="24"/>
                <w:szCs w:val="24"/>
              </w:rPr>
            </w:pPr>
            <w:bookmarkStart w:id="532" w:name="_Toc198635588"/>
            <w:bookmarkStart w:id="533" w:name="_Toc198622120"/>
            <w:r>
              <w:rPr>
                <w:rFonts w:ascii="Times New Roman" w:hAnsi="Times New Roman" w:cs="Times New Roman"/>
                <w:sz w:val="24"/>
                <w:szCs w:val="24"/>
              </w:rPr>
              <w:t>72.2</w:t>
            </w:r>
            <w:bookmarkEnd w:id="532"/>
            <w:bookmarkEnd w:id="533"/>
          </w:p>
        </w:tc>
      </w:tr>
      <w:tr w14:paraId="3580E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8" w:hRule="atLeast"/>
        </w:trPr>
        <w:tc>
          <w:tcPr>
            <w:tcW w:w="3510" w:type="dxa"/>
            <w:vMerge w:val="restart"/>
            <w:tcBorders>
              <w:top w:val="single" w:color="000000" w:sz="4" w:space="0"/>
              <w:left w:val="single" w:color="000000" w:sz="4" w:space="0"/>
              <w:right w:val="single" w:color="000000" w:sz="4" w:space="0"/>
            </w:tcBorders>
            <w:vAlign w:val="center"/>
          </w:tcPr>
          <w:p w14:paraId="4ACD42BD">
            <w:pPr>
              <w:ind w:right="-1584"/>
              <w:outlineLvl w:val="0"/>
              <w:rPr>
                <w:rFonts w:ascii="Times New Roman" w:hAnsi="Times New Roman" w:cs="Times New Roman"/>
                <w:sz w:val="24"/>
                <w:szCs w:val="24"/>
              </w:rPr>
            </w:pPr>
            <w:bookmarkStart w:id="534" w:name="_Toc198622121"/>
            <w:bookmarkStart w:id="535" w:name="_Toc198635589"/>
            <w:r>
              <w:rPr>
                <w:rFonts w:ascii="Times New Roman" w:hAnsi="Times New Roman" w:cs="Times New Roman"/>
                <w:sz w:val="24"/>
                <w:szCs w:val="24"/>
              </w:rPr>
              <w:t>Perceived susceptibility to malaria</w:t>
            </w:r>
            <w:bookmarkEnd w:id="534"/>
            <w:bookmarkEnd w:id="535"/>
          </w:p>
          <w:p w14:paraId="7F350C2E">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tcPr>
          <w:p w14:paraId="0E609CF8">
            <w:pPr>
              <w:ind w:right="-1584"/>
              <w:outlineLvl w:val="0"/>
              <w:rPr>
                <w:rFonts w:ascii="Times New Roman" w:hAnsi="Times New Roman" w:cs="Times New Roman"/>
                <w:sz w:val="24"/>
                <w:szCs w:val="24"/>
              </w:rPr>
            </w:pPr>
            <w:bookmarkStart w:id="536" w:name="_Toc198622122"/>
            <w:bookmarkStart w:id="537" w:name="_Toc198635590"/>
            <w:r>
              <w:rPr>
                <w:rFonts w:ascii="Times New Roman" w:hAnsi="Times New Roman" w:cs="Times New Roman"/>
                <w:sz w:val="24"/>
                <w:szCs w:val="24"/>
              </w:rPr>
              <w:t>Strongly Disagree</w:t>
            </w:r>
            <w:bookmarkEnd w:id="536"/>
            <w:bookmarkEnd w:id="537"/>
          </w:p>
        </w:tc>
        <w:tc>
          <w:tcPr>
            <w:tcW w:w="1230" w:type="dxa"/>
            <w:tcBorders>
              <w:top w:val="single" w:color="000000" w:sz="4" w:space="0"/>
              <w:left w:val="single" w:color="000000" w:sz="4" w:space="0"/>
              <w:bottom w:val="single" w:color="000000" w:sz="4" w:space="0"/>
              <w:right w:val="single" w:color="auto" w:sz="4" w:space="0"/>
            </w:tcBorders>
          </w:tcPr>
          <w:p w14:paraId="5AFE0C17">
            <w:pPr>
              <w:ind w:right="-1584"/>
              <w:outlineLvl w:val="0"/>
              <w:rPr>
                <w:rFonts w:ascii="Times New Roman" w:hAnsi="Times New Roman" w:cs="Times New Roman"/>
                <w:sz w:val="24"/>
                <w:szCs w:val="24"/>
              </w:rPr>
            </w:pPr>
            <w:bookmarkStart w:id="538" w:name="_Toc198622123"/>
            <w:bookmarkStart w:id="539" w:name="_Toc198635591"/>
            <w:r>
              <w:rPr>
                <w:rFonts w:ascii="Times New Roman" w:hAnsi="Times New Roman" w:cs="Times New Roman"/>
                <w:sz w:val="24"/>
                <w:szCs w:val="24"/>
              </w:rPr>
              <w:t>56</w:t>
            </w:r>
            <w:bookmarkEnd w:id="538"/>
            <w:bookmarkEnd w:id="539"/>
          </w:p>
        </w:tc>
        <w:tc>
          <w:tcPr>
            <w:tcW w:w="1033" w:type="dxa"/>
            <w:tcBorders>
              <w:top w:val="single" w:color="000000" w:sz="4" w:space="0"/>
              <w:left w:val="single" w:color="auto" w:sz="4" w:space="0"/>
              <w:bottom w:val="single" w:color="000000" w:sz="4" w:space="0"/>
              <w:right w:val="single" w:color="000000" w:sz="4" w:space="0"/>
            </w:tcBorders>
          </w:tcPr>
          <w:p w14:paraId="671100EC">
            <w:pPr>
              <w:ind w:right="-1584"/>
              <w:outlineLvl w:val="0"/>
              <w:rPr>
                <w:rFonts w:ascii="Times New Roman" w:hAnsi="Times New Roman" w:cs="Times New Roman"/>
                <w:sz w:val="24"/>
                <w:szCs w:val="24"/>
              </w:rPr>
            </w:pPr>
            <w:bookmarkStart w:id="540" w:name="_Toc198635592"/>
            <w:bookmarkStart w:id="541" w:name="_Toc198622124"/>
            <w:r>
              <w:rPr>
                <w:rFonts w:ascii="Times New Roman" w:hAnsi="Times New Roman" w:cs="Times New Roman"/>
                <w:sz w:val="24"/>
                <w:szCs w:val="24"/>
              </w:rPr>
              <w:t>16.8</w:t>
            </w:r>
            <w:bookmarkEnd w:id="540"/>
            <w:bookmarkEnd w:id="541"/>
          </w:p>
        </w:tc>
      </w:tr>
      <w:tr w14:paraId="5D40A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1" w:hRule="atLeast"/>
        </w:trPr>
        <w:tc>
          <w:tcPr>
            <w:tcW w:w="3510" w:type="dxa"/>
            <w:vMerge w:val="continue"/>
            <w:tcBorders>
              <w:left w:val="single" w:color="000000" w:sz="4" w:space="0"/>
              <w:right w:val="single" w:color="000000" w:sz="4" w:space="0"/>
            </w:tcBorders>
            <w:vAlign w:val="center"/>
          </w:tcPr>
          <w:p w14:paraId="05CBD95C">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tcPr>
          <w:p w14:paraId="3C960944">
            <w:pPr>
              <w:ind w:right="-1584"/>
              <w:outlineLvl w:val="0"/>
              <w:rPr>
                <w:rFonts w:ascii="Times New Roman" w:hAnsi="Times New Roman" w:cs="Times New Roman"/>
                <w:sz w:val="24"/>
                <w:szCs w:val="24"/>
              </w:rPr>
            </w:pPr>
            <w:bookmarkStart w:id="542" w:name="_Toc198635593"/>
            <w:bookmarkStart w:id="543" w:name="_Toc198622125"/>
            <w:r>
              <w:rPr>
                <w:rFonts w:ascii="Times New Roman" w:hAnsi="Times New Roman" w:cs="Times New Roman"/>
                <w:sz w:val="24"/>
                <w:szCs w:val="24"/>
              </w:rPr>
              <w:t>Disagree</w:t>
            </w:r>
            <w:bookmarkEnd w:id="542"/>
            <w:bookmarkEnd w:id="543"/>
          </w:p>
        </w:tc>
        <w:tc>
          <w:tcPr>
            <w:tcW w:w="1230" w:type="dxa"/>
            <w:tcBorders>
              <w:top w:val="single" w:color="000000" w:sz="4" w:space="0"/>
              <w:left w:val="single" w:color="000000" w:sz="4" w:space="0"/>
              <w:bottom w:val="single" w:color="000000" w:sz="4" w:space="0"/>
              <w:right w:val="single" w:color="auto" w:sz="4" w:space="0"/>
            </w:tcBorders>
          </w:tcPr>
          <w:p w14:paraId="12B1A02D">
            <w:pPr>
              <w:ind w:right="-1584"/>
              <w:outlineLvl w:val="0"/>
              <w:rPr>
                <w:rFonts w:ascii="Times New Roman" w:hAnsi="Times New Roman" w:cs="Times New Roman"/>
                <w:sz w:val="24"/>
                <w:szCs w:val="24"/>
              </w:rPr>
            </w:pPr>
            <w:bookmarkStart w:id="544" w:name="_Toc198635594"/>
            <w:bookmarkStart w:id="545" w:name="_Toc198622126"/>
            <w:r>
              <w:rPr>
                <w:rFonts w:ascii="Times New Roman" w:hAnsi="Times New Roman" w:cs="Times New Roman"/>
                <w:sz w:val="24"/>
                <w:szCs w:val="24"/>
              </w:rPr>
              <w:t>30</w:t>
            </w:r>
            <w:bookmarkEnd w:id="544"/>
            <w:bookmarkEnd w:id="545"/>
          </w:p>
        </w:tc>
        <w:tc>
          <w:tcPr>
            <w:tcW w:w="1033" w:type="dxa"/>
            <w:tcBorders>
              <w:top w:val="single" w:color="000000" w:sz="4" w:space="0"/>
              <w:left w:val="single" w:color="auto" w:sz="4" w:space="0"/>
              <w:bottom w:val="single" w:color="000000" w:sz="4" w:space="0"/>
              <w:right w:val="single" w:color="000000" w:sz="4" w:space="0"/>
            </w:tcBorders>
          </w:tcPr>
          <w:p w14:paraId="21B897C1">
            <w:pPr>
              <w:ind w:right="-1584"/>
              <w:outlineLvl w:val="0"/>
              <w:rPr>
                <w:rFonts w:ascii="Times New Roman" w:hAnsi="Times New Roman" w:cs="Times New Roman"/>
                <w:sz w:val="24"/>
                <w:szCs w:val="24"/>
              </w:rPr>
            </w:pPr>
            <w:bookmarkStart w:id="546" w:name="_Toc198635595"/>
            <w:bookmarkStart w:id="547" w:name="_Toc198622127"/>
            <w:r>
              <w:rPr>
                <w:rFonts w:ascii="Times New Roman" w:hAnsi="Times New Roman" w:cs="Times New Roman"/>
                <w:sz w:val="24"/>
                <w:szCs w:val="24"/>
              </w:rPr>
              <w:t>9</w:t>
            </w:r>
            <w:bookmarkEnd w:id="546"/>
            <w:bookmarkEnd w:id="547"/>
          </w:p>
        </w:tc>
      </w:tr>
      <w:tr w14:paraId="46C606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1" w:hRule="atLeast"/>
        </w:trPr>
        <w:tc>
          <w:tcPr>
            <w:tcW w:w="3510" w:type="dxa"/>
            <w:vMerge w:val="continue"/>
            <w:tcBorders>
              <w:left w:val="single" w:color="000000" w:sz="4" w:space="0"/>
              <w:right w:val="single" w:color="000000" w:sz="4" w:space="0"/>
            </w:tcBorders>
            <w:vAlign w:val="center"/>
          </w:tcPr>
          <w:p w14:paraId="310BFE4C">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tcPr>
          <w:p w14:paraId="5CA40C70">
            <w:pPr>
              <w:ind w:right="-1584"/>
              <w:outlineLvl w:val="0"/>
              <w:rPr>
                <w:rFonts w:ascii="Times New Roman" w:hAnsi="Times New Roman" w:cs="Times New Roman"/>
                <w:sz w:val="24"/>
                <w:szCs w:val="24"/>
              </w:rPr>
            </w:pPr>
            <w:bookmarkStart w:id="548" w:name="_Toc198635596"/>
            <w:bookmarkStart w:id="549" w:name="_Toc198622128"/>
            <w:r>
              <w:rPr>
                <w:rFonts w:ascii="Times New Roman" w:hAnsi="Times New Roman" w:cs="Times New Roman"/>
                <w:sz w:val="24"/>
                <w:szCs w:val="24"/>
              </w:rPr>
              <w:t>Agree</w:t>
            </w:r>
            <w:bookmarkEnd w:id="548"/>
            <w:bookmarkEnd w:id="549"/>
          </w:p>
        </w:tc>
        <w:tc>
          <w:tcPr>
            <w:tcW w:w="1230" w:type="dxa"/>
            <w:tcBorders>
              <w:top w:val="single" w:color="000000" w:sz="4" w:space="0"/>
              <w:left w:val="single" w:color="000000" w:sz="4" w:space="0"/>
              <w:bottom w:val="single" w:color="000000" w:sz="4" w:space="0"/>
              <w:right w:val="single" w:color="auto" w:sz="4" w:space="0"/>
            </w:tcBorders>
          </w:tcPr>
          <w:p w14:paraId="6CF63091">
            <w:pPr>
              <w:ind w:right="-1584"/>
              <w:outlineLvl w:val="0"/>
              <w:rPr>
                <w:rFonts w:ascii="Times New Roman" w:hAnsi="Times New Roman" w:cs="Times New Roman"/>
                <w:sz w:val="24"/>
                <w:szCs w:val="24"/>
              </w:rPr>
            </w:pPr>
            <w:bookmarkStart w:id="550" w:name="_Toc198622129"/>
            <w:bookmarkStart w:id="551" w:name="_Toc198635597"/>
            <w:r>
              <w:rPr>
                <w:rFonts w:ascii="Times New Roman" w:hAnsi="Times New Roman" w:cs="Times New Roman"/>
                <w:sz w:val="24"/>
                <w:szCs w:val="24"/>
              </w:rPr>
              <w:t>52</w:t>
            </w:r>
            <w:bookmarkEnd w:id="550"/>
            <w:bookmarkEnd w:id="551"/>
          </w:p>
        </w:tc>
        <w:tc>
          <w:tcPr>
            <w:tcW w:w="1033" w:type="dxa"/>
            <w:tcBorders>
              <w:top w:val="single" w:color="000000" w:sz="4" w:space="0"/>
              <w:left w:val="single" w:color="auto" w:sz="4" w:space="0"/>
              <w:bottom w:val="single" w:color="000000" w:sz="4" w:space="0"/>
              <w:right w:val="single" w:color="000000" w:sz="4" w:space="0"/>
            </w:tcBorders>
          </w:tcPr>
          <w:p w14:paraId="56628002">
            <w:pPr>
              <w:ind w:right="-1584"/>
              <w:outlineLvl w:val="0"/>
              <w:rPr>
                <w:rFonts w:ascii="Times New Roman" w:hAnsi="Times New Roman" w:cs="Times New Roman"/>
                <w:sz w:val="24"/>
                <w:szCs w:val="24"/>
              </w:rPr>
            </w:pPr>
            <w:bookmarkStart w:id="552" w:name="_Toc198635598"/>
            <w:bookmarkStart w:id="553" w:name="_Toc198622130"/>
            <w:r>
              <w:rPr>
                <w:rFonts w:ascii="Times New Roman" w:hAnsi="Times New Roman" w:cs="Times New Roman"/>
                <w:sz w:val="24"/>
                <w:szCs w:val="24"/>
              </w:rPr>
              <w:t>15.6</w:t>
            </w:r>
            <w:bookmarkEnd w:id="552"/>
            <w:bookmarkEnd w:id="553"/>
          </w:p>
        </w:tc>
      </w:tr>
      <w:tr w14:paraId="37CF4D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 w:hRule="atLeast"/>
        </w:trPr>
        <w:tc>
          <w:tcPr>
            <w:tcW w:w="3510" w:type="dxa"/>
            <w:vMerge w:val="continue"/>
            <w:tcBorders>
              <w:left w:val="single" w:color="000000" w:sz="4" w:space="0"/>
              <w:bottom w:val="single" w:color="000000" w:sz="4" w:space="0"/>
              <w:right w:val="single" w:color="000000" w:sz="4" w:space="0"/>
            </w:tcBorders>
            <w:vAlign w:val="center"/>
          </w:tcPr>
          <w:p w14:paraId="32D907B6">
            <w:pPr>
              <w:ind w:right="-1584"/>
              <w:outlineLvl w:val="0"/>
              <w:rPr>
                <w:rFonts w:ascii="Times New Roman" w:hAnsi="Times New Roman" w:cs="Times New Roman"/>
                <w:sz w:val="24"/>
                <w:szCs w:val="24"/>
              </w:rPr>
            </w:pPr>
          </w:p>
        </w:tc>
        <w:tc>
          <w:tcPr>
            <w:tcW w:w="3696" w:type="dxa"/>
            <w:tcBorders>
              <w:top w:val="single" w:color="000000" w:sz="4" w:space="0"/>
              <w:left w:val="single" w:color="000000" w:sz="4" w:space="0"/>
              <w:bottom w:val="single" w:color="000000" w:sz="4" w:space="0"/>
              <w:right w:val="single" w:color="000000" w:sz="4" w:space="0"/>
            </w:tcBorders>
          </w:tcPr>
          <w:p w14:paraId="22D12147">
            <w:pPr>
              <w:ind w:right="-1584"/>
              <w:outlineLvl w:val="0"/>
              <w:rPr>
                <w:rFonts w:ascii="Times New Roman" w:hAnsi="Times New Roman" w:cs="Times New Roman"/>
                <w:sz w:val="24"/>
                <w:szCs w:val="24"/>
              </w:rPr>
            </w:pPr>
            <w:bookmarkStart w:id="554" w:name="_Toc198635599"/>
            <w:bookmarkStart w:id="555" w:name="_Toc198622131"/>
            <w:r>
              <w:rPr>
                <w:rFonts w:ascii="Times New Roman" w:hAnsi="Times New Roman" w:cs="Times New Roman"/>
                <w:sz w:val="24"/>
                <w:szCs w:val="24"/>
              </w:rPr>
              <w:t>Strongly Agree</w:t>
            </w:r>
            <w:bookmarkEnd w:id="554"/>
            <w:bookmarkEnd w:id="555"/>
          </w:p>
        </w:tc>
        <w:tc>
          <w:tcPr>
            <w:tcW w:w="1230" w:type="dxa"/>
            <w:tcBorders>
              <w:top w:val="single" w:color="000000" w:sz="4" w:space="0"/>
              <w:left w:val="single" w:color="000000" w:sz="4" w:space="0"/>
              <w:bottom w:val="single" w:color="000000" w:sz="4" w:space="0"/>
              <w:right w:val="single" w:color="auto" w:sz="4" w:space="0"/>
            </w:tcBorders>
          </w:tcPr>
          <w:p w14:paraId="3DB20D59">
            <w:pPr>
              <w:ind w:right="-1584"/>
              <w:outlineLvl w:val="0"/>
              <w:rPr>
                <w:rFonts w:ascii="Times New Roman" w:hAnsi="Times New Roman" w:cs="Times New Roman"/>
                <w:sz w:val="24"/>
                <w:szCs w:val="24"/>
              </w:rPr>
            </w:pPr>
            <w:bookmarkStart w:id="556" w:name="_Toc198622132"/>
            <w:bookmarkStart w:id="557" w:name="_Toc198635600"/>
            <w:r>
              <w:rPr>
                <w:rFonts w:ascii="Times New Roman" w:hAnsi="Times New Roman" w:cs="Times New Roman"/>
                <w:sz w:val="24"/>
                <w:szCs w:val="24"/>
              </w:rPr>
              <w:t>196</w:t>
            </w:r>
            <w:bookmarkEnd w:id="556"/>
            <w:bookmarkEnd w:id="557"/>
          </w:p>
        </w:tc>
        <w:tc>
          <w:tcPr>
            <w:tcW w:w="1033" w:type="dxa"/>
            <w:tcBorders>
              <w:top w:val="single" w:color="000000" w:sz="4" w:space="0"/>
              <w:left w:val="single" w:color="auto" w:sz="4" w:space="0"/>
              <w:bottom w:val="single" w:color="000000" w:sz="4" w:space="0"/>
              <w:right w:val="single" w:color="000000" w:sz="4" w:space="0"/>
            </w:tcBorders>
          </w:tcPr>
          <w:p w14:paraId="082B83A5">
            <w:pPr>
              <w:ind w:right="-1584"/>
              <w:outlineLvl w:val="0"/>
              <w:rPr>
                <w:rFonts w:ascii="Times New Roman" w:hAnsi="Times New Roman" w:cs="Times New Roman"/>
                <w:sz w:val="24"/>
                <w:szCs w:val="24"/>
              </w:rPr>
            </w:pPr>
            <w:bookmarkStart w:id="558" w:name="_Toc198622133"/>
            <w:bookmarkStart w:id="559" w:name="_Toc198635601"/>
            <w:r>
              <w:rPr>
                <w:rFonts w:ascii="Times New Roman" w:hAnsi="Times New Roman" w:cs="Times New Roman"/>
                <w:sz w:val="24"/>
                <w:szCs w:val="24"/>
              </w:rPr>
              <w:t>58.7</w:t>
            </w:r>
            <w:bookmarkEnd w:id="558"/>
            <w:bookmarkEnd w:id="559"/>
          </w:p>
        </w:tc>
      </w:tr>
    </w:tbl>
    <w:p w14:paraId="0E2841EA">
      <w:pPr>
        <w:pStyle w:val="4"/>
      </w:pPr>
      <w:bookmarkStart w:id="560" w:name="_Toc198622134"/>
      <w:bookmarkStart w:id="561" w:name="_Toc197885224"/>
      <w:bookmarkStart w:id="562" w:name="_Toc198635602"/>
      <w:r>
        <w:rPr>
          <w:rStyle w:val="23"/>
          <w:b/>
          <w:bCs/>
        </w:rPr>
        <w:t>Willingness to Vaccinate Child for Malaria</w:t>
      </w:r>
      <w:bookmarkEnd w:id="560"/>
      <w:bookmarkEnd w:id="561"/>
      <w:bookmarkEnd w:id="562"/>
    </w:p>
    <w:p w14:paraId="3DC4D621">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A significant majority of mothers 89.2%, 95% CI [85.4%-92.3%] expressed </w:t>
      </w:r>
      <w:r>
        <w:rPr>
          <w:rStyle w:val="23"/>
          <w:rFonts w:ascii="Times New Roman" w:hAnsi="Times New Roman" w:cs="Times New Roman"/>
          <w:b w:val="0"/>
          <w:sz w:val="24"/>
          <w:szCs w:val="24"/>
        </w:rPr>
        <w:t>willingness to vaccinate their children against malaria</w:t>
      </w:r>
      <w:r>
        <w:rPr>
          <w:rFonts w:ascii="Times New Roman" w:hAnsi="Times New Roman" w:cs="Times New Roman"/>
          <w:sz w:val="24"/>
          <w:szCs w:val="24"/>
        </w:rPr>
        <w:t>, and smaller proportions (10.8%) were unwilling [Figure 5].</w:t>
      </w:r>
    </w:p>
    <w:p w14:paraId="19A04DF0">
      <w:pPr>
        <w:spacing w:before="100" w:beforeAutospacing="1" w:after="100" w:afterAutospacing="1"/>
        <w:jc w:val="center"/>
      </w:pPr>
      <w:r>
        <w:rPr>
          <w:lang w:val="en-GB" w:eastAsia="en-GB"/>
        </w:rPr>
        <w:drawing>
          <wp:inline distT="0" distB="0" distL="0" distR="0">
            <wp:extent cx="2711450" cy="1689100"/>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11"/>
                    <a:stretch>
                      <a:fillRect/>
                    </a:stretch>
                  </pic:blipFill>
                  <pic:spPr>
                    <a:xfrm>
                      <a:off x="0" y="0"/>
                      <a:ext cx="2711589" cy="1689187"/>
                    </a:xfrm>
                    <a:prstGeom prst="rect">
                      <a:avLst/>
                    </a:prstGeom>
                  </pic:spPr>
                </pic:pic>
              </a:graphicData>
            </a:graphic>
          </wp:inline>
        </w:drawing>
      </w:r>
    </w:p>
    <w:p w14:paraId="26866224">
      <w:pPr>
        <w:pStyle w:val="14"/>
        <w:spacing w:line="360" w:lineRule="auto"/>
        <w:jc w:val="both"/>
        <w:rPr>
          <w:rFonts w:ascii="Times New Roman" w:hAnsi="Times New Roman" w:cs="Times New Roman"/>
          <w:sz w:val="24"/>
          <w:szCs w:val="24"/>
        </w:rPr>
      </w:pPr>
      <w:bookmarkStart w:id="563" w:name="_Toc197885027"/>
      <w:r>
        <w:rPr>
          <w:rFonts w:ascii="Times New Roman" w:hAnsi="Times New Roman" w:cs="Times New Roman"/>
          <w:sz w:val="24"/>
          <w:szCs w:val="24"/>
        </w:rPr>
        <w:t xml:space="preserve">Figure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Figure \* ARABIC </w:instrText>
      </w:r>
      <w:r>
        <w:rPr>
          <w:rFonts w:ascii="Times New Roman" w:hAnsi="Times New Roman" w:cs="Times New Roman"/>
          <w:sz w:val="24"/>
          <w:szCs w:val="24"/>
        </w:rPr>
        <w:fldChar w:fldCharType="separate"/>
      </w:r>
      <w:r>
        <w:rPr>
          <w:rFonts w:ascii="Times New Roman" w:hAnsi="Times New Roman" w:cs="Times New Roman"/>
          <w:sz w:val="24"/>
          <w:szCs w:val="24"/>
        </w:rPr>
        <w:t>5</w:t>
      </w:r>
      <w:r>
        <w:rPr>
          <w:rFonts w:ascii="Times New Roman" w:hAnsi="Times New Roman" w:cs="Times New Roman"/>
          <w:sz w:val="24"/>
          <w:szCs w:val="24"/>
        </w:rPr>
        <w:fldChar w:fldCharType="end"/>
      </w:r>
      <w:r>
        <w:rPr>
          <w:rFonts w:ascii="Times New Roman" w:hAnsi="Times New Roman" w:cs="Times New Roman"/>
          <w:sz w:val="24"/>
          <w:szCs w:val="24"/>
        </w:rPr>
        <w:t>: Willingness of mothers to accept malaria vaccine to their children</w:t>
      </w:r>
      <w:bookmarkEnd w:id="563"/>
      <w:r>
        <w:rPr>
          <w:rFonts w:ascii="Times New Roman" w:hAnsi="Times New Roman" w:cs="Times New Roman"/>
          <w:sz w:val="24"/>
          <w:szCs w:val="24"/>
        </w:rPr>
        <w:t xml:space="preserve"> </w:t>
      </w:r>
      <w:bookmarkStart w:id="564" w:name="_Toc197885225"/>
    </w:p>
    <w:p w14:paraId="332DA49A">
      <w:pPr>
        <w:pStyle w:val="14"/>
        <w:spacing w:line="360" w:lineRule="auto"/>
        <w:jc w:val="both"/>
        <w:rPr>
          <w:rStyle w:val="23"/>
          <w:rFonts w:ascii="Times New Roman" w:hAnsi="Times New Roman" w:cs="Times New Roman"/>
          <w:b/>
          <w:bCs/>
          <w:sz w:val="24"/>
          <w:szCs w:val="24"/>
        </w:rPr>
      </w:pPr>
    </w:p>
    <w:p w14:paraId="01AB9C97">
      <w:pPr>
        <w:pStyle w:val="14"/>
        <w:spacing w:line="360" w:lineRule="auto"/>
        <w:jc w:val="both"/>
        <w:rPr>
          <w:rStyle w:val="23"/>
          <w:rFonts w:ascii="Times New Roman" w:hAnsi="Times New Roman" w:cs="Times New Roman"/>
          <w:b/>
          <w:bCs/>
          <w:sz w:val="24"/>
          <w:szCs w:val="24"/>
        </w:rPr>
      </w:pPr>
      <w:r>
        <w:rPr>
          <w:rStyle w:val="23"/>
          <w:rFonts w:ascii="Times New Roman" w:hAnsi="Times New Roman" w:cs="Times New Roman"/>
          <w:b/>
          <w:bCs/>
          <w:sz w:val="24"/>
          <w:szCs w:val="24"/>
        </w:rPr>
        <w:t>Reasons for Refusing Malaria Vaccine</w:t>
      </w:r>
      <w:bookmarkEnd w:id="564"/>
    </w:p>
    <w:p w14:paraId="6B54A23A">
      <w:pPr>
        <w:pStyle w:val="14"/>
        <w:spacing w:line="360" w:lineRule="auto"/>
        <w:jc w:val="both"/>
        <w:rPr>
          <w:rFonts w:ascii="Times New Roman" w:hAnsi="Times New Roman" w:cs="Times New Roman"/>
          <w:color w:val="auto"/>
          <w:sz w:val="24"/>
          <w:szCs w:val="24"/>
        </w:rPr>
      </w:pPr>
      <w:r>
        <w:rPr>
          <w:rFonts w:ascii="Times New Roman" w:hAnsi="Times New Roman" w:cs="Times New Roman"/>
          <w:b w:val="0"/>
          <w:bCs w:val="0"/>
          <w:color w:val="auto"/>
          <w:sz w:val="24"/>
          <w:szCs w:val="24"/>
        </w:rPr>
        <w:t xml:space="preserve">Among the </w:t>
      </w:r>
      <w:r>
        <w:rPr>
          <w:rStyle w:val="23"/>
          <w:rFonts w:ascii="Times New Roman" w:hAnsi="Times New Roman" w:cs="Times New Roman"/>
          <w:b w:val="0"/>
          <w:bCs w:val="0"/>
          <w:color w:val="auto"/>
          <w:sz w:val="24"/>
          <w:szCs w:val="24"/>
        </w:rPr>
        <w:t>36 respondents who refused the malaria vaccine</w:t>
      </w:r>
      <w:r>
        <w:rPr>
          <w:rFonts w:ascii="Times New Roman" w:hAnsi="Times New Roman" w:cs="Times New Roman"/>
          <w:color w:val="auto"/>
          <w:sz w:val="24"/>
          <w:szCs w:val="24"/>
        </w:rPr>
        <w:t xml:space="preserve">, </w:t>
      </w:r>
      <w:r>
        <w:rPr>
          <w:rFonts w:ascii="Times New Roman" w:hAnsi="Times New Roman" w:cs="Times New Roman"/>
          <w:b w:val="0"/>
          <w:bCs w:val="0"/>
          <w:color w:val="auto"/>
          <w:sz w:val="24"/>
          <w:szCs w:val="24"/>
        </w:rPr>
        <w:t>the most commonly cited reason was</w:t>
      </w:r>
      <w:r>
        <w:rPr>
          <w:rFonts w:ascii="Times New Roman" w:hAnsi="Times New Roman" w:cs="Times New Roman"/>
          <w:color w:val="auto"/>
          <w:sz w:val="24"/>
          <w:szCs w:val="24"/>
        </w:rPr>
        <w:t xml:space="preserve"> </w:t>
      </w:r>
      <w:r>
        <w:rPr>
          <w:rStyle w:val="23"/>
          <w:rFonts w:ascii="Times New Roman" w:hAnsi="Times New Roman" w:cs="Times New Roman"/>
          <w:b w:val="0"/>
          <w:bCs w:val="0"/>
          <w:color w:val="auto"/>
          <w:sz w:val="24"/>
          <w:szCs w:val="24"/>
        </w:rPr>
        <w:t>“too many vaccine types”</w:t>
      </w:r>
      <w:r>
        <w:rPr>
          <w:rFonts w:ascii="Times New Roman" w:hAnsi="Times New Roman" w:cs="Times New Roman"/>
          <w:color w:val="auto"/>
          <w:sz w:val="24"/>
          <w:szCs w:val="24"/>
        </w:rPr>
        <w:t xml:space="preserve"> </w:t>
      </w:r>
      <w:r>
        <w:rPr>
          <w:rFonts w:ascii="Times New Roman" w:hAnsi="Times New Roman" w:cs="Times New Roman"/>
          <w:b w:val="0"/>
          <w:bCs w:val="0"/>
          <w:color w:val="auto"/>
          <w:sz w:val="24"/>
          <w:szCs w:val="24"/>
        </w:rPr>
        <w:t>(39%), followed by concerns about</w:t>
      </w:r>
      <w:r>
        <w:rPr>
          <w:rFonts w:ascii="Times New Roman" w:hAnsi="Times New Roman" w:cs="Times New Roman"/>
          <w:color w:val="auto"/>
          <w:sz w:val="24"/>
          <w:szCs w:val="24"/>
        </w:rPr>
        <w:t xml:space="preserve"> </w:t>
      </w:r>
      <w:r>
        <w:rPr>
          <w:rStyle w:val="23"/>
          <w:rFonts w:ascii="Times New Roman" w:hAnsi="Times New Roman" w:cs="Times New Roman"/>
          <w:b w:val="0"/>
          <w:bCs w:val="0"/>
          <w:color w:val="auto"/>
          <w:sz w:val="24"/>
          <w:szCs w:val="24"/>
        </w:rPr>
        <w:t>pain (25%)</w:t>
      </w:r>
      <w:r>
        <w:rPr>
          <w:rFonts w:ascii="Times New Roman" w:hAnsi="Times New Roman" w:cs="Times New Roman"/>
          <w:color w:val="auto"/>
          <w:sz w:val="24"/>
          <w:szCs w:val="24"/>
        </w:rPr>
        <w:t xml:space="preserve"> </w:t>
      </w:r>
      <w:r>
        <w:rPr>
          <w:rFonts w:ascii="Times New Roman" w:hAnsi="Times New Roman" w:cs="Times New Roman"/>
          <w:b w:val="0"/>
          <w:bCs w:val="0"/>
          <w:color w:val="auto"/>
          <w:sz w:val="24"/>
          <w:szCs w:val="24"/>
        </w:rPr>
        <w:t>and the</w:t>
      </w:r>
      <w:r>
        <w:rPr>
          <w:rFonts w:ascii="Times New Roman" w:hAnsi="Times New Roman" w:cs="Times New Roman"/>
          <w:color w:val="auto"/>
          <w:sz w:val="24"/>
          <w:szCs w:val="24"/>
        </w:rPr>
        <w:t xml:space="preserve"> </w:t>
      </w:r>
      <w:r>
        <w:rPr>
          <w:rStyle w:val="23"/>
          <w:rFonts w:ascii="Times New Roman" w:hAnsi="Times New Roman" w:cs="Times New Roman"/>
          <w:b w:val="0"/>
          <w:bCs w:val="0"/>
          <w:color w:val="auto"/>
          <w:sz w:val="24"/>
          <w:szCs w:val="24"/>
        </w:rPr>
        <w:t>number of doses required (19.4%)</w:t>
      </w:r>
      <w:r>
        <w:rPr>
          <w:rFonts w:ascii="Times New Roman" w:hAnsi="Times New Roman" w:cs="Times New Roman"/>
          <w:color w:val="auto"/>
          <w:sz w:val="24"/>
          <w:szCs w:val="24"/>
        </w:rPr>
        <w:t xml:space="preserve">. Smaller groups (16.6%) were </w:t>
      </w:r>
      <w:r>
        <w:rPr>
          <w:rStyle w:val="23"/>
          <w:rFonts w:ascii="Times New Roman" w:hAnsi="Times New Roman" w:cs="Times New Roman"/>
          <w:b w:val="0"/>
          <w:bCs w:val="0"/>
          <w:color w:val="auto"/>
          <w:sz w:val="24"/>
          <w:szCs w:val="24"/>
        </w:rPr>
        <w:t xml:space="preserve">unsure about the vaccine itself </w:t>
      </w:r>
      <w:r>
        <w:rPr>
          <w:rFonts w:ascii="Times New Roman" w:hAnsi="Times New Roman" w:cs="Times New Roman"/>
          <w:color w:val="auto"/>
          <w:sz w:val="24"/>
          <w:szCs w:val="24"/>
        </w:rPr>
        <w:t>[Figure 6].</w:t>
      </w:r>
    </w:p>
    <w:p w14:paraId="10F29729">
      <w:pPr>
        <w:jc w:val="center"/>
      </w:pPr>
      <w:r>
        <w:rPr>
          <w:lang w:val="en-GB" w:eastAsia="en-GB"/>
        </w:rPr>
        <w:drawing>
          <wp:inline distT="0" distB="0" distL="0" distR="0">
            <wp:extent cx="4142740" cy="257429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pic:cNvPicPr>
                  </pic:nvPicPr>
                  <pic:blipFill>
                    <a:blip r:embed="rId12"/>
                    <a:stretch>
                      <a:fillRect/>
                    </a:stretch>
                  </pic:blipFill>
                  <pic:spPr>
                    <a:xfrm>
                      <a:off x="0" y="0"/>
                      <a:ext cx="4149256" cy="2578315"/>
                    </a:xfrm>
                    <a:prstGeom prst="rect">
                      <a:avLst/>
                    </a:prstGeom>
                  </pic:spPr>
                </pic:pic>
              </a:graphicData>
            </a:graphic>
          </wp:inline>
        </w:drawing>
      </w:r>
    </w:p>
    <w:p w14:paraId="3BC9E2E3">
      <w:pPr>
        <w:jc w:val="center"/>
      </w:pPr>
    </w:p>
    <w:p w14:paraId="7A0C8273">
      <w:pPr>
        <w:pStyle w:val="14"/>
        <w:rPr>
          <w:rFonts w:ascii="Times New Roman" w:hAnsi="Times New Roman" w:cs="Times New Roman"/>
          <w:sz w:val="24"/>
          <w:szCs w:val="24"/>
        </w:rPr>
      </w:pPr>
      <w:bookmarkStart w:id="565" w:name="_Toc197885028"/>
      <w:r>
        <w:rPr>
          <w:rFonts w:ascii="Times New Roman" w:hAnsi="Times New Roman" w:cs="Times New Roman"/>
          <w:sz w:val="24"/>
          <w:szCs w:val="24"/>
        </w:rPr>
        <w:t xml:space="preserve">Figure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Figure \* ARABIC </w:instrText>
      </w:r>
      <w:r>
        <w:rPr>
          <w:rFonts w:ascii="Times New Roman" w:hAnsi="Times New Roman" w:cs="Times New Roman"/>
          <w:sz w:val="24"/>
          <w:szCs w:val="24"/>
        </w:rPr>
        <w:fldChar w:fldCharType="separate"/>
      </w:r>
      <w:r>
        <w:rPr>
          <w:rFonts w:ascii="Times New Roman" w:hAnsi="Times New Roman" w:cs="Times New Roman"/>
          <w:sz w:val="24"/>
          <w:szCs w:val="24"/>
        </w:rPr>
        <w:t>6</w:t>
      </w:r>
      <w:r>
        <w:rPr>
          <w:rFonts w:ascii="Times New Roman" w:hAnsi="Times New Roman" w:cs="Times New Roman"/>
          <w:sz w:val="24"/>
          <w:szCs w:val="24"/>
        </w:rPr>
        <w:fldChar w:fldCharType="end"/>
      </w:r>
      <w:r>
        <w:rPr>
          <w:rFonts w:ascii="Times New Roman" w:hAnsi="Times New Roman" w:cs="Times New Roman"/>
          <w:sz w:val="24"/>
          <w:szCs w:val="24"/>
        </w:rPr>
        <w:t>: Reasons of unwillingness to vaccinate their child against malaria</w:t>
      </w:r>
      <w:bookmarkEnd w:id="565"/>
      <w:r>
        <w:rPr>
          <w:rFonts w:ascii="Times New Roman" w:hAnsi="Times New Roman" w:cs="Times New Roman"/>
          <w:sz w:val="24"/>
          <w:szCs w:val="24"/>
        </w:rPr>
        <w:t xml:space="preserve"> </w:t>
      </w:r>
    </w:p>
    <w:p w14:paraId="53638FEE"/>
    <w:p w14:paraId="20E1703D">
      <w:pPr>
        <w:spacing w:line="360" w:lineRule="auto"/>
        <w:jc w:val="both"/>
      </w:pPr>
    </w:p>
    <w:p w14:paraId="6E5A768D">
      <w:pPr>
        <w:spacing w:line="360" w:lineRule="auto"/>
        <w:jc w:val="both"/>
        <w:rPr>
          <w:rFonts w:ascii="Times New Roman" w:hAnsi="Times New Roman" w:cs="Times New Roman"/>
          <w:b/>
          <w:sz w:val="24"/>
          <w:szCs w:val="24"/>
        </w:rPr>
      </w:pPr>
      <w:r>
        <w:rPr>
          <w:rFonts w:ascii="Times New Roman" w:hAnsi="Times New Roman" w:cs="Times New Roman"/>
          <w:b/>
          <w:sz w:val="24"/>
          <w:szCs w:val="24"/>
        </w:rPr>
        <w:t>Factors associated with Willingness to accept malaria vaccine</w:t>
      </w:r>
    </w:p>
    <w:p w14:paraId="6682E5AB">
      <w:p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Binary logistic regression was initially conducted to identify candidate variables for the multivariable model. Variables with a p-value of less than 0.25 in the bi-variable analysis were considered for inclusion in the multivariable logistic regression model to control for potential confounding factors. Accordingly, </w:t>
      </w:r>
      <w:r>
        <w:rPr>
          <w:rFonts w:ascii="Times New Roman" w:hAnsi="Times New Roman" w:eastAsia="Times New Roman" w:cs="Times New Roman"/>
          <w:bCs/>
          <w:sz w:val="24"/>
          <w:szCs w:val="24"/>
        </w:rPr>
        <w:t>socio-demographic and socioeconomic</w:t>
      </w:r>
      <w:r>
        <w:rPr>
          <w:rFonts w:ascii="Times New Roman" w:hAnsi="Times New Roman" w:eastAsia="Times New Roman" w:cs="Times New Roman"/>
          <w:sz w:val="24"/>
          <w:szCs w:val="24"/>
        </w:rPr>
        <w:t xml:space="preserve"> related variables, </w:t>
      </w:r>
      <w:r>
        <w:rPr>
          <w:rFonts w:ascii="Times New Roman" w:hAnsi="Times New Roman" w:eastAsia="Times New Roman" w:cs="Times New Roman"/>
          <w:bCs/>
          <w:sz w:val="24"/>
          <w:szCs w:val="24"/>
        </w:rPr>
        <w:t>sex of the child</w:t>
      </w:r>
      <w:r>
        <w:rPr>
          <w:rFonts w:ascii="Times New Roman" w:hAnsi="Times New Roman" w:eastAsia="Times New Roman" w:cs="Times New Roman"/>
          <w:sz w:val="24"/>
          <w:szCs w:val="24"/>
        </w:rPr>
        <w:t xml:space="preserve">, </w:t>
      </w:r>
      <w:r>
        <w:rPr>
          <w:rFonts w:ascii="Times New Roman" w:hAnsi="Times New Roman" w:eastAsia="Times New Roman" w:cs="Times New Roman"/>
          <w:bCs/>
          <w:sz w:val="24"/>
          <w:szCs w:val="24"/>
        </w:rPr>
        <w:t>child’s age</w:t>
      </w:r>
      <w:r>
        <w:rPr>
          <w:rFonts w:ascii="Times New Roman" w:hAnsi="Times New Roman" w:eastAsia="Times New Roman" w:cs="Times New Roman"/>
          <w:sz w:val="24"/>
          <w:szCs w:val="24"/>
        </w:rPr>
        <w:t xml:space="preserve">, </w:t>
      </w:r>
      <w:r>
        <w:rPr>
          <w:rFonts w:ascii="Times New Roman" w:hAnsi="Times New Roman" w:eastAsia="Times New Roman" w:cs="Times New Roman"/>
          <w:bCs/>
          <w:sz w:val="24"/>
          <w:szCs w:val="24"/>
        </w:rPr>
        <w:t>mother’s age</w:t>
      </w:r>
      <w:r>
        <w:rPr>
          <w:rFonts w:ascii="Times New Roman" w:hAnsi="Times New Roman" w:eastAsia="Times New Roman" w:cs="Times New Roman"/>
          <w:sz w:val="24"/>
          <w:szCs w:val="24"/>
        </w:rPr>
        <w:t xml:space="preserve">, </w:t>
      </w:r>
      <w:r>
        <w:rPr>
          <w:rFonts w:ascii="Times New Roman" w:hAnsi="Times New Roman" w:eastAsia="Times New Roman" w:cs="Times New Roman"/>
          <w:bCs/>
          <w:sz w:val="24"/>
          <w:szCs w:val="24"/>
        </w:rPr>
        <w:t>residence</w:t>
      </w:r>
      <w:r>
        <w:rPr>
          <w:rFonts w:ascii="Times New Roman" w:hAnsi="Times New Roman" w:eastAsia="Times New Roman" w:cs="Times New Roman"/>
          <w:sz w:val="24"/>
          <w:szCs w:val="24"/>
        </w:rPr>
        <w:t xml:space="preserve">, </w:t>
      </w:r>
      <w:r>
        <w:rPr>
          <w:rFonts w:ascii="Times New Roman" w:hAnsi="Times New Roman" w:eastAsia="Times New Roman" w:cs="Times New Roman"/>
          <w:bCs/>
          <w:sz w:val="24"/>
          <w:szCs w:val="24"/>
        </w:rPr>
        <w:t>educational level</w:t>
      </w:r>
      <w:r>
        <w:rPr>
          <w:rFonts w:ascii="Times New Roman" w:hAnsi="Times New Roman" w:eastAsia="Times New Roman" w:cs="Times New Roman"/>
          <w:sz w:val="24"/>
          <w:szCs w:val="24"/>
        </w:rPr>
        <w:t xml:space="preserve">, </w:t>
      </w:r>
      <w:r>
        <w:rPr>
          <w:rFonts w:ascii="Times New Roman" w:hAnsi="Times New Roman" w:eastAsia="Times New Roman" w:cs="Times New Roman"/>
          <w:bCs/>
          <w:sz w:val="24"/>
          <w:szCs w:val="24"/>
        </w:rPr>
        <w:t>occupation</w:t>
      </w:r>
      <w:r>
        <w:rPr>
          <w:rFonts w:ascii="Times New Roman" w:hAnsi="Times New Roman" w:eastAsia="Times New Roman" w:cs="Times New Roman"/>
          <w:sz w:val="24"/>
          <w:szCs w:val="24"/>
        </w:rPr>
        <w:t xml:space="preserve"> and </w:t>
      </w:r>
      <w:r>
        <w:rPr>
          <w:rFonts w:ascii="Times New Roman" w:hAnsi="Times New Roman" w:eastAsia="Times New Roman" w:cs="Times New Roman"/>
          <w:bCs/>
          <w:sz w:val="24"/>
          <w:szCs w:val="24"/>
        </w:rPr>
        <w:t>number of children</w:t>
      </w:r>
      <w:r>
        <w:rPr>
          <w:rFonts w:ascii="Times New Roman" w:hAnsi="Times New Roman" w:eastAsia="Times New Roman" w:cs="Times New Roman"/>
          <w:sz w:val="24"/>
          <w:szCs w:val="24"/>
        </w:rPr>
        <w:t xml:space="preserve">, were candidate variables. </w:t>
      </w:r>
    </w:p>
    <w:p w14:paraId="143889CE">
      <w:pPr>
        <w:spacing w:line="360" w:lineRule="auto"/>
        <w:jc w:val="both"/>
        <w:rPr>
          <w:rFonts w:ascii="Times New Roman" w:hAnsi="Times New Roman" w:cs="Times New Roman"/>
          <w:b/>
          <w:sz w:val="24"/>
          <w:szCs w:val="24"/>
        </w:rPr>
      </w:pPr>
      <w:r>
        <w:rPr>
          <w:rFonts w:ascii="Times New Roman" w:hAnsi="Times New Roman" w:eastAsia="Times New Roman" w:cs="Times New Roman"/>
          <w:sz w:val="24"/>
          <w:szCs w:val="24"/>
        </w:rPr>
        <w:t xml:space="preserve">From the </w:t>
      </w:r>
      <w:r>
        <w:rPr>
          <w:rFonts w:ascii="Times New Roman" w:hAnsi="Times New Roman" w:eastAsia="Times New Roman" w:cs="Times New Roman"/>
          <w:bCs/>
          <w:sz w:val="24"/>
          <w:szCs w:val="24"/>
        </w:rPr>
        <w:t>vaccine-related knowledge and perception</w:t>
      </w:r>
      <w:r>
        <w:rPr>
          <w:rFonts w:ascii="Times New Roman" w:hAnsi="Times New Roman" w:eastAsia="Times New Roman" w:cs="Times New Roman"/>
          <w:sz w:val="24"/>
          <w:szCs w:val="24"/>
        </w:rPr>
        <w:t xml:space="preserve"> variables, </w:t>
      </w:r>
      <w:r>
        <w:rPr>
          <w:rFonts w:ascii="Times New Roman" w:hAnsi="Times New Roman" w:eastAsia="Times New Roman" w:cs="Times New Roman"/>
          <w:bCs/>
          <w:sz w:val="24"/>
          <w:szCs w:val="24"/>
        </w:rPr>
        <w:t>knowledge about vaccines</w:t>
      </w:r>
      <w:r>
        <w:rPr>
          <w:rFonts w:ascii="Times New Roman" w:hAnsi="Times New Roman" w:eastAsia="Times New Roman" w:cs="Times New Roman"/>
          <w:sz w:val="24"/>
          <w:szCs w:val="24"/>
        </w:rPr>
        <w:t xml:space="preserve">, </w:t>
      </w:r>
      <w:r>
        <w:rPr>
          <w:rFonts w:ascii="Times New Roman" w:hAnsi="Times New Roman" w:eastAsia="Times New Roman" w:cs="Times New Roman"/>
          <w:bCs/>
          <w:sz w:val="24"/>
          <w:szCs w:val="24"/>
        </w:rPr>
        <w:t>schedule of vaccine</w:t>
      </w:r>
      <w:r>
        <w:rPr>
          <w:rFonts w:ascii="Times New Roman" w:hAnsi="Times New Roman" w:eastAsia="Times New Roman" w:cs="Times New Roman"/>
          <w:sz w:val="24"/>
          <w:szCs w:val="24"/>
        </w:rPr>
        <w:t xml:space="preserve"> and </w:t>
      </w:r>
      <w:r>
        <w:rPr>
          <w:rFonts w:ascii="Times New Roman" w:hAnsi="Times New Roman" w:eastAsia="Times New Roman" w:cs="Times New Roman"/>
          <w:bCs/>
          <w:sz w:val="24"/>
          <w:szCs w:val="24"/>
        </w:rPr>
        <w:t xml:space="preserve">recommendation of vaccine were candidate variables. </w:t>
      </w:r>
      <w:r>
        <w:rPr>
          <w:rFonts w:ascii="Times New Roman" w:hAnsi="Times New Roman" w:eastAsia="Times New Roman" w:cs="Times New Roman"/>
          <w:sz w:val="24"/>
          <w:szCs w:val="24"/>
        </w:rPr>
        <w:t xml:space="preserve">From the </w:t>
      </w:r>
      <w:r>
        <w:rPr>
          <w:rFonts w:ascii="Times New Roman" w:hAnsi="Times New Roman" w:eastAsia="Times New Roman" w:cs="Times New Roman"/>
          <w:bCs/>
          <w:sz w:val="24"/>
          <w:szCs w:val="24"/>
        </w:rPr>
        <w:t>malaria-related knowledge and perception</w:t>
      </w:r>
      <w:r>
        <w:rPr>
          <w:rFonts w:ascii="Times New Roman" w:hAnsi="Times New Roman" w:eastAsia="Times New Roman" w:cs="Times New Roman"/>
          <w:sz w:val="24"/>
          <w:szCs w:val="24"/>
        </w:rPr>
        <w:t xml:space="preserve"> variables, </w:t>
      </w:r>
      <w:r>
        <w:rPr>
          <w:rFonts w:ascii="Times New Roman" w:hAnsi="Times New Roman" w:eastAsia="Times New Roman" w:cs="Times New Roman"/>
          <w:bCs/>
          <w:sz w:val="24"/>
          <w:szCs w:val="24"/>
        </w:rPr>
        <w:t>cause of malaria, knowledge on malaria prevention</w:t>
      </w:r>
      <w:r>
        <w:rPr>
          <w:rFonts w:ascii="Times New Roman" w:hAnsi="Times New Roman" w:eastAsia="Times New Roman" w:cs="Times New Roman"/>
          <w:sz w:val="24"/>
          <w:szCs w:val="24"/>
        </w:rPr>
        <w:t xml:space="preserve">, and </w:t>
      </w:r>
      <w:r>
        <w:rPr>
          <w:rFonts w:ascii="Times New Roman" w:hAnsi="Times New Roman" w:eastAsia="Times New Roman" w:cs="Times New Roman"/>
          <w:bCs/>
          <w:sz w:val="24"/>
          <w:szCs w:val="24"/>
        </w:rPr>
        <w:t>knowledge on risk of malaria</w:t>
      </w:r>
      <w:r>
        <w:rPr>
          <w:rFonts w:ascii="Times New Roman" w:hAnsi="Times New Roman" w:eastAsia="Times New Roman" w:cs="Times New Roman"/>
          <w:sz w:val="24"/>
          <w:szCs w:val="24"/>
        </w:rPr>
        <w:t xml:space="preserve"> were candidates, additionally,</w:t>
      </w:r>
      <w:r>
        <w:rPr>
          <w:rFonts w:ascii="Times New Roman" w:hAnsi="Times New Roman" w:cs="Times New Roman"/>
          <w:b/>
          <w:sz w:val="24"/>
          <w:szCs w:val="24"/>
        </w:rPr>
        <w:t xml:space="preserve"> </w:t>
      </w:r>
      <w:r>
        <w:rPr>
          <w:rFonts w:ascii="Times New Roman" w:hAnsi="Times New Roman" w:cs="Times New Roman"/>
          <w:bCs/>
          <w:sz w:val="24"/>
          <w:szCs w:val="24"/>
        </w:rPr>
        <w:t>obtained message/training on malaria vaccine,</w:t>
      </w:r>
      <w:r>
        <w:rPr>
          <w:rFonts w:ascii="Times New Roman" w:hAnsi="Times New Roman" w:eastAsia="Times New Roman" w:cs="Times New Roman"/>
          <w:sz w:val="24"/>
          <w:szCs w:val="24"/>
        </w:rPr>
        <w:t xml:space="preserve"> </w:t>
      </w:r>
      <w:r>
        <w:rPr>
          <w:rFonts w:ascii="Times New Roman" w:hAnsi="Times New Roman" w:eastAsia="Times New Roman" w:cs="Times New Roman"/>
          <w:bCs/>
          <w:sz w:val="24"/>
          <w:szCs w:val="24"/>
        </w:rPr>
        <w:t>presence of ITN at home</w:t>
      </w:r>
      <w:r>
        <w:rPr>
          <w:rFonts w:ascii="Times New Roman" w:hAnsi="Times New Roman" w:eastAsia="Times New Roman" w:cs="Times New Roman"/>
          <w:sz w:val="24"/>
          <w:szCs w:val="24"/>
        </w:rPr>
        <w:t xml:space="preserve">, </w:t>
      </w:r>
      <w:r>
        <w:rPr>
          <w:rFonts w:ascii="Times New Roman" w:hAnsi="Times New Roman" w:eastAsia="Times New Roman" w:cs="Times New Roman"/>
          <w:bCs/>
          <w:sz w:val="24"/>
          <w:szCs w:val="24"/>
        </w:rPr>
        <w:t>distance from vaccination site</w:t>
      </w:r>
      <w:r>
        <w:rPr>
          <w:rFonts w:ascii="Times New Roman" w:hAnsi="Times New Roman" w:eastAsia="Times New Roman" w:cs="Times New Roman"/>
          <w:sz w:val="24"/>
          <w:szCs w:val="24"/>
        </w:rPr>
        <w:t xml:space="preserve">, and </w:t>
      </w:r>
      <w:r>
        <w:rPr>
          <w:rFonts w:ascii="Times New Roman" w:hAnsi="Times New Roman" w:eastAsia="Times New Roman" w:cs="Times New Roman"/>
          <w:bCs/>
          <w:sz w:val="24"/>
          <w:szCs w:val="24"/>
        </w:rPr>
        <w:t>waiting time for vaccination</w:t>
      </w:r>
      <w:r>
        <w:rPr>
          <w:rFonts w:ascii="Times New Roman" w:hAnsi="Times New Roman" w:eastAsia="Times New Roman" w:cs="Times New Roman"/>
          <w:sz w:val="24"/>
          <w:szCs w:val="24"/>
        </w:rPr>
        <w:t xml:space="preserve"> were also candidates which all together were 17 variables </w:t>
      </w:r>
    </w:p>
    <w:p w14:paraId="52D89989">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The multivariable logistic regression analysis identified several factors significantly associated with willingness to accept the malaria vaccine. These included mothers’ age, place of residence, knowledge about the preventability of malaria, distance from the vaccination site, and waiting time at the vaccination site.</w:t>
      </w:r>
    </w:p>
    <w:p w14:paraId="0004ABB8">
      <w:p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cs="Times New Roman"/>
          <w:sz w:val="24"/>
          <w:szCs w:val="24"/>
        </w:rPr>
        <w:t xml:space="preserve">Mothers aged 29–39 years were 4.3 times more likely to be willing to accept the malaria vaccine compared to those aged 18–28 years </w:t>
      </w:r>
      <w:r>
        <w:rPr>
          <w:rStyle w:val="68"/>
          <w:rFonts w:ascii="Times New Roman" w:hAnsi="Times New Roman" w:cs="Times New Roman" w:eastAsiaTheme="majorEastAsia"/>
          <w:sz w:val="24"/>
          <w:szCs w:val="24"/>
        </w:rPr>
        <w:t>AOR=4.3;95AOR = 4.3; 95% CI: 1.45, 12.82</w:t>
      </w:r>
      <w:r>
        <w:rPr>
          <w:rFonts w:ascii="Times New Roman" w:hAnsi="Times New Roman" w:cs="Times New Roman"/>
          <w:sz w:val="24"/>
          <w:szCs w:val="24"/>
        </w:rPr>
        <w:t xml:space="preserve">. Those residing in rural areas were 52% less likely to accept the malaria vaccine compared to urban residents </w:t>
      </w:r>
      <w:r>
        <w:rPr>
          <w:rStyle w:val="68"/>
          <w:rFonts w:ascii="Times New Roman" w:hAnsi="Times New Roman" w:cs="Times New Roman" w:eastAsiaTheme="majorEastAsia"/>
          <w:sz w:val="24"/>
          <w:szCs w:val="24"/>
        </w:rPr>
        <w:t>AOR=0.48;95 AOR = 0.48; 95% CI: 0.011, 0.213</w:t>
      </w:r>
      <w:r>
        <w:rPr>
          <w:rFonts w:ascii="Times New Roman" w:hAnsi="Times New Roman" w:cs="Times New Roman"/>
          <w:sz w:val="24"/>
          <w:szCs w:val="24"/>
        </w:rPr>
        <w:t>.</w:t>
      </w:r>
    </w:p>
    <w:p w14:paraId="5156D951">
      <w:pPr>
        <w:pStyle w:val="22"/>
        <w:spacing w:line="360" w:lineRule="auto"/>
        <w:jc w:val="both"/>
      </w:pPr>
      <w:r>
        <w:t xml:space="preserve">Furthermore, caregivers who had knowledge about the preventability of malaria were nearly five times more likely to accept the vaccine than those who did not </w:t>
      </w:r>
      <w:r>
        <w:rPr>
          <w:rStyle w:val="68"/>
          <w:rFonts w:eastAsiaTheme="majorEastAsia"/>
        </w:rPr>
        <w:t>AOR=4.89;95AOR = 4.89; 95% CI: 1.45, 16.42</w:t>
      </w:r>
      <w:r>
        <w:t xml:space="preserve">. In terms of proximity to the vaccination site, those who traveled less than 30 minutes were 4.6 times more likely to accept the vaccine </w:t>
      </w:r>
      <w:r>
        <w:rPr>
          <w:rStyle w:val="68"/>
          <w:rFonts w:eastAsiaTheme="majorEastAsia"/>
        </w:rPr>
        <w:t>AOR=4.56;95AOR = 4.56; 95% CI: 1.84, 11.29</w:t>
      </w:r>
      <w:r>
        <w:t xml:space="preserve">. Lastly, caregivers who waited less than 30 minutes at the vaccination site were 28.8 times more likely to accept the vaccine compared to those who waited longer </w:t>
      </w:r>
      <w:r>
        <w:rPr>
          <w:rStyle w:val="68"/>
          <w:rFonts w:eastAsiaTheme="majorEastAsia"/>
        </w:rPr>
        <w:t>AOR=28.76;95AOR = 28.76; 95% CI: 8.69, 19.11</w:t>
      </w:r>
      <w:r>
        <w:t xml:space="preserve"> (Table 7).</w:t>
      </w:r>
      <w:bookmarkStart w:id="566" w:name="_Toc197884921"/>
    </w:p>
    <w:p w14:paraId="28870821">
      <w:pPr>
        <w:pStyle w:val="22"/>
        <w:spacing w:line="360" w:lineRule="auto"/>
        <w:jc w:val="both"/>
      </w:pPr>
      <w:r>
        <w:t xml:space="preserve">Table </w:t>
      </w:r>
      <w:r>
        <w:fldChar w:fldCharType="begin"/>
      </w:r>
      <w:r>
        <w:instrText xml:space="preserve"> SEQ Table \* ARABIC </w:instrText>
      </w:r>
      <w:r>
        <w:fldChar w:fldCharType="separate"/>
      </w:r>
      <w:r>
        <w:t>5</w:t>
      </w:r>
      <w:r>
        <w:fldChar w:fldCharType="end"/>
      </w:r>
      <w:r>
        <w:t>: Factors associated with willingness to accept malaria vaccine among mothers attending immunization services at public health facilities in Nekemte city, west Ethiopia, May, 2025</w:t>
      </w:r>
      <w:bookmarkEnd w:id="566"/>
    </w:p>
    <w:tbl>
      <w:tblPr>
        <w:tblStyle w:val="12"/>
        <w:tblW w:w="10350" w:type="dxa"/>
        <w:tblInd w:w="1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00"/>
        <w:gridCol w:w="1440"/>
        <w:gridCol w:w="1440"/>
        <w:gridCol w:w="1980"/>
        <w:gridCol w:w="2012"/>
        <w:gridCol w:w="778"/>
      </w:tblGrid>
      <w:tr w14:paraId="79D6F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700" w:type="dxa"/>
            <w:vMerge w:val="restart"/>
          </w:tcPr>
          <w:p w14:paraId="24D12CA3">
            <w:r>
              <w:rPr>
                <w:b/>
                <w:bCs/>
              </w:rPr>
              <w:t>Characteristics (n = 334)</w:t>
            </w:r>
          </w:p>
        </w:tc>
        <w:tc>
          <w:tcPr>
            <w:tcW w:w="2880" w:type="dxa"/>
            <w:gridSpan w:val="2"/>
          </w:tcPr>
          <w:p w14:paraId="4A742225">
            <w:pPr>
              <w:rPr>
                <w:b/>
                <w:bCs/>
              </w:rPr>
            </w:pPr>
            <w:r>
              <w:rPr>
                <w:b/>
                <w:bCs/>
              </w:rPr>
              <w:t>Willingness to accept malaria vaccine</w:t>
            </w:r>
          </w:p>
        </w:tc>
        <w:tc>
          <w:tcPr>
            <w:tcW w:w="1980" w:type="dxa"/>
            <w:vMerge w:val="restart"/>
          </w:tcPr>
          <w:p w14:paraId="78B964CD">
            <w:pPr>
              <w:rPr>
                <w:b/>
                <w:bCs/>
              </w:rPr>
            </w:pPr>
          </w:p>
          <w:p w14:paraId="3193473A">
            <w:r>
              <w:rPr>
                <w:b/>
                <w:bCs/>
              </w:rPr>
              <w:t>COR(95%CI)</w:t>
            </w:r>
          </w:p>
        </w:tc>
        <w:tc>
          <w:tcPr>
            <w:tcW w:w="2012" w:type="dxa"/>
            <w:vMerge w:val="restart"/>
          </w:tcPr>
          <w:p w14:paraId="66FBB539">
            <w:pPr>
              <w:rPr>
                <w:b/>
                <w:bCs/>
              </w:rPr>
            </w:pPr>
          </w:p>
          <w:p w14:paraId="3A3DCC36">
            <w:pPr>
              <w:rPr>
                <w:b/>
                <w:bCs/>
              </w:rPr>
            </w:pPr>
            <w:r>
              <w:rPr>
                <w:b/>
                <w:bCs/>
              </w:rPr>
              <w:t>AOR[95% CI]</w:t>
            </w:r>
          </w:p>
        </w:tc>
        <w:tc>
          <w:tcPr>
            <w:tcW w:w="778" w:type="dxa"/>
            <w:vMerge w:val="restart"/>
          </w:tcPr>
          <w:p w14:paraId="44FA4D00">
            <w:pPr>
              <w:spacing w:after="200" w:line="276" w:lineRule="auto"/>
              <w:rPr>
                <w:b/>
                <w:bCs/>
              </w:rPr>
            </w:pPr>
          </w:p>
          <w:p w14:paraId="7E373FC9">
            <w:pPr>
              <w:rPr>
                <w:b/>
                <w:bCs/>
              </w:rPr>
            </w:pPr>
            <w:r>
              <w:rPr>
                <w:b/>
                <w:bCs/>
              </w:rPr>
              <w:t>p.valu</w:t>
            </w:r>
          </w:p>
        </w:tc>
      </w:tr>
      <w:tr w14:paraId="1C96F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700" w:type="dxa"/>
            <w:vMerge w:val="continue"/>
            <w:vAlign w:val="center"/>
          </w:tcPr>
          <w:p w14:paraId="5A62EF09"/>
        </w:tc>
        <w:tc>
          <w:tcPr>
            <w:tcW w:w="1440" w:type="dxa"/>
          </w:tcPr>
          <w:p w14:paraId="4ECC6066">
            <w:pPr>
              <w:rPr>
                <w:b/>
              </w:rPr>
            </w:pPr>
            <w:r>
              <w:rPr>
                <w:b/>
              </w:rPr>
              <w:t xml:space="preserve">  Yes</w:t>
            </w:r>
          </w:p>
        </w:tc>
        <w:tc>
          <w:tcPr>
            <w:tcW w:w="1440" w:type="dxa"/>
          </w:tcPr>
          <w:p w14:paraId="7E65015B">
            <w:pPr>
              <w:rPr>
                <w:b/>
              </w:rPr>
            </w:pPr>
            <w:r>
              <w:rPr>
                <w:b/>
              </w:rPr>
              <w:t xml:space="preserve">  No</w:t>
            </w:r>
          </w:p>
        </w:tc>
        <w:tc>
          <w:tcPr>
            <w:tcW w:w="1980" w:type="dxa"/>
            <w:vMerge w:val="continue"/>
            <w:vAlign w:val="center"/>
          </w:tcPr>
          <w:p w14:paraId="594141F4"/>
        </w:tc>
        <w:tc>
          <w:tcPr>
            <w:tcW w:w="2012" w:type="dxa"/>
            <w:vMerge w:val="continue"/>
          </w:tcPr>
          <w:p w14:paraId="3E45E7E1"/>
        </w:tc>
        <w:tc>
          <w:tcPr>
            <w:tcW w:w="778" w:type="dxa"/>
            <w:vMerge w:val="continue"/>
          </w:tcPr>
          <w:p w14:paraId="2A9658FA"/>
        </w:tc>
      </w:tr>
      <w:tr w14:paraId="35EBA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2700" w:type="dxa"/>
            <w:vAlign w:val="center"/>
          </w:tcPr>
          <w:p w14:paraId="68D0033D">
            <w:pPr>
              <w:rPr>
                <w:b/>
              </w:rPr>
            </w:pPr>
            <w:r>
              <w:rPr>
                <w:b/>
              </w:rPr>
              <w:t>mother’s age</w:t>
            </w:r>
          </w:p>
        </w:tc>
        <w:tc>
          <w:tcPr>
            <w:tcW w:w="1440" w:type="dxa"/>
            <w:vAlign w:val="center"/>
          </w:tcPr>
          <w:p w14:paraId="7AB915D7"/>
        </w:tc>
        <w:tc>
          <w:tcPr>
            <w:tcW w:w="1440" w:type="dxa"/>
            <w:vAlign w:val="center"/>
          </w:tcPr>
          <w:p w14:paraId="0577BA69"/>
        </w:tc>
        <w:tc>
          <w:tcPr>
            <w:tcW w:w="1980" w:type="dxa"/>
            <w:vAlign w:val="center"/>
          </w:tcPr>
          <w:p w14:paraId="46325E67"/>
        </w:tc>
        <w:tc>
          <w:tcPr>
            <w:tcW w:w="2012" w:type="dxa"/>
          </w:tcPr>
          <w:p w14:paraId="69CC7A13"/>
        </w:tc>
        <w:tc>
          <w:tcPr>
            <w:tcW w:w="778" w:type="dxa"/>
          </w:tcPr>
          <w:p w14:paraId="7A1C316B"/>
        </w:tc>
      </w:tr>
      <w:tr w14:paraId="3E875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2700" w:type="dxa"/>
          </w:tcPr>
          <w:p w14:paraId="3F3F91C6">
            <w:r>
              <w:t>18-28 years</w:t>
            </w:r>
          </w:p>
        </w:tc>
        <w:tc>
          <w:tcPr>
            <w:tcW w:w="1440" w:type="dxa"/>
            <w:vAlign w:val="center"/>
          </w:tcPr>
          <w:p w14:paraId="1C80941A">
            <w:r>
              <w:t>148 (96.1%)</w:t>
            </w:r>
          </w:p>
        </w:tc>
        <w:tc>
          <w:tcPr>
            <w:tcW w:w="1440" w:type="dxa"/>
            <w:vAlign w:val="center"/>
          </w:tcPr>
          <w:p w14:paraId="5D7FEB3A">
            <w:r>
              <w:t>6 (3.9%)</w:t>
            </w:r>
          </w:p>
        </w:tc>
        <w:tc>
          <w:tcPr>
            <w:tcW w:w="1980" w:type="dxa"/>
          </w:tcPr>
          <w:p w14:paraId="6B826880">
            <w:r>
              <w:t>1</w:t>
            </w:r>
          </w:p>
        </w:tc>
        <w:tc>
          <w:tcPr>
            <w:tcW w:w="2012" w:type="dxa"/>
          </w:tcPr>
          <w:p w14:paraId="2179F4AF">
            <w:r>
              <w:t>1</w:t>
            </w:r>
          </w:p>
        </w:tc>
        <w:tc>
          <w:tcPr>
            <w:tcW w:w="778" w:type="dxa"/>
          </w:tcPr>
          <w:p w14:paraId="7E19B73D"/>
        </w:tc>
      </w:tr>
      <w:tr w14:paraId="3ACA2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trPr>
        <w:tc>
          <w:tcPr>
            <w:tcW w:w="2700" w:type="dxa"/>
          </w:tcPr>
          <w:p w14:paraId="06E20508">
            <w:r>
              <w:t>29-39 years</w:t>
            </w:r>
          </w:p>
        </w:tc>
        <w:tc>
          <w:tcPr>
            <w:tcW w:w="1440" w:type="dxa"/>
            <w:vAlign w:val="center"/>
          </w:tcPr>
          <w:p w14:paraId="7E116B44">
            <w:r>
              <w:t>150 (83.3%)</w:t>
            </w:r>
          </w:p>
        </w:tc>
        <w:tc>
          <w:tcPr>
            <w:tcW w:w="1440" w:type="dxa"/>
            <w:vAlign w:val="center"/>
          </w:tcPr>
          <w:p w14:paraId="51643989">
            <w:r>
              <w:t>30 (16.7%)</w:t>
            </w:r>
          </w:p>
        </w:tc>
        <w:tc>
          <w:tcPr>
            <w:tcW w:w="1980" w:type="dxa"/>
            <w:vAlign w:val="center"/>
          </w:tcPr>
          <w:p w14:paraId="4FE47FCB">
            <w:r>
              <w:t>0.203</w:t>
            </w:r>
            <w:r>
              <w:tab/>
            </w:r>
            <w:r>
              <w:t>[0.082,0.5]</w:t>
            </w:r>
          </w:p>
        </w:tc>
        <w:tc>
          <w:tcPr>
            <w:tcW w:w="2012" w:type="dxa"/>
          </w:tcPr>
          <w:p w14:paraId="38AD098E">
            <w:r>
              <w:t>4.306 [1.45, 12.82]*</w:t>
            </w:r>
          </w:p>
        </w:tc>
        <w:tc>
          <w:tcPr>
            <w:tcW w:w="778" w:type="dxa"/>
          </w:tcPr>
          <w:p w14:paraId="74FE93B5">
            <w:r>
              <w:t>0.03*</w:t>
            </w:r>
          </w:p>
        </w:tc>
      </w:tr>
      <w:tr w14:paraId="286B5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2700" w:type="dxa"/>
          </w:tcPr>
          <w:p w14:paraId="66F230ED">
            <w:pPr>
              <w:rPr>
                <w:b/>
              </w:rPr>
            </w:pPr>
            <w:r>
              <w:rPr>
                <w:b/>
              </w:rPr>
              <w:t>Residence</w:t>
            </w:r>
          </w:p>
        </w:tc>
        <w:tc>
          <w:tcPr>
            <w:tcW w:w="1440" w:type="dxa"/>
            <w:vAlign w:val="center"/>
          </w:tcPr>
          <w:p w14:paraId="52195B2B"/>
        </w:tc>
        <w:tc>
          <w:tcPr>
            <w:tcW w:w="1440" w:type="dxa"/>
            <w:vAlign w:val="center"/>
          </w:tcPr>
          <w:p w14:paraId="761D39A6"/>
        </w:tc>
        <w:tc>
          <w:tcPr>
            <w:tcW w:w="1980" w:type="dxa"/>
          </w:tcPr>
          <w:p w14:paraId="4A5F729D"/>
        </w:tc>
        <w:tc>
          <w:tcPr>
            <w:tcW w:w="2012" w:type="dxa"/>
          </w:tcPr>
          <w:p w14:paraId="2A8FEC8B"/>
        </w:tc>
        <w:tc>
          <w:tcPr>
            <w:tcW w:w="778" w:type="dxa"/>
          </w:tcPr>
          <w:p w14:paraId="10AAD827"/>
        </w:tc>
      </w:tr>
      <w:tr w14:paraId="1DADDE3F">
        <w:tblPrEx>
          <w:tblCellMar>
            <w:top w:w="0" w:type="dxa"/>
            <w:left w:w="108" w:type="dxa"/>
            <w:bottom w:w="0" w:type="dxa"/>
            <w:right w:w="108" w:type="dxa"/>
          </w:tblCellMar>
        </w:tblPrEx>
        <w:trPr>
          <w:trHeight w:val="71" w:hRule="atLeast"/>
        </w:trPr>
        <w:tc>
          <w:tcPr>
            <w:tcW w:w="2700" w:type="dxa"/>
          </w:tcPr>
          <w:p w14:paraId="725B8FF3">
            <w:r>
              <w:t>Urban</w:t>
            </w:r>
          </w:p>
        </w:tc>
        <w:tc>
          <w:tcPr>
            <w:tcW w:w="1440" w:type="dxa"/>
          </w:tcPr>
          <w:p w14:paraId="33A4DE51">
            <w:r>
              <w:t>242 (87.1%)</w:t>
            </w:r>
          </w:p>
        </w:tc>
        <w:tc>
          <w:tcPr>
            <w:tcW w:w="1440" w:type="dxa"/>
          </w:tcPr>
          <w:p w14:paraId="029A4E0C">
            <w:r>
              <w:t>21 (8.0%)</w:t>
            </w:r>
          </w:p>
        </w:tc>
        <w:tc>
          <w:tcPr>
            <w:tcW w:w="1980" w:type="dxa"/>
            <w:vAlign w:val="center"/>
          </w:tcPr>
          <w:p w14:paraId="11EBD0FD">
            <w:r>
              <w:t>1</w:t>
            </w:r>
          </w:p>
        </w:tc>
        <w:tc>
          <w:tcPr>
            <w:tcW w:w="2012" w:type="dxa"/>
          </w:tcPr>
          <w:p w14:paraId="535788C0">
            <w:r>
              <w:t>1</w:t>
            </w:r>
          </w:p>
        </w:tc>
        <w:tc>
          <w:tcPr>
            <w:tcW w:w="778" w:type="dxa"/>
          </w:tcPr>
          <w:p w14:paraId="13FBB3A1"/>
        </w:tc>
      </w:tr>
      <w:tr w14:paraId="075AE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trPr>
        <w:tc>
          <w:tcPr>
            <w:tcW w:w="2700" w:type="dxa"/>
          </w:tcPr>
          <w:p w14:paraId="31FA6776">
            <w:r>
              <w:t>Rural</w:t>
            </w:r>
          </w:p>
        </w:tc>
        <w:tc>
          <w:tcPr>
            <w:tcW w:w="1440" w:type="dxa"/>
          </w:tcPr>
          <w:p w14:paraId="3780906C">
            <w:r>
              <w:t>56 (78.9%)</w:t>
            </w:r>
          </w:p>
        </w:tc>
        <w:tc>
          <w:tcPr>
            <w:tcW w:w="1440" w:type="dxa"/>
          </w:tcPr>
          <w:p w14:paraId="63A8A1C4">
            <w:r>
              <w:t>15 (21.1%)</w:t>
            </w:r>
          </w:p>
        </w:tc>
        <w:tc>
          <w:tcPr>
            <w:tcW w:w="1980" w:type="dxa"/>
            <w:vAlign w:val="center"/>
          </w:tcPr>
          <w:p w14:paraId="4612A89D">
            <w:r>
              <w:t>0.32 [0.16, 0.67]</w:t>
            </w:r>
          </w:p>
        </w:tc>
        <w:tc>
          <w:tcPr>
            <w:tcW w:w="2012" w:type="dxa"/>
          </w:tcPr>
          <w:p w14:paraId="143AAB06">
            <w:r>
              <w:t>0.48 [0.01, 0.21]*</w:t>
            </w:r>
          </w:p>
        </w:tc>
        <w:tc>
          <w:tcPr>
            <w:tcW w:w="778" w:type="dxa"/>
          </w:tcPr>
          <w:p w14:paraId="4A7C4BFE">
            <w:r>
              <w:t>0.01*</w:t>
            </w:r>
          </w:p>
        </w:tc>
      </w:tr>
      <w:tr w14:paraId="7E9FC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0" w:type="dxa"/>
            <w:vAlign w:val="center"/>
          </w:tcPr>
          <w:p w14:paraId="2370B2CC">
            <w:pPr>
              <w:rPr>
                <w:b/>
              </w:rPr>
            </w:pPr>
            <w:r>
              <w:rPr>
                <w:b/>
              </w:rPr>
              <w:t>Educational level</w:t>
            </w:r>
          </w:p>
        </w:tc>
        <w:tc>
          <w:tcPr>
            <w:tcW w:w="1440" w:type="dxa"/>
            <w:vAlign w:val="center"/>
          </w:tcPr>
          <w:p w14:paraId="235E48A4"/>
        </w:tc>
        <w:tc>
          <w:tcPr>
            <w:tcW w:w="1440" w:type="dxa"/>
            <w:vAlign w:val="center"/>
          </w:tcPr>
          <w:p w14:paraId="48A3797A"/>
        </w:tc>
        <w:tc>
          <w:tcPr>
            <w:tcW w:w="1980" w:type="dxa"/>
            <w:vAlign w:val="center"/>
          </w:tcPr>
          <w:p w14:paraId="09F2EEB8"/>
        </w:tc>
        <w:tc>
          <w:tcPr>
            <w:tcW w:w="2012" w:type="dxa"/>
          </w:tcPr>
          <w:p w14:paraId="354853A4"/>
        </w:tc>
        <w:tc>
          <w:tcPr>
            <w:tcW w:w="778" w:type="dxa"/>
          </w:tcPr>
          <w:p w14:paraId="5281BC92"/>
        </w:tc>
      </w:tr>
      <w:tr w14:paraId="6F2199B4">
        <w:tblPrEx>
          <w:tblCellMar>
            <w:top w:w="0" w:type="dxa"/>
            <w:left w:w="108" w:type="dxa"/>
            <w:bottom w:w="0" w:type="dxa"/>
            <w:right w:w="108" w:type="dxa"/>
          </w:tblCellMar>
        </w:tblPrEx>
        <w:trPr>
          <w:trHeight w:val="61" w:hRule="atLeast"/>
        </w:trPr>
        <w:tc>
          <w:tcPr>
            <w:tcW w:w="2700" w:type="dxa"/>
            <w:vAlign w:val="center"/>
          </w:tcPr>
          <w:p w14:paraId="1924B4AD">
            <w:r>
              <w:t>Illiterate</w:t>
            </w:r>
          </w:p>
        </w:tc>
        <w:tc>
          <w:tcPr>
            <w:tcW w:w="1440" w:type="dxa"/>
            <w:vAlign w:val="center"/>
          </w:tcPr>
          <w:p w14:paraId="3FF79C30">
            <w:r>
              <w:t>44 (72.1%)</w:t>
            </w:r>
          </w:p>
        </w:tc>
        <w:tc>
          <w:tcPr>
            <w:tcW w:w="1440" w:type="dxa"/>
            <w:vAlign w:val="center"/>
          </w:tcPr>
          <w:p w14:paraId="79A45647">
            <w:r>
              <w:t>17 (27.9%)</w:t>
            </w:r>
          </w:p>
        </w:tc>
        <w:tc>
          <w:tcPr>
            <w:tcW w:w="1980" w:type="dxa"/>
            <w:vAlign w:val="center"/>
          </w:tcPr>
          <w:p w14:paraId="721C349F">
            <w:r>
              <w:t>0.15 [0.05, 0.44]</w:t>
            </w:r>
          </w:p>
        </w:tc>
        <w:tc>
          <w:tcPr>
            <w:tcW w:w="2012" w:type="dxa"/>
          </w:tcPr>
          <w:p w14:paraId="0ED9B0B9">
            <w:r>
              <w:t>0.546 [0.14, 2.15]</w:t>
            </w:r>
          </w:p>
        </w:tc>
        <w:tc>
          <w:tcPr>
            <w:tcW w:w="778" w:type="dxa"/>
          </w:tcPr>
          <w:p w14:paraId="4CD6C1CD">
            <w:r>
              <w:t>0.06</w:t>
            </w:r>
          </w:p>
        </w:tc>
      </w:tr>
      <w:tr w14:paraId="47D11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2700" w:type="dxa"/>
            <w:vAlign w:val="center"/>
          </w:tcPr>
          <w:p w14:paraId="532B09EF">
            <w:r>
              <w:t>Primary school (1-8)</w:t>
            </w:r>
          </w:p>
        </w:tc>
        <w:tc>
          <w:tcPr>
            <w:tcW w:w="1440" w:type="dxa"/>
            <w:vAlign w:val="center"/>
          </w:tcPr>
          <w:p w14:paraId="7E265785">
            <w:r>
              <w:t>71 (88.8%)</w:t>
            </w:r>
          </w:p>
        </w:tc>
        <w:tc>
          <w:tcPr>
            <w:tcW w:w="1440" w:type="dxa"/>
            <w:vAlign w:val="center"/>
          </w:tcPr>
          <w:p w14:paraId="0C1A1F9D">
            <w:r>
              <w:t>9 (11.3%)</w:t>
            </w:r>
          </w:p>
        </w:tc>
        <w:tc>
          <w:tcPr>
            <w:tcW w:w="1980" w:type="dxa"/>
            <w:vAlign w:val="center"/>
          </w:tcPr>
          <w:p w14:paraId="645641D7">
            <w:r>
              <w:t>0.46 [.15, 1.45]</w:t>
            </w:r>
          </w:p>
        </w:tc>
        <w:tc>
          <w:tcPr>
            <w:tcW w:w="2012" w:type="dxa"/>
          </w:tcPr>
          <w:p w14:paraId="035D7B0B">
            <w:r>
              <w:t>0.924 [0.26, 3.35]</w:t>
            </w:r>
          </w:p>
        </w:tc>
        <w:tc>
          <w:tcPr>
            <w:tcW w:w="778" w:type="dxa"/>
          </w:tcPr>
          <w:p w14:paraId="574C5D62">
            <w:r>
              <w:t>0.09</w:t>
            </w:r>
          </w:p>
        </w:tc>
      </w:tr>
      <w:tr w14:paraId="34592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2700" w:type="dxa"/>
            <w:vAlign w:val="center"/>
          </w:tcPr>
          <w:p w14:paraId="3FBD4E71">
            <w:r>
              <w:t>Secondary school (9-12)</w:t>
            </w:r>
          </w:p>
        </w:tc>
        <w:tc>
          <w:tcPr>
            <w:tcW w:w="1440" w:type="dxa"/>
            <w:vAlign w:val="center"/>
          </w:tcPr>
          <w:p w14:paraId="5D15C576">
            <w:r>
              <w:t>98 (95.1%)</w:t>
            </w:r>
          </w:p>
        </w:tc>
        <w:tc>
          <w:tcPr>
            <w:tcW w:w="1440" w:type="dxa"/>
            <w:vAlign w:val="center"/>
          </w:tcPr>
          <w:p w14:paraId="1CD66D1C">
            <w:r>
              <w:t>5 (4.9%)</w:t>
            </w:r>
          </w:p>
        </w:tc>
        <w:tc>
          <w:tcPr>
            <w:tcW w:w="1980" w:type="dxa"/>
            <w:vAlign w:val="center"/>
          </w:tcPr>
          <w:p w14:paraId="704F1252">
            <w:r>
              <w:t>1.15 [.323, 4.12]</w:t>
            </w:r>
          </w:p>
        </w:tc>
        <w:tc>
          <w:tcPr>
            <w:tcW w:w="2012" w:type="dxa"/>
          </w:tcPr>
          <w:p w14:paraId="0C4C7638">
            <w:r>
              <w:t>2.118 [0.36, 12.65]</w:t>
            </w:r>
          </w:p>
        </w:tc>
        <w:tc>
          <w:tcPr>
            <w:tcW w:w="778" w:type="dxa"/>
          </w:tcPr>
          <w:p w14:paraId="4CEC8CAA">
            <w:r>
              <w:t>0.09</w:t>
            </w:r>
          </w:p>
        </w:tc>
      </w:tr>
      <w:tr w14:paraId="51118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2700" w:type="dxa"/>
            <w:vAlign w:val="center"/>
          </w:tcPr>
          <w:p w14:paraId="0FEDA431">
            <w:r>
              <w:t>College and above</w:t>
            </w:r>
          </w:p>
        </w:tc>
        <w:tc>
          <w:tcPr>
            <w:tcW w:w="1440" w:type="dxa"/>
            <w:vAlign w:val="center"/>
          </w:tcPr>
          <w:p w14:paraId="1F072DF3">
            <w:r>
              <w:t>85 (94.4%)</w:t>
            </w:r>
          </w:p>
        </w:tc>
        <w:tc>
          <w:tcPr>
            <w:tcW w:w="1440" w:type="dxa"/>
            <w:vAlign w:val="center"/>
          </w:tcPr>
          <w:p w14:paraId="0896AA7E">
            <w:r>
              <w:t>5 (5.6%)</w:t>
            </w:r>
          </w:p>
        </w:tc>
        <w:tc>
          <w:tcPr>
            <w:tcW w:w="1980" w:type="dxa"/>
            <w:vAlign w:val="center"/>
          </w:tcPr>
          <w:p w14:paraId="694E8BDB">
            <w:r>
              <w:t>1</w:t>
            </w:r>
          </w:p>
        </w:tc>
        <w:tc>
          <w:tcPr>
            <w:tcW w:w="2012" w:type="dxa"/>
          </w:tcPr>
          <w:p w14:paraId="29EB0109">
            <w:r>
              <w:t>1</w:t>
            </w:r>
          </w:p>
        </w:tc>
        <w:tc>
          <w:tcPr>
            <w:tcW w:w="778" w:type="dxa"/>
          </w:tcPr>
          <w:p w14:paraId="510158B1"/>
        </w:tc>
      </w:tr>
      <w:tr w14:paraId="6D89F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700" w:type="dxa"/>
            <w:vAlign w:val="center"/>
          </w:tcPr>
          <w:p w14:paraId="0442E501">
            <w:pPr>
              <w:rPr>
                <w:b/>
              </w:rPr>
            </w:pPr>
            <w:r>
              <w:rPr>
                <w:b/>
              </w:rPr>
              <w:t>Occupation</w:t>
            </w:r>
          </w:p>
        </w:tc>
        <w:tc>
          <w:tcPr>
            <w:tcW w:w="1440" w:type="dxa"/>
            <w:vAlign w:val="center"/>
          </w:tcPr>
          <w:p w14:paraId="1FE0FE9D">
            <w:pPr>
              <w:rPr>
                <w:b/>
              </w:rPr>
            </w:pPr>
          </w:p>
        </w:tc>
        <w:tc>
          <w:tcPr>
            <w:tcW w:w="1440" w:type="dxa"/>
            <w:vAlign w:val="center"/>
          </w:tcPr>
          <w:p w14:paraId="7976E92D">
            <w:pPr>
              <w:rPr>
                <w:b/>
              </w:rPr>
            </w:pPr>
          </w:p>
        </w:tc>
        <w:tc>
          <w:tcPr>
            <w:tcW w:w="1980" w:type="dxa"/>
            <w:vAlign w:val="center"/>
          </w:tcPr>
          <w:p w14:paraId="3ACFA4FD">
            <w:pPr>
              <w:rPr>
                <w:b/>
              </w:rPr>
            </w:pPr>
          </w:p>
        </w:tc>
        <w:tc>
          <w:tcPr>
            <w:tcW w:w="2012" w:type="dxa"/>
          </w:tcPr>
          <w:p w14:paraId="008D44B9">
            <w:pPr>
              <w:rPr>
                <w:b/>
              </w:rPr>
            </w:pPr>
          </w:p>
        </w:tc>
        <w:tc>
          <w:tcPr>
            <w:tcW w:w="778" w:type="dxa"/>
          </w:tcPr>
          <w:p w14:paraId="5B03E87E">
            <w:pPr>
              <w:rPr>
                <w:b/>
              </w:rPr>
            </w:pPr>
          </w:p>
        </w:tc>
      </w:tr>
      <w:tr w14:paraId="09C51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700" w:type="dxa"/>
            <w:vAlign w:val="center"/>
          </w:tcPr>
          <w:p w14:paraId="5F5E7503">
            <w:r>
              <w:t xml:space="preserve">Unemployed </w:t>
            </w:r>
          </w:p>
        </w:tc>
        <w:tc>
          <w:tcPr>
            <w:tcW w:w="1440" w:type="dxa"/>
            <w:vAlign w:val="center"/>
          </w:tcPr>
          <w:p w14:paraId="424E99DA">
            <w:r>
              <w:t>224 (87.8%)</w:t>
            </w:r>
          </w:p>
        </w:tc>
        <w:tc>
          <w:tcPr>
            <w:tcW w:w="1440" w:type="dxa"/>
            <w:vAlign w:val="center"/>
          </w:tcPr>
          <w:p w14:paraId="3147B32D">
            <w:r>
              <w:t>31 (12.2%)</w:t>
            </w:r>
          </w:p>
        </w:tc>
        <w:tc>
          <w:tcPr>
            <w:tcW w:w="1980" w:type="dxa"/>
            <w:vAlign w:val="center"/>
          </w:tcPr>
          <w:p w14:paraId="52F57365">
            <w:r>
              <w:t>0.48 [0.18, 1.3]</w:t>
            </w:r>
          </w:p>
        </w:tc>
        <w:tc>
          <w:tcPr>
            <w:tcW w:w="2012" w:type="dxa"/>
          </w:tcPr>
          <w:p w14:paraId="3F046E7A">
            <w:r>
              <w:t>0.51 [0.13, 1.93]</w:t>
            </w:r>
          </w:p>
        </w:tc>
        <w:tc>
          <w:tcPr>
            <w:tcW w:w="778" w:type="dxa"/>
          </w:tcPr>
          <w:p w14:paraId="7EA36889">
            <w:r>
              <w:t>0.29</w:t>
            </w:r>
          </w:p>
        </w:tc>
      </w:tr>
      <w:tr w14:paraId="2496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700" w:type="dxa"/>
            <w:vAlign w:val="center"/>
          </w:tcPr>
          <w:p w14:paraId="7F5D70D9">
            <w:r>
              <w:t xml:space="preserve">Employed </w:t>
            </w:r>
          </w:p>
        </w:tc>
        <w:tc>
          <w:tcPr>
            <w:tcW w:w="1440" w:type="dxa"/>
            <w:vAlign w:val="center"/>
          </w:tcPr>
          <w:p w14:paraId="62D61E31">
            <w:r>
              <w:t>74 (93.7%)</w:t>
            </w:r>
          </w:p>
        </w:tc>
        <w:tc>
          <w:tcPr>
            <w:tcW w:w="1440" w:type="dxa"/>
            <w:vAlign w:val="center"/>
          </w:tcPr>
          <w:p w14:paraId="47296C08">
            <w:r>
              <w:t>5 (6.3%)</w:t>
            </w:r>
          </w:p>
        </w:tc>
        <w:tc>
          <w:tcPr>
            <w:tcW w:w="1980" w:type="dxa"/>
            <w:vAlign w:val="center"/>
          </w:tcPr>
          <w:p w14:paraId="590FC66B">
            <w:r>
              <w:t>1</w:t>
            </w:r>
          </w:p>
        </w:tc>
        <w:tc>
          <w:tcPr>
            <w:tcW w:w="2012" w:type="dxa"/>
          </w:tcPr>
          <w:p w14:paraId="1296F280">
            <w:r>
              <w:t>1</w:t>
            </w:r>
          </w:p>
        </w:tc>
        <w:tc>
          <w:tcPr>
            <w:tcW w:w="778" w:type="dxa"/>
          </w:tcPr>
          <w:p w14:paraId="58C677FE"/>
        </w:tc>
      </w:tr>
      <w:tr w14:paraId="22D32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2700" w:type="dxa"/>
            <w:vAlign w:val="center"/>
          </w:tcPr>
          <w:p w14:paraId="16864208">
            <w:pPr>
              <w:rPr>
                <w:b/>
              </w:rPr>
            </w:pPr>
            <w:r>
              <w:rPr>
                <w:b/>
              </w:rPr>
              <w:t>Number of children</w:t>
            </w:r>
          </w:p>
        </w:tc>
        <w:tc>
          <w:tcPr>
            <w:tcW w:w="1440" w:type="dxa"/>
            <w:vAlign w:val="center"/>
          </w:tcPr>
          <w:p w14:paraId="44DDF052"/>
        </w:tc>
        <w:tc>
          <w:tcPr>
            <w:tcW w:w="1440" w:type="dxa"/>
            <w:vAlign w:val="center"/>
          </w:tcPr>
          <w:p w14:paraId="45975165"/>
        </w:tc>
        <w:tc>
          <w:tcPr>
            <w:tcW w:w="1980" w:type="dxa"/>
          </w:tcPr>
          <w:p w14:paraId="3A29F2F1"/>
        </w:tc>
        <w:tc>
          <w:tcPr>
            <w:tcW w:w="2012" w:type="dxa"/>
          </w:tcPr>
          <w:p w14:paraId="57C36089"/>
        </w:tc>
        <w:tc>
          <w:tcPr>
            <w:tcW w:w="778" w:type="dxa"/>
          </w:tcPr>
          <w:p w14:paraId="3150AACC"/>
        </w:tc>
      </w:tr>
      <w:tr w14:paraId="732FD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2700" w:type="dxa"/>
            <w:vAlign w:val="center"/>
          </w:tcPr>
          <w:p w14:paraId="393EFE97">
            <w:r>
              <w:t>1-2</w:t>
            </w:r>
          </w:p>
        </w:tc>
        <w:tc>
          <w:tcPr>
            <w:tcW w:w="1440" w:type="dxa"/>
            <w:vAlign w:val="center"/>
          </w:tcPr>
          <w:p w14:paraId="341A542D">
            <w:r>
              <w:t>222 (91.0%)</w:t>
            </w:r>
          </w:p>
        </w:tc>
        <w:tc>
          <w:tcPr>
            <w:tcW w:w="1440" w:type="dxa"/>
            <w:vAlign w:val="center"/>
          </w:tcPr>
          <w:p w14:paraId="536C9429">
            <w:r>
              <w:t>22 (9.0%)</w:t>
            </w:r>
          </w:p>
        </w:tc>
        <w:tc>
          <w:tcPr>
            <w:tcW w:w="1980" w:type="dxa"/>
            <w:vAlign w:val="center"/>
          </w:tcPr>
          <w:p w14:paraId="16C50A9A">
            <w:r>
              <w:t>1</w:t>
            </w:r>
          </w:p>
        </w:tc>
        <w:tc>
          <w:tcPr>
            <w:tcW w:w="2012" w:type="dxa"/>
          </w:tcPr>
          <w:p w14:paraId="7C7B116E">
            <w:r>
              <w:t>1</w:t>
            </w:r>
          </w:p>
        </w:tc>
        <w:tc>
          <w:tcPr>
            <w:tcW w:w="778" w:type="dxa"/>
          </w:tcPr>
          <w:p w14:paraId="031DA61C"/>
        </w:tc>
      </w:tr>
      <w:tr w14:paraId="32C09EAB">
        <w:tblPrEx>
          <w:tblCellMar>
            <w:top w:w="0" w:type="dxa"/>
            <w:left w:w="108" w:type="dxa"/>
            <w:bottom w:w="0" w:type="dxa"/>
            <w:right w:w="108" w:type="dxa"/>
          </w:tblCellMar>
        </w:tblPrEx>
        <w:trPr>
          <w:trHeight w:val="273" w:hRule="atLeast"/>
        </w:trPr>
        <w:tc>
          <w:tcPr>
            <w:tcW w:w="2700" w:type="dxa"/>
            <w:vAlign w:val="center"/>
          </w:tcPr>
          <w:p w14:paraId="51BD422D">
            <w:r>
              <w:t>3-4</w:t>
            </w:r>
          </w:p>
        </w:tc>
        <w:tc>
          <w:tcPr>
            <w:tcW w:w="1440" w:type="dxa"/>
            <w:vAlign w:val="center"/>
          </w:tcPr>
          <w:p w14:paraId="523B45A7">
            <w:r>
              <w:t>76 (84.4%)</w:t>
            </w:r>
          </w:p>
        </w:tc>
        <w:tc>
          <w:tcPr>
            <w:tcW w:w="1440" w:type="dxa"/>
            <w:vAlign w:val="center"/>
          </w:tcPr>
          <w:p w14:paraId="2A63C247">
            <w:r>
              <w:t>14 (15.6%)</w:t>
            </w:r>
          </w:p>
        </w:tc>
        <w:tc>
          <w:tcPr>
            <w:tcW w:w="1980" w:type="dxa"/>
            <w:vAlign w:val="center"/>
          </w:tcPr>
          <w:p w14:paraId="56727332">
            <w:r>
              <w:t>0.54 [0.26, 1.1]</w:t>
            </w:r>
          </w:p>
        </w:tc>
        <w:tc>
          <w:tcPr>
            <w:tcW w:w="2012" w:type="dxa"/>
          </w:tcPr>
          <w:p w14:paraId="7F5A5EC5">
            <w:r>
              <w:t>0.47[0.17, 1.27]</w:t>
            </w:r>
          </w:p>
        </w:tc>
        <w:tc>
          <w:tcPr>
            <w:tcW w:w="778" w:type="dxa"/>
          </w:tcPr>
          <w:p w14:paraId="49EFAE9F">
            <w:r>
              <w:t>0.18</w:t>
            </w:r>
          </w:p>
        </w:tc>
      </w:tr>
      <w:tr w14:paraId="25B1C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 w:hRule="atLeast"/>
        </w:trPr>
        <w:tc>
          <w:tcPr>
            <w:tcW w:w="2700" w:type="dxa"/>
            <w:vAlign w:val="center"/>
          </w:tcPr>
          <w:p w14:paraId="0FAB54B0">
            <w:pPr>
              <w:rPr>
                <w:b/>
              </w:rPr>
            </w:pPr>
            <w:r>
              <w:rPr>
                <w:b/>
              </w:rPr>
              <w:t>Malaria is preventable</w:t>
            </w:r>
          </w:p>
        </w:tc>
        <w:tc>
          <w:tcPr>
            <w:tcW w:w="1440" w:type="dxa"/>
            <w:vAlign w:val="center"/>
          </w:tcPr>
          <w:p w14:paraId="1AF00411"/>
        </w:tc>
        <w:tc>
          <w:tcPr>
            <w:tcW w:w="1440" w:type="dxa"/>
            <w:vAlign w:val="center"/>
          </w:tcPr>
          <w:p w14:paraId="198211A4"/>
        </w:tc>
        <w:tc>
          <w:tcPr>
            <w:tcW w:w="1980" w:type="dxa"/>
            <w:vAlign w:val="center"/>
          </w:tcPr>
          <w:p w14:paraId="2FF054A2"/>
        </w:tc>
        <w:tc>
          <w:tcPr>
            <w:tcW w:w="2012" w:type="dxa"/>
          </w:tcPr>
          <w:p w14:paraId="2A89D98B"/>
        </w:tc>
        <w:tc>
          <w:tcPr>
            <w:tcW w:w="778" w:type="dxa"/>
          </w:tcPr>
          <w:p w14:paraId="08A831B9"/>
        </w:tc>
      </w:tr>
      <w:tr w14:paraId="07EA6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 w:hRule="atLeast"/>
        </w:trPr>
        <w:tc>
          <w:tcPr>
            <w:tcW w:w="2700" w:type="dxa"/>
            <w:vAlign w:val="center"/>
          </w:tcPr>
          <w:p w14:paraId="30692FB9">
            <w:r>
              <w:t xml:space="preserve">Yes </w:t>
            </w:r>
          </w:p>
        </w:tc>
        <w:tc>
          <w:tcPr>
            <w:tcW w:w="1440" w:type="dxa"/>
            <w:vAlign w:val="center"/>
          </w:tcPr>
          <w:p w14:paraId="41D75950">
            <w:r>
              <w:t>285 (93.8%)</w:t>
            </w:r>
          </w:p>
        </w:tc>
        <w:tc>
          <w:tcPr>
            <w:tcW w:w="1440" w:type="dxa"/>
            <w:vAlign w:val="center"/>
          </w:tcPr>
          <w:p w14:paraId="001A1E08">
            <w:r>
              <w:t>19 (6.2%)</w:t>
            </w:r>
          </w:p>
        </w:tc>
        <w:tc>
          <w:tcPr>
            <w:tcW w:w="1980" w:type="dxa"/>
            <w:vAlign w:val="center"/>
          </w:tcPr>
          <w:p w14:paraId="4E4CD9D1">
            <w:r>
              <w:t>19.62 [8.31, 46.29]</w:t>
            </w:r>
          </w:p>
        </w:tc>
        <w:tc>
          <w:tcPr>
            <w:tcW w:w="2012" w:type="dxa"/>
          </w:tcPr>
          <w:p w14:paraId="376BC5F2">
            <w:r>
              <w:t>4.89[1.45, 16.42]*</w:t>
            </w:r>
          </w:p>
        </w:tc>
        <w:tc>
          <w:tcPr>
            <w:tcW w:w="778" w:type="dxa"/>
          </w:tcPr>
          <w:p w14:paraId="52BF1778">
            <w:r>
              <w:t>0.01*</w:t>
            </w:r>
          </w:p>
        </w:tc>
      </w:tr>
      <w:tr w14:paraId="7C4B3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 w:hRule="atLeast"/>
        </w:trPr>
        <w:tc>
          <w:tcPr>
            <w:tcW w:w="2700" w:type="dxa"/>
            <w:vAlign w:val="center"/>
          </w:tcPr>
          <w:p w14:paraId="0A7CB7BF">
            <w:r>
              <w:t>No</w:t>
            </w:r>
          </w:p>
        </w:tc>
        <w:tc>
          <w:tcPr>
            <w:tcW w:w="1440" w:type="dxa"/>
            <w:vAlign w:val="center"/>
          </w:tcPr>
          <w:p w14:paraId="6608BFB0">
            <w:r>
              <w:t>13 (43.3%)</w:t>
            </w:r>
          </w:p>
        </w:tc>
        <w:tc>
          <w:tcPr>
            <w:tcW w:w="1440" w:type="dxa"/>
            <w:vAlign w:val="center"/>
          </w:tcPr>
          <w:p w14:paraId="5C8D5D2B">
            <w:r>
              <w:t>17 (56.7%)</w:t>
            </w:r>
          </w:p>
        </w:tc>
        <w:tc>
          <w:tcPr>
            <w:tcW w:w="1980" w:type="dxa"/>
            <w:vAlign w:val="center"/>
          </w:tcPr>
          <w:p w14:paraId="5F832398">
            <w:r>
              <w:t>1</w:t>
            </w:r>
          </w:p>
        </w:tc>
        <w:tc>
          <w:tcPr>
            <w:tcW w:w="2012" w:type="dxa"/>
          </w:tcPr>
          <w:p w14:paraId="76826B41">
            <w:r>
              <w:t>1</w:t>
            </w:r>
          </w:p>
        </w:tc>
        <w:tc>
          <w:tcPr>
            <w:tcW w:w="778" w:type="dxa"/>
          </w:tcPr>
          <w:p w14:paraId="280EAD96"/>
        </w:tc>
      </w:tr>
      <w:tr w14:paraId="2764E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 w:hRule="atLeast"/>
        </w:trPr>
        <w:tc>
          <w:tcPr>
            <w:tcW w:w="2700" w:type="dxa"/>
            <w:vAlign w:val="center"/>
          </w:tcPr>
          <w:p w14:paraId="4755581C">
            <w:pPr>
              <w:rPr>
                <w:b/>
              </w:rPr>
            </w:pPr>
            <w:r>
              <w:rPr>
                <w:b/>
              </w:rPr>
              <w:t>Everybody at risk of getting malaria infection</w:t>
            </w:r>
          </w:p>
        </w:tc>
        <w:tc>
          <w:tcPr>
            <w:tcW w:w="1440" w:type="dxa"/>
            <w:vAlign w:val="center"/>
          </w:tcPr>
          <w:p w14:paraId="4C4A254C"/>
        </w:tc>
        <w:tc>
          <w:tcPr>
            <w:tcW w:w="1440" w:type="dxa"/>
            <w:vAlign w:val="center"/>
          </w:tcPr>
          <w:p w14:paraId="6C5B356C"/>
        </w:tc>
        <w:tc>
          <w:tcPr>
            <w:tcW w:w="1980" w:type="dxa"/>
            <w:vAlign w:val="center"/>
          </w:tcPr>
          <w:p w14:paraId="5F92E60B"/>
        </w:tc>
        <w:tc>
          <w:tcPr>
            <w:tcW w:w="2012" w:type="dxa"/>
          </w:tcPr>
          <w:p w14:paraId="7BA622AF"/>
        </w:tc>
        <w:tc>
          <w:tcPr>
            <w:tcW w:w="778" w:type="dxa"/>
          </w:tcPr>
          <w:p w14:paraId="2726C903"/>
        </w:tc>
      </w:tr>
      <w:tr w14:paraId="4E112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 w:hRule="atLeast"/>
        </w:trPr>
        <w:tc>
          <w:tcPr>
            <w:tcW w:w="2700" w:type="dxa"/>
            <w:vAlign w:val="center"/>
          </w:tcPr>
          <w:p w14:paraId="1DBD5B14">
            <w:r>
              <w:t xml:space="preserve">Yes </w:t>
            </w:r>
          </w:p>
        </w:tc>
        <w:tc>
          <w:tcPr>
            <w:tcW w:w="1440" w:type="dxa"/>
            <w:vAlign w:val="center"/>
          </w:tcPr>
          <w:p w14:paraId="0DE197E5">
            <w:r>
              <w:t>90 (84.1%)</w:t>
            </w:r>
          </w:p>
        </w:tc>
        <w:tc>
          <w:tcPr>
            <w:tcW w:w="1440" w:type="dxa"/>
            <w:vAlign w:val="center"/>
          </w:tcPr>
          <w:p w14:paraId="4FEFDAC3">
            <w:r>
              <w:t>17 (15.9%)</w:t>
            </w:r>
          </w:p>
        </w:tc>
        <w:tc>
          <w:tcPr>
            <w:tcW w:w="1980" w:type="dxa"/>
            <w:vAlign w:val="center"/>
          </w:tcPr>
          <w:p w14:paraId="4AE6E72E">
            <w:r>
              <w:t>0.484 [0.24, 0.97]</w:t>
            </w:r>
          </w:p>
        </w:tc>
        <w:tc>
          <w:tcPr>
            <w:tcW w:w="2012" w:type="dxa"/>
          </w:tcPr>
          <w:p w14:paraId="416A9567">
            <w:r>
              <w:t>0.381 [0.13, 1.1]</w:t>
            </w:r>
          </w:p>
        </w:tc>
        <w:tc>
          <w:tcPr>
            <w:tcW w:w="778" w:type="dxa"/>
          </w:tcPr>
          <w:p w14:paraId="4BC31A37">
            <w:r>
              <w:t>0.07</w:t>
            </w:r>
          </w:p>
        </w:tc>
      </w:tr>
      <w:tr w14:paraId="6588C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 w:hRule="atLeast"/>
        </w:trPr>
        <w:tc>
          <w:tcPr>
            <w:tcW w:w="2700" w:type="dxa"/>
            <w:vAlign w:val="center"/>
          </w:tcPr>
          <w:p w14:paraId="2B280E63">
            <w:r>
              <w:t>No</w:t>
            </w:r>
          </w:p>
        </w:tc>
        <w:tc>
          <w:tcPr>
            <w:tcW w:w="1440" w:type="dxa"/>
            <w:vAlign w:val="center"/>
          </w:tcPr>
          <w:p w14:paraId="740F4AAA">
            <w:r>
              <w:t>208 (91.6%)</w:t>
            </w:r>
          </w:p>
        </w:tc>
        <w:tc>
          <w:tcPr>
            <w:tcW w:w="1440" w:type="dxa"/>
            <w:vAlign w:val="center"/>
          </w:tcPr>
          <w:p w14:paraId="3C1FAB24">
            <w:r>
              <w:t>19 (8.4%)</w:t>
            </w:r>
          </w:p>
        </w:tc>
        <w:tc>
          <w:tcPr>
            <w:tcW w:w="1980" w:type="dxa"/>
            <w:vAlign w:val="center"/>
          </w:tcPr>
          <w:p w14:paraId="275236EC">
            <w:r>
              <w:t>1</w:t>
            </w:r>
          </w:p>
        </w:tc>
        <w:tc>
          <w:tcPr>
            <w:tcW w:w="2012" w:type="dxa"/>
          </w:tcPr>
          <w:p w14:paraId="07999956">
            <w:r>
              <w:t>1</w:t>
            </w:r>
          </w:p>
        </w:tc>
        <w:tc>
          <w:tcPr>
            <w:tcW w:w="778" w:type="dxa"/>
          </w:tcPr>
          <w:p w14:paraId="42B93F10"/>
        </w:tc>
      </w:tr>
      <w:tr w14:paraId="5C588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 w:hRule="atLeast"/>
        </w:trPr>
        <w:tc>
          <w:tcPr>
            <w:tcW w:w="2700" w:type="dxa"/>
            <w:vAlign w:val="center"/>
          </w:tcPr>
          <w:p w14:paraId="3F417B57">
            <w:pPr>
              <w:rPr>
                <w:b/>
              </w:rPr>
            </w:pPr>
            <w:r>
              <w:rPr>
                <w:b/>
              </w:rPr>
              <w:t>Obtained message malaria vaccine</w:t>
            </w:r>
          </w:p>
        </w:tc>
        <w:tc>
          <w:tcPr>
            <w:tcW w:w="1440" w:type="dxa"/>
            <w:vAlign w:val="center"/>
          </w:tcPr>
          <w:p w14:paraId="4E40B5E4"/>
        </w:tc>
        <w:tc>
          <w:tcPr>
            <w:tcW w:w="1440" w:type="dxa"/>
            <w:vAlign w:val="center"/>
          </w:tcPr>
          <w:p w14:paraId="381188A4"/>
        </w:tc>
        <w:tc>
          <w:tcPr>
            <w:tcW w:w="1980" w:type="dxa"/>
            <w:vAlign w:val="center"/>
          </w:tcPr>
          <w:p w14:paraId="7B4961DB"/>
        </w:tc>
        <w:tc>
          <w:tcPr>
            <w:tcW w:w="2012" w:type="dxa"/>
          </w:tcPr>
          <w:p w14:paraId="6EE714AF"/>
        </w:tc>
        <w:tc>
          <w:tcPr>
            <w:tcW w:w="778" w:type="dxa"/>
          </w:tcPr>
          <w:p w14:paraId="2B242C13"/>
        </w:tc>
      </w:tr>
      <w:tr w14:paraId="66543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 w:hRule="atLeast"/>
        </w:trPr>
        <w:tc>
          <w:tcPr>
            <w:tcW w:w="2700" w:type="dxa"/>
            <w:vAlign w:val="center"/>
          </w:tcPr>
          <w:p w14:paraId="0E1874FE">
            <w:r>
              <w:t xml:space="preserve">Yes </w:t>
            </w:r>
          </w:p>
        </w:tc>
        <w:tc>
          <w:tcPr>
            <w:tcW w:w="1440" w:type="dxa"/>
            <w:vAlign w:val="center"/>
          </w:tcPr>
          <w:p w14:paraId="728CBA49">
            <w:r>
              <w:t>14 (48.3%)</w:t>
            </w:r>
          </w:p>
        </w:tc>
        <w:tc>
          <w:tcPr>
            <w:tcW w:w="1440" w:type="dxa"/>
            <w:vAlign w:val="center"/>
          </w:tcPr>
          <w:p w14:paraId="3BB9D66E">
            <w:r>
              <w:t>15 (51.7%)</w:t>
            </w:r>
          </w:p>
        </w:tc>
        <w:tc>
          <w:tcPr>
            <w:tcW w:w="1980" w:type="dxa"/>
            <w:vAlign w:val="center"/>
          </w:tcPr>
          <w:p w14:paraId="36FBF00D">
            <w:r>
              <w:t>0.069 [0.029, 0.16]</w:t>
            </w:r>
          </w:p>
        </w:tc>
        <w:tc>
          <w:tcPr>
            <w:tcW w:w="2012" w:type="dxa"/>
          </w:tcPr>
          <w:p w14:paraId="1A7E45A5">
            <w:r>
              <w:t>0.08[0.26, 2.43]</w:t>
            </w:r>
          </w:p>
        </w:tc>
        <w:tc>
          <w:tcPr>
            <w:tcW w:w="778" w:type="dxa"/>
          </w:tcPr>
          <w:p w14:paraId="77D00B89">
            <w:r>
              <w:t>0.15</w:t>
            </w:r>
          </w:p>
        </w:tc>
      </w:tr>
      <w:tr w14:paraId="542C9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 w:hRule="atLeast"/>
        </w:trPr>
        <w:tc>
          <w:tcPr>
            <w:tcW w:w="2700" w:type="dxa"/>
            <w:vAlign w:val="center"/>
          </w:tcPr>
          <w:p w14:paraId="0F27ADD7">
            <w:r>
              <w:t xml:space="preserve">No </w:t>
            </w:r>
          </w:p>
        </w:tc>
        <w:tc>
          <w:tcPr>
            <w:tcW w:w="1440" w:type="dxa"/>
            <w:vAlign w:val="center"/>
          </w:tcPr>
          <w:p w14:paraId="653027E7">
            <w:r>
              <w:t>284 (93.1</w:t>
            </w:r>
          </w:p>
        </w:tc>
        <w:tc>
          <w:tcPr>
            <w:tcW w:w="1440" w:type="dxa"/>
            <w:vAlign w:val="center"/>
          </w:tcPr>
          <w:p w14:paraId="69AF122A">
            <w:r>
              <w:t>21 (6.9%)</w:t>
            </w:r>
          </w:p>
        </w:tc>
        <w:tc>
          <w:tcPr>
            <w:tcW w:w="1980" w:type="dxa"/>
            <w:vAlign w:val="center"/>
          </w:tcPr>
          <w:p w14:paraId="0C7DAFD1">
            <w:r>
              <w:t>1</w:t>
            </w:r>
          </w:p>
        </w:tc>
        <w:tc>
          <w:tcPr>
            <w:tcW w:w="2012" w:type="dxa"/>
          </w:tcPr>
          <w:p w14:paraId="073FC470">
            <w:r>
              <w:t>1</w:t>
            </w:r>
          </w:p>
        </w:tc>
        <w:tc>
          <w:tcPr>
            <w:tcW w:w="778" w:type="dxa"/>
          </w:tcPr>
          <w:p w14:paraId="4D405074"/>
        </w:tc>
      </w:tr>
      <w:tr w14:paraId="6A1E6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 w:hRule="atLeast"/>
        </w:trPr>
        <w:tc>
          <w:tcPr>
            <w:tcW w:w="2700" w:type="dxa"/>
            <w:vAlign w:val="center"/>
          </w:tcPr>
          <w:p w14:paraId="6E9ED8A6">
            <w:pPr>
              <w:rPr>
                <w:b/>
              </w:rPr>
            </w:pPr>
            <w:r>
              <w:rPr>
                <w:b/>
              </w:rPr>
              <w:t>Distance from vaccine site</w:t>
            </w:r>
          </w:p>
        </w:tc>
        <w:tc>
          <w:tcPr>
            <w:tcW w:w="1440" w:type="dxa"/>
            <w:vAlign w:val="center"/>
          </w:tcPr>
          <w:p w14:paraId="37A6EEA3"/>
        </w:tc>
        <w:tc>
          <w:tcPr>
            <w:tcW w:w="1440" w:type="dxa"/>
            <w:vAlign w:val="center"/>
          </w:tcPr>
          <w:p w14:paraId="39693C56"/>
        </w:tc>
        <w:tc>
          <w:tcPr>
            <w:tcW w:w="1980" w:type="dxa"/>
            <w:vAlign w:val="center"/>
          </w:tcPr>
          <w:p w14:paraId="7A4F4BCD"/>
        </w:tc>
        <w:tc>
          <w:tcPr>
            <w:tcW w:w="2012" w:type="dxa"/>
          </w:tcPr>
          <w:p w14:paraId="04932032"/>
        </w:tc>
        <w:tc>
          <w:tcPr>
            <w:tcW w:w="778" w:type="dxa"/>
          </w:tcPr>
          <w:p w14:paraId="6CD95820"/>
        </w:tc>
      </w:tr>
      <w:tr w14:paraId="74B89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 w:hRule="atLeast"/>
        </w:trPr>
        <w:tc>
          <w:tcPr>
            <w:tcW w:w="2700" w:type="dxa"/>
            <w:vAlign w:val="center"/>
          </w:tcPr>
          <w:p w14:paraId="1012F470">
            <w:r>
              <w:t>½ to one hour</w:t>
            </w:r>
          </w:p>
        </w:tc>
        <w:tc>
          <w:tcPr>
            <w:tcW w:w="1440" w:type="dxa"/>
            <w:vAlign w:val="center"/>
          </w:tcPr>
          <w:p w14:paraId="06CBC9DE">
            <w:r>
              <w:t>140 (81.9%)</w:t>
            </w:r>
          </w:p>
        </w:tc>
        <w:tc>
          <w:tcPr>
            <w:tcW w:w="1440" w:type="dxa"/>
            <w:vAlign w:val="center"/>
          </w:tcPr>
          <w:p w14:paraId="50069F12">
            <w:r>
              <w:t>31 (18.1%)</w:t>
            </w:r>
          </w:p>
        </w:tc>
        <w:tc>
          <w:tcPr>
            <w:tcW w:w="1980" w:type="dxa"/>
            <w:vAlign w:val="center"/>
          </w:tcPr>
          <w:p w14:paraId="71161574">
            <w:r>
              <w:t>1</w:t>
            </w:r>
          </w:p>
        </w:tc>
        <w:tc>
          <w:tcPr>
            <w:tcW w:w="2012" w:type="dxa"/>
          </w:tcPr>
          <w:p w14:paraId="3AF402DA">
            <w:r>
              <w:t>1</w:t>
            </w:r>
          </w:p>
        </w:tc>
        <w:tc>
          <w:tcPr>
            <w:tcW w:w="778" w:type="dxa"/>
          </w:tcPr>
          <w:p w14:paraId="1C851D63"/>
        </w:tc>
      </w:tr>
      <w:tr w14:paraId="4ACB6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 w:hRule="atLeast"/>
        </w:trPr>
        <w:tc>
          <w:tcPr>
            <w:tcW w:w="2700" w:type="dxa"/>
            <w:vAlign w:val="center"/>
          </w:tcPr>
          <w:p w14:paraId="2C090E24">
            <w:r>
              <w:t>15-30 minutes</w:t>
            </w:r>
          </w:p>
        </w:tc>
        <w:tc>
          <w:tcPr>
            <w:tcW w:w="1440" w:type="dxa"/>
            <w:vAlign w:val="center"/>
          </w:tcPr>
          <w:p w14:paraId="6AB8FB39">
            <w:r>
              <w:t>158 (96.9%)</w:t>
            </w:r>
          </w:p>
        </w:tc>
        <w:tc>
          <w:tcPr>
            <w:tcW w:w="1440" w:type="dxa"/>
            <w:vAlign w:val="center"/>
          </w:tcPr>
          <w:p w14:paraId="5C292EF7">
            <w:r>
              <w:t>5 (3.1%)</w:t>
            </w:r>
          </w:p>
        </w:tc>
        <w:tc>
          <w:tcPr>
            <w:tcW w:w="1980" w:type="dxa"/>
            <w:vAlign w:val="center"/>
          </w:tcPr>
          <w:p w14:paraId="086DE048">
            <w:r>
              <w:t>6.99 [2.65, 18.5]</w:t>
            </w:r>
          </w:p>
        </w:tc>
        <w:tc>
          <w:tcPr>
            <w:tcW w:w="2012" w:type="dxa"/>
          </w:tcPr>
          <w:p w14:paraId="61469E45">
            <w:r>
              <w:t>4.56 [9.84, 20.8]*</w:t>
            </w:r>
          </w:p>
        </w:tc>
        <w:tc>
          <w:tcPr>
            <w:tcW w:w="778" w:type="dxa"/>
          </w:tcPr>
          <w:p w14:paraId="6D6C8D7D">
            <w:r>
              <w:t>0.01*</w:t>
            </w:r>
          </w:p>
        </w:tc>
      </w:tr>
      <w:tr w14:paraId="4E515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 w:hRule="atLeast"/>
        </w:trPr>
        <w:tc>
          <w:tcPr>
            <w:tcW w:w="2700" w:type="dxa"/>
            <w:vAlign w:val="center"/>
          </w:tcPr>
          <w:p w14:paraId="0E46BE6C">
            <w:pPr>
              <w:rPr>
                <w:b/>
              </w:rPr>
            </w:pPr>
            <w:r>
              <w:rPr>
                <w:b/>
              </w:rPr>
              <w:t>Waiting time for vaccine</w:t>
            </w:r>
          </w:p>
        </w:tc>
        <w:tc>
          <w:tcPr>
            <w:tcW w:w="1440" w:type="dxa"/>
            <w:vAlign w:val="center"/>
          </w:tcPr>
          <w:p w14:paraId="1A8B7DD0"/>
        </w:tc>
        <w:tc>
          <w:tcPr>
            <w:tcW w:w="1440" w:type="dxa"/>
            <w:vAlign w:val="center"/>
          </w:tcPr>
          <w:p w14:paraId="34A50C74"/>
        </w:tc>
        <w:tc>
          <w:tcPr>
            <w:tcW w:w="1980" w:type="dxa"/>
            <w:vAlign w:val="center"/>
          </w:tcPr>
          <w:p w14:paraId="462A48D8"/>
        </w:tc>
        <w:tc>
          <w:tcPr>
            <w:tcW w:w="2012" w:type="dxa"/>
          </w:tcPr>
          <w:p w14:paraId="1AD5A20F"/>
        </w:tc>
        <w:tc>
          <w:tcPr>
            <w:tcW w:w="778" w:type="dxa"/>
          </w:tcPr>
          <w:p w14:paraId="7BCE86F4"/>
        </w:tc>
      </w:tr>
      <w:tr w14:paraId="25790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 w:hRule="atLeast"/>
        </w:trPr>
        <w:tc>
          <w:tcPr>
            <w:tcW w:w="2700" w:type="dxa"/>
            <w:vAlign w:val="center"/>
          </w:tcPr>
          <w:p w14:paraId="12C98C5A">
            <w:r>
              <w:t>&lt; 1 hour</w:t>
            </w:r>
          </w:p>
        </w:tc>
        <w:tc>
          <w:tcPr>
            <w:tcW w:w="1440" w:type="dxa"/>
            <w:vAlign w:val="center"/>
          </w:tcPr>
          <w:p w14:paraId="04E87885">
            <w:r>
              <w:t>285 (95%)</w:t>
            </w:r>
          </w:p>
        </w:tc>
        <w:tc>
          <w:tcPr>
            <w:tcW w:w="1440" w:type="dxa"/>
            <w:vAlign w:val="center"/>
          </w:tcPr>
          <w:p w14:paraId="36D4AACB">
            <w:r>
              <w:t>15 (5%)</w:t>
            </w:r>
          </w:p>
        </w:tc>
        <w:tc>
          <w:tcPr>
            <w:tcW w:w="1980" w:type="dxa"/>
            <w:vAlign w:val="center"/>
          </w:tcPr>
          <w:p w14:paraId="50EACE08">
            <w:r>
              <w:t>30.69 [12.93, 72.9]</w:t>
            </w:r>
          </w:p>
        </w:tc>
        <w:tc>
          <w:tcPr>
            <w:tcW w:w="2012" w:type="dxa"/>
          </w:tcPr>
          <w:p w14:paraId="3DB787D7">
            <w:r>
              <w:t>28.76 [8.69, 19.11]*</w:t>
            </w:r>
          </w:p>
        </w:tc>
        <w:tc>
          <w:tcPr>
            <w:tcW w:w="778" w:type="dxa"/>
          </w:tcPr>
          <w:p w14:paraId="10E43347">
            <w:r>
              <w:t>0.02*</w:t>
            </w:r>
          </w:p>
        </w:tc>
      </w:tr>
      <w:tr w14:paraId="7F892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 w:hRule="atLeast"/>
        </w:trPr>
        <w:tc>
          <w:tcPr>
            <w:tcW w:w="2700" w:type="dxa"/>
            <w:vAlign w:val="center"/>
          </w:tcPr>
          <w:p w14:paraId="75DAAC83">
            <w:r>
              <w:t>&gt;= 1 hour</w:t>
            </w:r>
          </w:p>
        </w:tc>
        <w:tc>
          <w:tcPr>
            <w:tcW w:w="1440" w:type="dxa"/>
            <w:vAlign w:val="center"/>
          </w:tcPr>
          <w:p w14:paraId="404B3310">
            <w:r>
              <w:t>13 (38.2%)</w:t>
            </w:r>
          </w:p>
        </w:tc>
        <w:tc>
          <w:tcPr>
            <w:tcW w:w="1440" w:type="dxa"/>
            <w:vAlign w:val="center"/>
          </w:tcPr>
          <w:p w14:paraId="193FBE4D">
            <w:r>
              <w:t>21 (61.8%)</w:t>
            </w:r>
          </w:p>
        </w:tc>
        <w:tc>
          <w:tcPr>
            <w:tcW w:w="1980" w:type="dxa"/>
            <w:vAlign w:val="center"/>
          </w:tcPr>
          <w:p w14:paraId="37EE2F89">
            <w:r>
              <w:t>1</w:t>
            </w:r>
          </w:p>
        </w:tc>
        <w:tc>
          <w:tcPr>
            <w:tcW w:w="2012" w:type="dxa"/>
          </w:tcPr>
          <w:p w14:paraId="63A8C855">
            <w:r>
              <w:t>1</w:t>
            </w:r>
          </w:p>
        </w:tc>
        <w:tc>
          <w:tcPr>
            <w:tcW w:w="778" w:type="dxa"/>
          </w:tcPr>
          <w:p w14:paraId="004D86BA"/>
        </w:tc>
      </w:tr>
    </w:tbl>
    <w:p w14:paraId="5732ABFC">
      <w:pPr>
        <w:rPr>
          <w:b/>
          <w:u w:val="single"/>
        </w:rPr>
      </w:pPr>
      <w:r>
        <w:rPr>
          <w:b/>
          <w:u w:val="single"/>
        </w:rPr>
        <w:t xml:space="preserve">Keys: </w:t>
      </w:r>
      <w:r>
        <w:t>1=reference category</w:t>
      </w:r>
    </w:p>
    <w:p w14:paraId="76E100D0">
      <w:pPr>
        <w:rPr>
          <w:b/>
          <w:u w:val="single"/>
        </w:rPr>
      </w:pPr>
      <w:r>
        <w:t>* = Statistically significant variables in multivariable logistic regression with P-value &lt;0.05</w:t>
      </w:r>
    </w:p>
    <w:p w14:paraId="0087B88A">
      <w:r>
        <w:t>COR=Crude odds ratio,  AOR=Adjusted odds ratio, CI=Confidence Interval</w:t>
      </w:r>
    </w:p>
    <w:p w14:paraId="1A508C98">
      <w:pPr>
        <w:pStyle w:val="2"/>
        <w:numPr>
          <w:ilvl w:val="0"/>
          <w:numId w:val="5"/>
        </w:numPr>
        <w:ind w:left="0" w:leftChars="0" w:firstLine="0" w:firstLineChars="0"/>
        <w:rPr>
          <w:rFonts w:ascii="Times New Roman" w:hAnsi="Times New Roman" w:cs="Times New Roman"/>
        </w:rPr>
      </w:pPr>
      <w:bookmarkStart w:id="567" w:name="_Toc198635603"/>
      <w:r>
        <w:rPr>
          <w:rFonts w:ascii="Times New Roman" w:hAnsi="Times New Roman" w:cs="Times New Roman"/>
        </w:rPr>
        <w:t>Discussion</w:t>
      </w:r>
      <w:bookmarkEnd w:id="567"/>
    </w:p>
    <w:p w14:paraId="1627AB88">
      <w:pPr>
        <w:pStyle w:val="22"/>
        <w:spacing w:line="360" w:lineRule="auto"/>
        <w:jc w:val="both"/>
      </w:pPr>
      <w:r>
        <w:t xml:space="preserve">In the present study, a high proportion of mothers (89.2%, 95% CI: (85.4%–92.3%) expressed willingness to vaccinate their children against malaria. This finding aligns with similar studies conducted across Ethiopia , For instance, a study conducted in </w:t>
      </w:r>
      <w:r>
        <w:rPr>
          <w:rStyle w:val="23"/>
          <w:rFonts w:eastAsiaTheme="majorEastAsia"/>
          <w:b w:val="0"/>
        </w:rPr>
        <w:t>Southern Ethiopia</w:t>
      </w:r>
      <w:r>
        <w:t xml:space="preserve"> found that only </w:t>
      </w:r>
      <w:r>
        <w:rPr>
          <w:rStyle w:val="23"/>
          <w:rFonts w:eastAsiaTheme="majorEastAsia"/>
          <w:b w:val="0"/>
        </w:rPr>
        <w:t>32.3%</w:t>
      </w:r>
      <w:r>
        <w:t xml:space="preserve"> of caregivers were willing to vaccinate their children, a markedly lower figure than in our study, which may reflect differences in awareness levels and timing of vaccine information dissemination (5). </w:t>
      </w:r>
    </w:p>
    <w:p w14:paraId="2BB82EFA">
      <w:pPr>
        <w:pStyle w:val="22"/>
        <w:spacing w:line="360" w:lineRule="auto"/>
        <w:jc w:val="both"/>
      </w:pPr>
      <w:r>
        <w:t xml:space="preserve">Across the broader sub-Saharan Africa  context, willingness levels are generally higher and often consistent with our findings. In </w:t>
      </w:r>
      <w:r>
        <w:rPr>
          <w:rStyle w:val="23"/>
          <w:rFonts w:eastAsiaTheme="majorEastAsia"/>
          <w:b w:val="0"/>
        </w:rPr>
        <w:t>Northcentral Nigeria</w:t>
      </w:r>
      <w:r>
        <w:rPr>
          <w:b/>
        </w:rPr>
        <w:t xml:space="preserve">, </w:t>
      </w:r>
      <w:r>
        <w:rPr>
          <w:rStyle w:val="23"/>
          <w:rFonts w:eastAsiaTheme="majorEastAsia"/>
          <w:b w:val="0"/>
        </w:rPr>
        <w:t>91.9%</w:t>
      </w:r>
      <w:r>
        <w:t xml:space="preserve"> of respondents expressed willingness to vaccinate their children, and </w:t>
      </w:r>
      <w:r>
        <w:rPr>
          <w:rStyle w:val="23"/>
          <w:rFonts w:eastAsiaTheme="majorEastAsia"/>
          <w:b w:val="0"/>
        </w:rPr>
        <w:t>93.6%</w:t>
      </w:r>
      <w:r>
        <w:t xml:space="preserve"> were also willing to pay for it, reflecting strong demand and perceived value for the vaccine (</w:t>
      </w:r>
      <w:r>
        <w:rPr>
          <w:rFonts w:hint="default"/>
          <w:lang w:val="en-US"/>
        </w:rPr>
        <w:t>34</w:t>
      </w:r>
      <w:r>
        <w:t xml:space="preserve">). Another study in </w:t>
      </w:r>
      <w:r>
        <w:rPr>
          <w:rStyle w:val="23"/>
          <w:rFonts w:eastAsiaTheme="majorEastAsia"/>
          <w:b w:val="0"/>
        </w:rPr>
        <w:t>Southeast Nigeria</w:t>
      </w:r>
      <w:r>
        <w:t xml:space="preserve"> found </w:t>
      </w:r>
      <w:r>
        <w:rPr>
          <w:rStyle w:val="23"/>
          <w:rFonts w:eastAsiaTheme="majorEastAsia"/>
          <w:b w:val="0"/>
        </w:rPr>
        <w:t>83.1%</w:t>
      </w:r>
      <w:r>
        <w:rPr>
          <w:b/>
        </w:rPr>
        <w:t xml:space="preserve"> of</w:t>
      </w:r>
      <w:r>
        <w:t xml:space="preserve"> women attending outpatient and immunization clinics were willing to accept the malaria vaccine (</w:t>
      </w:r>
      <w:r>
        <w:rPr>
          <w:rFonts w:hint="default"/>
          <w:lang w:val="en-US"/>
        </w:rPr>
        <w:t>35</w:t>
      </w:r>
      <w:r>
        <w:t xml:space="preserve">). </w:t>
      </w:r>
    </w:p>
    <w:p w14:paraId="1530390D">
      <w:pPr>
        <w:pStyle w:val="22"/>
        <w:spacing w:line="360" w:lineRule="auto"/>
        <w:jc w:val="both"/>
      </w:pPr>
      <w:r>
        <w:t xml:space="preserve">However, the variability in willingness across regions may be explained by differences in exposure to malaria, levels of trust in vaccines, access to health information, and the effectiveness of community engagement strategies. The high willingness rate in our study could also reflect recent improvements in general public awareness towards the impact of malaria, which inturn influenced by the recent unprecedented malaria outbreak in the western Ethiopia. </w:t>
      </w:r>
    </w:p>
    <w:p w14:paraId="49E7BC99">
      <w:p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This study has also aimed to identify factors associated with the willingness to accept the malaria vaccine among mothers in Nekemte City, West Ethiopia. The findings indicate that several demographic and knowledge-related factors significantly influence vaccine acceptance. The results showed that mothers aged 29-39 years were 4.3 times more likely to accept the malaria vaccine compared to those aged 18-28 years. This finding aligns with research by (</w:t>
      </w:r>
      <w:r>
        <w:rPr>
          <w:rFonts w:hint="default" w:ascii="Times New Roman" w:hAnsi="Times New Roman" w:eastAsia="Times New Roman" w:cs="Times New Roman"/>
          <w:sz w:val="24"/>
          <w:szCs w:val="24"/>
          <w:lang w:val="en-US"/>
        </w:rPr>
        <w:t>33).</w:t>
      </w:r>
      <w:r>
        <w:rPr>
          <w:rFonts w:ascii="Times New Roman" w:hAnsi="Times New Roman" w:eastAsia="Times New Roman" w:cs="Times New Roman"/>
          <w:sz w:val="24"/>
          <w:szCs w:val="24"/>
        </w:rPr>
        <w:t xml:space="preserve"> which found that older caregivers often have more experience and understanding of health issues, leading to higher vaccine acceptance rates. </w:t>
      </w:r>
    </w:p>
    <w:p w14:paraId="382E22C5">
      <w:p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Conversely, mothers in rural areas were significantly less likely to accept the vaccine (AOR=0.48), which is consistent with findings from a study in Nigeria that reported lower vaccine uptake in rural populations due to limited access to healthcare services (35).</w:t>
      </w:r>
    </w:p>
    <w:p w14:paraId="4588A9AD">
      <w:p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Knowledge about the preventability of malaria was a strong predictor of vaccine acceptance, with mothers who recognized malaria as preventable being nearly five times more likely to accept the vaccine (AOR=4.885). This finding is supported by a study conducted in Ghana, which demonstrated that increased awareness of malaria prevention strategies correlates with higher vaccination rates (34). </w:t>
      </w:r>
    </w:p>
    <w:p w14:paraId="1380EDCC">
      <w:p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Furthermore, the distance from the vaccination site and waiting time were also significant factors, with mothers living closer to vaccination sites and experiencing shorter waiting times being more willing to accept the vaccine. This is consistent with research indicating that logistical barriers significantly impact vaccine uptake (33).</w:t>
      </w:r>
    </w:p>
    <w:p w14:paraId="55347334">
      <w:pPr>
        <w:spacing w:before="100" w:beforeAutospacing="1" w:after="100" w:afterAutospacing="1" w:line="360" w:lineRule="auto"/>
        <w:jc w:val="both"/>
        <w:rPr>
          <w:rFonts w:ascii="Times New Roman" w:hAnsi="Times New Roman" w:eastAsia="Times New Roman" w:cs="Times New Roman"/>
          <w:sz w:val="28"/>
          <w:szCs w:val="28"/>
        </w:rPr>
      </w:pPr>
      <w:r>
        <w:rPr>
          <w:rFonts w:ascii="Times New Roman" w:hAnsi="Times New Roman" w:eastAsia="Times New Roman" w:cs="Times New Roman"/>
          <w:sz w:val="24"/>
          <w:szCs w:val="24"/>
        </w:rPr>
        <w:t>The study also highlighted the importance of social factors, such as marital status and educational level, in influencing vaccine acceptance. While educational level did not show a statistically significant association in the multivariable model, previous studies have consistently shown that higher education levels correlate with increased health literacy and vaccine acceptance (36).</w:t>
      </w:r>
    </w:p>
    <w:p w14:paraId="5CA60CE4">
      <w:pPr>
        <w:pStyle w:val="3"/>
        <w:numPr>
          <w:ilvl w:val="0"/>
          <w:numId w:val="5"/>
        </w:numPr>
        <w:ind w:left="0" w:leftChars="0" w:firstLine="0" w:firstLineChars="0"/>
        <w:rPr>
          <w:rFonts w:ascii="Times New Roman" w:hAnsi="Times New Roman" w:eastAsia="Times New Roman" w:cs="Times New Roman"/>
          <w:sz w:val="24"/>
          <w:szCs w:val="24"/>
        </w:rPr>
      </w:pPr>
      <w:bookmarkStart w:id="568" w:name="_Toc198635604"/>
      <w:r>
        <w:rPr>
          <w:rFonts w:eastAsia="Times New Roman"/>
        </w:rPr>
        <w:t>Conclusion</w:t>
      </w:r>
      <w:bookmarkEnd w:id="568"/>
    </w:p>
    <w:p w14:paraId="5316D8EC">
      <w:p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 conclusion, this study underscores the multifaceted nature of vaccine acceptance, particularly for the malaria vaccine in Nekemte City, West Ethiopia. Factors such as mothers  age, residence, knowledge of malaria preventability, distance to vaccination sites, and waiting times significantly influence willingness to accept the malaria vaccine. Addressing these factors is crucial for improving vaccination rates and ultimately controlling malaria in the region.</w:t>
      </w:r>
    </w:p>
    <w:p w14:paraId="6CB29E7A">
      <w:pPr>
        <w:pStyle w:val="2"/>
        <w:rPr>
          <w:rFonts w:eastAsia="Times New Roman"/>
        </w:rPr>
      </w:pPr>
      <w:bookmarkStart w:id="569" w:name="_Toc198635605"/>
    </w:p>
    <w:p w14:paraId="627659D3">
      <w:pPr>
        <w:rPr>
          <w:rFonts w:eastAsia="Times New Roman"/>
        </w:rPr>
      </w:pPr>
    </w:p>
    <w:p w14:paraId="323630EA">
      <w:pPr>
        <w:rPr>
          <w:rFonts w:eastAsia="Times New Roman"/>
        </w:rPr>
      </w:pPr>
    </w:p>
    <w:p w14:paraId="5DDC3F79">
      <w:pPr>
        <w:pStyle w:val="2"/>
        <w:rPr>
          <w:rFonts w:eastAsia="Times New Roman"/>
          <w:sz w:val="26"/>
          <w:szCs w:val="26"/>
        </w:rPr>
      </w:pPr>
      <w:r>
        <w:rPr>
          <w:rFonts w:eastAsia="Times New Roman"/>
        </w:rPr>
        <w:t>Recommendations</w:t>
      </w:r>
      <w:bookmarkEnd w:id="569"/>
    </w:p>
    <w:p w14:paraId="592FEFAC">
      <w:pPr>
        <w:numPr>
          <w:ilvl w:val="0"/>
          <w:numId w:val="6"/>
        </w:num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Community Education Programs:</w:t>
      </w:r>
      <w:r>
        <w:rPr>
          <w:rFonts w:ascii="Times New Roman" w:hAnsi="Times New Roman" w:eastAsia="Times New Roman" w:cs="Times New Roman"/>
          <w:sz w:val="24"/>
          <w:szCs w:val="24"/>
        </w:rPr>
        <w:t xml:space="preserve"> Implement targeted educational campaigns to raise awareness about malaria prevention and the importance of vaccination, particularly in rural areas where knowledge gaps exist.</w:t>
      </w:r>
    </w:p>
    <w:p w14:paraId="1B37BB03">
      <w:pPr>
        <w:numPr>
          <w:ilvl w:val="0"/>
          <w:numId w:val="6"/>
        </w:num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Improve Access to Vaccination:</w:t>
      </w:r>
      <w:r>
        <w:rPr>
          <w:rFonts w:ascii="Times New Roman" w:hAnsi="Times New Roman" w:eastAsia="Times New Roman" w:cs="Times New Roman"/>
          <w:sz w:val="24"/>
          <w:szCs w:val="24"/>
        </w:rPr>
        <w:t xml:space="preserve"> Enhance the accessibility of vaccination sites by establishing more clinics in rural areas and reducing waiting times to encourage higher acceptance rates.</w:t>
      </w:r>
    </w:p>
    <w:p w14:paraId="7B06C549">
      <w:pPr>
        <w:numPr>
          <w:ilvl w:val="0"/>
          <w:numId w:val="6"/>
        </w:num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Engage Community Leaders:</w:t>
      </w:r>
      <w:r>
        <w:rPr>
          <w:rFonts w:ascii="Times New Roman" w:hAnsi="Times New Roman" w:eastAsia="Times New Roman" w:cs="Times New Roman"/>
          <w:sz w:val="24"/>
          <w:szCs w:val="24"/>
        </w:rPr>
        <w:t xml:space="preserve"> Involve local leaders and influencers to promote the malaria vaccine and address cultural barriers that may hinder acceptance.</w:t>
      </w:r>
    </w:p>
    <w:p w14:paraId="67BCC39C">
      <w:pPr>
        <w:numPr>
          <w:ilvl w:val="0"/>
          <w:numId w:val="6"/>
        </w:num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Tailored Interventions:</w:t>
      </w:r>
      <w:r>
        <w:rPr>
          <w:rFonts w:ascii="Times New Roman" w:hAnsi="Times New Roman" w:eastAsia="Times New Roman" w:cs="Times New Roman"/>
          <w:sz w:val="24"/>
          <w:szCs w:val="24"/>
        </w:rPr>
        <w:t xml:space="preserve"> Develop interventions that consider the specific needs and characteristics of different demographic groups, particularly younger mothers and those with lower educational levels.</w:t>
      </w:r>
    </w:p>
    <w:p w14:paraId="35E7F69F">
      <w:pPr>
        <w:numPr>
          <w:ilvl w:val="0"/>
          <w:numId w:val="6"/>
        </w:num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Stake holders;</w:t>
      </w:r>
      <w:r>
        <w:rPr>
          <w:rFonts w:ascii="Times New Roman" w:hAnsi="Times New Roman" w:eastAsia="Times New Roman" w:cs="Times New Roman"/>
          <w:sz w:val="24"/>
          <w:szCs w:val="24"/>
        </w:rPr>
        <w:t xml:space="preserve"> motivate stake holders to prepare early for adoption of a vaccin. </w:t>
      </w:r>
    </w:p>
    <w:p w14:paraId="7DC279C1">
      <w:pPr>
        <w:pStyle w:val="2"/>
        <w:spacing w:line="360" w:lineRule="auto"/>
        <w:jc w:val="both"/>
        <w:rPr>
          <w:rFonts w:ascii="Times New Roman" w:hAnsi="Times New Roman" w:eastAsia="Times New Roman" w:cs="Times New Roman"/>
          <w:color w:val="auto"/>
        </w:rPr>
      </w:pPr>
      <w:bookmarkStart w:id="570" w:name="_Toc198635606"/>
      <w:r>
        <w:rPr>
          <w:rFonts w:ascii="Times New Roman" w:hAnsi="Times New Roman" w:eastAsia="Times New Roman" w:cs="Times New Roman"/>
          <w:color w:val="auto"/>
        </w:rPr>
        <w:t>Strengths</w:t>
      </w:r>
      <w:bookmarkEnd w:id="570"/>
    </w:p>
    <w:p w14:paraId="004C0901">
      <w:pPr>
        <w:numPr>
          <w:ilvl w:val="0"/>
          <w:numId w:val="7"/>
        </w:num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 study utilized a robust sample size of  participants, enhancing the reliability of the findings.</w:t>
      </w:r>
    </w:p>
    <w:p w14:paraId="02054337">
      <w:pPr>
        <w:numPr>
          <w:ilvl w:val="0"/>
          <w:numId w:val="7"/>
        </w:num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The research was conducted in a specific </w:t>
      </w:r>
      <w:r>
        <w:rPr>
          <w:rFonts w:hint="default" w:ascii="Times New Roman" w:hAnsi="Times New Roman" w:eastAsia="Times New Roman" w:cs="Times New Roman"/>
          <w:sz w:val="24"/>
          <w:szCs w:val="24"/>
          <w:lang w:val="en-US"/>
        </w:rPr>
        <w:t>G</w:t>
      </w:r>
      <w:r>
        <w:rPr>
          <w:rFonts w:ascii="Times New Roman" w:hAnsi="Times New Roman" w:eastAsia="Times New Roman" w:cs="Times New Roman"/>
          <w:sz w:val="24"/>
          <w:szCs w:val="24"/>
        </w:rPr>
        <w:t>eographical context, providing valuable insights into local health behaviors and attitudes.</w:t>
      </w:r>
    </w:p>
    <w:p w14:paraId="4B07C617">
      <w:pPr>
        <w:pStyle w:val="2"/>
        <w:spacing w:line="360" w:lineRule="auto"/>
        <w:jc w:val="both"/>
        <w:rPr>
          <w:rFonts w:ascii="Times New Roman" w:hAnsi="Times New Roman" w:eastAsia="Times New Roman" w:cs="Times New Roman"/>
          <w:color w:val="auto"/>
        </w:rPr>
      </w:pPr>
      <w:bookmarkStart w:id="571" w:name="_Toc198635607"/>
      <w:r>
        <w:rPr>
          <w:rFonts w:ascii="Times New Roman" w:hAnsi="Times New Roman" w:eastAsia="Times New Roman" w:cs="Times New Roman"/>
          <w:color w:val="auto"/>
        </w:rPr>
        <w:t>Limitations</w:t>
      </w:r>
      <w:bookmarkEnd w:id="571"/>
    </w:p>
    <w:p w14:paraId="1D7450BA">
      <w:pPr>
        <w:numPr>
          <w:ilvl w:val="0"/>
          <w:numId w:val="8"/>
        </w:num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 cross-sectiona</w:t>
      </w:r>
      <w:r>
        <w:rPr>
          <w:rFonts w:hint="default" w:ascii="Times New Roman" w:hAnsi="Times New Roman" w:eastAsia="Times New Roman" w:cs="Times New Roman"/>
          <w:sz w:val="24"/>
          <w:szCs w:val="24"/>
          <w:lang w:val="en-US"/>
        </w:rPr>
        <w:t xml:space="preserve"> </w:t>
      </w:r>
      <w:r>
        <w:rPr>
          <w:rFonts w:ascii="Times New Roman" w:hAnsi="Times New Roman" w:eastAsia="Times New Roman" w:cs="Times New Roman"/>
          <w:sz w:val="24"/>
          <w:szCs w:val="24"/>
        </w:rPr>
        <w:t>l</w:t>
      </w:r>
      <w:r>
        <w:rPr>
          <w:rFonts w:hint="default" w:ascii="Times New Roman" w:hAnsi="Times New Roman" w:eastAsia="Times New Roman" w:cs="Times New Roman"/>
          <w:sz w:val="24"/>
          <w:szCs w:val="24"/>
          <w:lang w:val="en-US"/>
        </w:rPr>
        <w:t>study</w:t>
      </w:r>
      <w:r>
        <w:rPr>
          <w:rFonts w:ascii="Times New Roman" w:hAnsi="Times New Roman" w:eastAsia="Times New Roman" w:cs="Times New Roman"/>
          <w:sz w:val="24"/>
          <w:szCs w:val="24"/>
        </w:rPr>
        <w:t xml:space="preserve"> design limits the ability to establish causal relationships between the identified factors and vaccine acceptance.</w:t>
      </w:r>
    </w:p>
    <w:p w14:paraId="65B9090B">
      <w:pPr>
        <w:numPr>
          <w:ilvl w:val="0"/>
          <w:numId w:val="8"/>
        </w:numPr>
        <w:spacing w:before="100" w:beforeAutospacing="1" w:after="100" w:afterAutospacing="1"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 findings may not be generalizable to other regions or populations with different cultural or socioeconomic contexts.</w:t>
      </w:r>
    </w:p>
    <w:p w14:paraId="6593B90C">
      <w:pPr>
        <w:pStyle w:val="2"/>
        <w:rPr>
          <w:rFonts w:eastAsia="Times New Roman"/>
        </w:rPr>
      </w:pPr>
      <w:bookmarkStart w:id="572" w:name="_Toc198635608"/>
    </w:p>
    <w:p w14:paraId="4018C66D">
      <w:pPr>
        <w:pStyle w:val="2"/>
        <w:rPr>
          <w:rFonts w:eastAsia="Times New Roman"/>
        </w:rPr>
      </w:pPr>
    </w:p>
    <w:p w14:paraId="3E66707E">
      <w:pPr>
        <w:pStyle w:val="2"/>
        <w:rPr>
          <w:rFonts w:eastAsia="Times New Roman"/>
        </w:rPr>
      </w:pPr>
    </w:p>
    <w:p w14:paraId="1C5221DB">
      <w:pPr>
        <w:rPr>
          <w:rFonts w:eastAsia="Times New Roman"/>
        </w:rPr>
      </w:pPr>
    </w:p>
    <w:p w14:paraId="7950CE28">
      <w:pPr>
        <w:rPr>
          <w:rFonts w:eastAsia="Times New Roman"/>
        </w:rPr>
      </w:pPr>
    </w:p>
    <w:p w14:paraId="210A9D9E">
      <w:pPr>
        <w:pStyle w:val="2"/>
        <w:rPr>
          <w:rFonts w:eastAsia="Times New Roman"/>
        </w:rPr>
      </w:pPr>
      <w:r>
        <w:rPr>
          <w:rFonts w:eastAsia="Times New Roman"/>
        </w:rPr>
        <w:t>References</w:t>
      </w:r>
      <w:bookmarkEnd w:id="572"/>
      <w:r>
        <w:rPr>
          <w:rFonts w:eastAsia="Times New Roman"/>
        </w:rPr>
        <w:t xml:space="preserve"> </w:t>
      </w:r>
    </w:p>
    <w:p w14:paraId="125E2DE7">
      <w:pPr>
        <w:widowControl w:val="0"/>
        <w:autoSpaceDE w:val="0"/>
        <w:autoSpaceDN w:val="0"/>
        <w:adjustRightInd w:val="0"/>
        <w:spacing w:before="100" w:after="100" w:line="360" w:lineRule="auto"/>
        <w:ind w:left="640" w:hanging="640"/>
        <w:rPr>
          <w:rFonts w:ascii="Times New Roman" w:hAnsi="Times New Roman" w:cs="Times New Roman"/>
          <w:sz w:val="24"/>
          <w:szCs w:val="24"/>
        </w:rPr>
      </w:pPr>
      <w:r>
        <w:rPr>
          <w:rFonts w:ascii="Times New Roman" w:hAnsi="Times New Roman" w:eastAsia="Times New Roman" w:cs="Times New Roman"/>
          <w:b/>
          <w:sz w:val="24"/>
          <w:szCs w:val="24"/>
        </w:rPr>
        <w:fldChar w:fldCharType="begin" w:fldLock="1"/>
      </w:r>
      <w:r>
        <w:rPr>
          <w:rFonts w:ascii="Times New Roman" w:hAnsi="Times New Roman" w:eastAsia="Times New Roman" w:cs="Times New Roman"/>
          <w:b/>
          <w:sz w:val="24"/>
          <w:szCs w:val="24"/>
        </w:rPr>
        <w:instrText xml:space="preserve">ADDIN Mendeley Bibliography CSL_BIBLIOGRAPHY </w:instrText>
      </w:r>
      <w:r>
        <w:rPr>
          <w:rFonts w:ascii="Times New Roman" w:hAnsi="Times New Roman" w:eastAsia="Times New Roman" w:cs="Times New Roman"/>
          <w:b/>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Abdulkadir BI, Ajayi IO. Willingness to accept malaria vaccine among caregivers of under-5 children in Ibadan North Local Government Area, Nigeria. MalariaWorld J [Internet]. 2015;6(2). Available from: https://doi.org/10.5281/zenodo.10870005</w:t>
      </w:r>
    </w:p>
    <w:p w14:paraId="39042216">
      <w:pPr>
        <w:widowControl w:val="0"/>
        <w:autoSpaceDE w:val="0"/>
        <w:autoSpaceDN w:val="0"/>
        <w:adjustRightInd w:val="0"/>
        <w:spacing w:before="100" w:after="100" w:line="360" w:lineRule="auto"/>
        <w:ind w:left="640" w:hanging="64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 xml:space="preserve">Malaria Vaccine Introduction document 24 January 2024_Ethiopia_Comments. </w:t>
      </w:r>
    </w:p>
    <w:p w14:paraId="4D406D0A">
      <w:pPr>
        <w:widowControl w:val="0"/>
        <w:autoSpaceDE w:val="0"/>
        <w:autoSpaceDN w:val="0"/>
        <w:adjustRightInd w:val="0"/>
        <w:spacing w:before="100" w:after="100" w:line="360" w:lineRule="auto"/>
        <w:ind w:left="640" w:hanging="640"/>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 xml:space="preserve">Amin MA, Afrin S, Bonna AS, Rozars MFK, Nabi MH, Hawlader MDH. Knowledge and acceptance of malaria vaccine among parents of under-five children of malaria endemic areas in Bangladesh: A cross-sectional study. Heal Expect. 2023;26(6):2630–43. </w:t>
      </w:r>
    </w:p>
    <w:p w14:paraId="3C92C89B">
      <w:pPr>
        <w:widowControl w:val="0"/>
        <w:autoSpaceDE w:val="0"/>
        <w:autoSpaceDN w:val="0"/>
        <w:adjustRightInd w:val="0"/>
        <w:spacing w:before="100" w:after="100" w:line="360" w:lineRule="auto"/>
        <w:ind w:left="640" w:hanging="640"/>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Pr>
          <w:rFonts w:ascii="Times New Roman" w:hAnsi="Times New Roman" w:cs="Times New Roman"/>
          <w:sz w:val="24"/>
          <w:szCs w:val="24"/>
        </w:rPr>
        <w:t xml:space="preserve">World malaria report 2022. 2022. </w:t>
      </w:r>
    </w:p>
    <w:p w14:paraId="27633188">
      <w:pPr>
        <w:widowControl w:val="0"/>
        <w:autoSpaceDE w:val="0"/>
        <w:autoSpaceDN w:val="0"/>
        <w:adjustRightInd w:val="0"/>
        <w:spacing w:before="100" w:after="100" w:line="360" w:lineRule="auto"/>
        <w:ind w:left="640" w:hanging="640"/>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Pr>
          <w:rFonts w:ascii="Times New Roman" w:hAnsi="Times New Roman" w:cs="Times New Roman"/>
          <w:sz w:val="24"/>
          <w:szCs w:val="24"/>
        </w:rPr>
        <w:t>Asmare G. Willingness to accept malaria vaccine among caregivers of under-5 children in Southwest Ethiopia: a community based cross-sectional study. Malar J [Internet]. 2022;21(1):1–8. Available from: https://doi.org/10.1186/s12936-022-04164-z</w:t>
      </w:r>
    </w:p>
    <w:p w14:paraId="15FCE9A1">
      <w:pPr>
        <w:widowControl w:val="0"/>
        <w:autoSpaceDE w:val="0"/>
        <w:autoSpaceDN w:val="0"/>
        <w:adjustRightInd w:val="0"/>
        <w:spacing w:before="100" w:after="100" w:line="360" w:lineRule="auto"/>
        <w:ind w:left="640" w:hanging="640"/>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r>
        <w:rPr>
          <w:rFonts w:ascii="Times New Roman" w:hAnsi="Times New Roman" w:cs="Times New Roman"/>
          <w:sz w:val="24"/>
          <w:szCs w:val="24"/>
        </w:rPr>
        <w:t>Chinawa AT, Ossai EN, Onukwuli VO, Nduagubam OC, Uwaezuoke NA, Okafor CN, et al. Willingness to accept malaria vaccines amongst women presenting at outpatient and immunization clinics in Enugu state, Southeast Nigeria. Malar J [Internet]. 2024;23(1):1–10. Available from: https://doi.org/10.1186/s12936-024-04914-1</w:t>
      </w:r>
    </w:p>
    <w:p w14:paraId="62B9724F">
      <w:pPr>
        <w:widowControl w:val="0"/>
        <w:autoSpaceDE w:val="0"/>
        <w:autoSpaceDN w:val="0"/>
        <w:adjustRightInd w:val="0"/>
        <w:spacing w:before="100" w:after="100" w:line="360" w:lineRule="auto"/>
        <w:ind w:left="640" w:hanging="640"/>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r>
      <w:r>
        <w:rPr>
          <w:rFonts w:ascii="Times New Roman" w:hAnsi="Times New Roman" w:cs="Times New Roman"/>
          <w:sz w:val="24"/>
          <w:szCs w:val="24"/>
        </w:rPr>
        <w:t xml:space="preserve">Datoo MS, Dicko A, Tinto H, Ouédraogo JB, Hamaluba M, Olotu A, et al. Safety and efficacy of malaria vaccine candidate R21/Matrix-M in African children: a multicentre, double-blind, randomised, phase 3 trial. Lancet. 2024;403(10426):533–44. </w:t>
      </w:r>
    </w:p>
    <w:p w14:paraId="388DBDD9">
      <w:pPr>
        <w:widowControl w:val="0"/>
        <w:autoSpaceDE w:val="0"/>
        <w:autoSpaceDN w:val="0"/>
        <w:adjustRightInd w:val="0"/>
        <w:spacing w:before="100" w:after="100" w:line="360" w:lineRule="auto"/>
        <w:ind w:left="640" w:hanging="640"/>
        <w:rPr>
          <w:rFonts w:ascii="Times New Roman" w:hAnsi="Times New Roman" w:cs="Times New Roman"/>
          <w:sz w:val="24"/>
          <w:szCs w:val="24"/>
        </w:rPr>
      </w:pPr>
      <w:r>
        <w:rPr>
          <w:rFonts w:ascii="Times New Roman" w:hAnsi="Times New Roman" w:cs="Times New Roman"/>
          <w:sz w:val="24"/>
          <w:szCs w:val="24"/>
        </w:rPr>
        <w:t>8. Central Statistical Agency (CSA). Ethiopia. and ORC Macro. Ethiopia Demographic and Health Survey 2005.Addis Ababa and Calverton, MD. https://www.dhsprogram.com/pubs/pdf/fr179/fr179%5B23june2011% 5D.pdf.</w:t>
      </w:r>
    </w:p>
    <w:p w14:paraId="216AD539">
      <w:pPr>
        <w:widowControl w:val="0"/>
        <w:autoSpaceDE w:val="0"/>
        <w:autoSpaceDN w:val="0"/>
        <w:adjustRightInd w:val="0"/>
        <w:spacing w:before="100" w:after="100" w:line="360" w:lineRule="auto"/>
        <w:ind w:left="640" w:hanging="640"/>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r>
      <w:r>
        <w:rPr>
          <w:rFonts w:ascii="Times New Roman" w:hAnsi="Times New Roman" w:cs="Times New Roman"/>
          <w:sz w:val="24"/>
          <w:szCs w:val="24"/>
        </w:rPr>
        <w:t>Draper SJ, Sack BK, King CR, Nielsen CM, Rayner JC, Higgins MK, et al. Malaria Vaccines: Recent Advances and New Horizons. Cell Host Microbe [Internet]. 2018;24(1):43–56. Available from: https://doi.org/10.1016/j.chom.2018.06.008</w:t>
      </w:r>
    </w:p>
    <w:p w14:paraId="7791ACBB">
      <w:pPr>
        <w:widowControl w:val="0"/>
        <w:autoSpaceDE w:val="0"/>
        <w:autoSpaceDN w:val="0"/>
        <w:adjustRightInd w:val="0"/>
        <w:spacing w:before="100" w:after="100" w:line="360" w:lineRule="auto"/>
        <w:ind w:left="640" w:hanging="640"/>
        <w:rPr>
          <w:rFonts w:ascii="Times New Roman" w:hAnsi="Times New Roman" w:cs="Times New Roman"/>
          <w:sz w:val="24"/>
          <w:szCs w:val="24"/>
        </w:rPr>
      </w:pPr>
      <w:r>
        <w:t>10. World Malaria Report (WMR). 2016. https://apps.who.int/iris/bitstream/ handle/10665/254912/WHO-HTM-GMP-2017.4-eng.pdf;jsessionid= C2D9214A437D8896DD8E129F094F44F1?sequence=1</w:t>
      </w:r>
    </w:p>
    <w:p w14:paraId="035E0EF3">
      <w:pPr>
        <w:widowControl w:val="0"/>
        <w:autoSpaceDE w:val="0"/>
        <w:autoSpaceDN w:val="0"/>
        <w:adjustRightInd w:val="0"/>
        <w:spacing w:before="100" w:after="100" w:line="360" w:lineRule="auto"/>
        <w:ind w:left="640" w:hanging="640"/>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r>
      <w:r>
        <w:rPr>
          <w:rFonts w:ascii="Times New Roman" w:hAnsi="Times New Roman" w:cs="Times New Roman"/>
          <w:sz w:val="24"/>
          <w:szCs w:val="24"/>
        </w:rPr>
        <w:t xml:space="preserve">Duga AL, Ngongo N, Fallah MP, Figueras A, Kilowe C, Murtala J, et al. Malaria vaccine rollout begins in Africa: the need to strengthen regulatory and safety surveillance systems in Africa. BMJ Glob Heal. 2024;9(10):1–4. </w:t>
      </w:r>
    </w:p>
    <w:p w14:paraId="74E20324">
      <w:pPr>
        <w:widowControl w:val="0"/>
        <w:autoSpaceDE w:val="0"/>
        <w:autoSpaceDN w:val="0"/>
        <w:adjustRightInd w:val="0"/>
        <w:spacing w:before="100" w:after="100" w:line="360" w:lineRule="auto"/>
        <w:ind w:left="640" w:hanging="640"/>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r>
      <w:r>
        <w:rPr>
          <w:rFonts w:ascii="Times New Roman" w:hAnsi="Times New Roman" w:cs="Times New Roman"/>
          <w:sz w:val="24"/>
          <w:szCs w:val="24"/>
        </w:rPr>
        <w:t>El-Moamly AA, El-Sweify MA. Malaria vaccines: the 60-year journey of hope and final success—lessons learned and future prospects. Trop Med Health [Internet]. 2023;51(1). Available from: https://doi.org/10.1186/s41182-023-00516-w</w:t>
      </w:r>
    </w:p>
    <w:p w14:paraId="0A34071D">
      <w:pPr>
        <w:widowControl w:val="0"/>
        <w:autoSpaceDE w:val="0"/>
        <w:autoSpaceDN w:val="0"/>
        <w:adjustRightInd w:val="0"/>
        <w:spacing w:before="100" w:after="100" w:line="360" w:lineRule="auto"/>
        <w:ind w:left="640" w:hanging="640"/>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rPr>
        <w:tab/>
      </w:r>
      <w:r>
        <w:rPr>
          <w:rFonts w:ascii="Times New Roman" w:hAnsi="Times New Roman" w:cs="Times New Roman"/>
          <w:sz w:val="24"/>
          <w:szCs w:val="24"/>
        </w:rPr>
        <w:t>Etokidem AJ, Ndifon WO, Asibong UE. Perception and acceptability of malaria vaccine among maternal and child health clinic attendees at the University of Calabar Teaching Hospital, Calabar, Nigeria. J Community Med Prim Heal Care [Internet]. 2016;27(1):51–8. Availablefrom:https://www.google.com/url?client=internalelementcse&amp;cx=007797540432222069508:kprfz3g5lc&amp;q=https://www.ajol.info/index.php/jcmphc/article/view/139381/129079&amp;sa=U&amp;ved=2ahUKEwiVx62jlID7AhVKgRoKHeTwDv44UBAWegQIBBAB&amp;usg=AOvVaw3PYZM7f_1s001HaGNqKSGF</w:t>
      </w:r>
    </w:p>
    <w:p w14:paraId="002C54A2">
      <w:pPr>
        <w:widowControl w:val="0"/>
        <w:autoSpaceDE w:val="0"/>
        <w:autoSpaceDN w:val="0"/>
        <w:adjustRightInd w:val="0"/>
        <w:spacing w:before="100" w:after="100" w:line="360" w:lineRule="auto"/>
        <w:ind w:left="640" w:hanging="640"/>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rPr>
        <w:tab/>
      </w:r>
      <w:r>
        <w:rPr>
          <w:rFonts w:ascii="Times New Roman" w:hAnsi="Times New Roman" w:cs="Times New Roman"/>
          <w:sz w:val="24"/>
          <w:szCs w:val="24"/>
        </w:rPr>
        <w:t xml:space="preserve">Faso B, Leone S. Malaria Vaccine Introduction Workshop - Peer-learning workshop. Https://WwwMvi-Workshop-With-OmsOrg/. 2024;(June):1–5. </w:t>
      </w:r>
    </w:p>
    <w:p w14:paraId="2AE78C89">
      <w:pPr>
        <w:widowControl w:val="0"/>
        <w:autoSpaceDE w:val="0"/>
        <w:autoSpaceDN w:val="0"/>
        <w:adjustRightInd w:val="0"/>
        <w:spacing w:before="100" w:after="100" w:line="360" w:lineRule="auto"/>
        <w:ind w:left="640" w:hanging="640"/>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rPr>
        <w:tab/>
      </w:r>
      <w:r>
        <w:rPr>
          <w:rFonts w:ascii="Times New Roman" w:hAnsi="Times New Roman" w:cs="Times New Roman"/>
          <w:sz w:val="24"/>
          <w:szCs w:val="24"/>
        </w:rPr>
        <w:t>Hussein MF, Kyei-Arthur F, Saleeb M, Kyei-Gyamfi S, Abutima T, Sakada IG, et al. Hesitancy towards R21/Matrix-M malaria vaccine among Ghanaian parents and attitudes towards immunizing non-eligible children: a cross-sectional survey. Malar J [Internet]. 2024;23(1):1–14. Available from: https://doi.org/10.1186/s12936-024-04921-2</w:t>
      </w:r>
    </w:p>
    <w:p w14:paraId="1E4CD70E">
      <w:pPr>
        <w:widowControl w:val="0"/>
        <w:autoSpaceDE w:val="0"/>
        <w:autoSpaceDN w:val="0"/>
        <w:adjustRightInd w:val="0"/>
        <w:spacing w:before="100" w:after="100" w:line="360" w:lineRule="auto"/>
        <w:ind w:left="640" w:hanging="640"/>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rPr>
        <w:tab/>
      </w:r>
      <w:r>
        <w:rPr>
          <w:rFonts w:ascii="Times New Roman" w:hAnsi="Times New Roman" w:cs="Times New Roman"/>
          <w:sz w:val="24"/>
          <w:szCs w:val="24"/>
        </w:rPr>
        <w:t>Ilogu LC, Lugovska O, Vojtek I, Prugnola A, Callegaro A, Mazzilli S, et al. The intent of students to vaccinate is influenced by cultural factors, peer network, and knowledge about vaccines. Hum Vaccines Immunother [Internet]. 2022;18(1):1–9. Available from: https://doi.org/10.1080/21645515.2021.1938492</w:t>
      </w:r>
    </w:p>
    <w:p w14:paraId="5B9F3D18">
      <w:pPr>
        <w:widowControl w:val="0"/>
        <w:autoSpaceDE w:val="0"/>
        <w:autoSpaceDN w:val="0"/>
        <w:adjustRightInd w:val="0"/>
        <w:spacing w:before="100" w:after="100" w:line="360" w:lineRule="auto"/>
        <w:ind w:left="640" w:hanging="640"/>
        <w:rPr>
          <w:rFonts w:ascii="Times New Roman" w:hAnsi="Times New Roman" w:cs="Times New Roman"/>
          <w:sz w:val="24"/>
          <w:szCs w:val="24"/>
        </w:rPr>
      </w:pPr>
      <w:r>
        <w:rPr>
          <w:rFonts w:ascii="Times New Roman" w:hAnsi="Times New Roman" w:cs="Times New Roman"/>
          <w:sz w:val="24"/>
          <w:szCs w:val="24"/>
        </w:rPr>
        <w:t>17.</w:t>
      </w:r>
      <w:r>
        <w:rPr>
          <w:rFonts w:ascii="Times New Roman" w:hAnsi="Times New Roman" w:cs="Times New Roman"/>
          <w:sz w:val="24"/>
          <w:szCs w:val="24"/>
        </w:rPr>
        <w:tab/>
      </w:r>
      <w:r>
        <w:rPr>
          <w:rFonts w:ascii="Times New Roman" w:hAnsi="Times New Roman" w:cs="Times New Roman"/>
          <w:sz w:val="24"/>
          <w:szCs w:val="24"/>
        </w:rPr>
        <w:t xml:space="preserve">Iloabuchi FC. Knowledge , Attitude , and Willingness to accept the RTS , S malaria vaccine among Mothers / Caregivers of under-five children : A Qualitative study in Enugu state , Nigeria. 2024;1–17. </w:t>
      </w:r>
    </w:p>
    <w:p w14:paraId="567C5BC7">
      <w:pPr>
        <w:widowControl w:val="0"/>
        <w:autoSpaceDE w:val="0"/>
        <w:autoSpaceDN w:val="0"/>
        <w:adjustRightInd w:val="0"/>
        <w:spacing w:after="100" w:line="360" w:lineRule="auto"/>
        <w:ind w:left="634" w:hanging="634"/>
        <w:jc w:val="left"/>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sz w:val="24"/>
          <w:szCs w:val="24"/>
        </w:rPr>
        <w:tab/>
      </w:r>
      <w:r>
        <w:rPr>
          <w:rFonts w:ascii="Times New Roman" w:hAnsi="Times New Roman" w:cs="Times New Roman"/>
          <w:sz w:val="24"/>
          <w:szCs w:val="24"/>
        </w:rPr>
        <w:t>Koné D, Coulibaly D, Doumbo O, Fall I, Kibuchi E, Mitto B, et al. An Epidemiological Profile of Malaria in Ethiopia. Program Natl Lutte contre le Palud [Internet]. 2015;(February):1–88. Available from: http://www.inform-malaria.org/wp-content/uploads/2015/03/Mali-Malaria-Epi-Profile-Report_030315.pdf</w:t>
      </w:r>
    </w:p>
    <w:p w14:paraId="1AAB6FD3">
      <w:pPr>
        <w:widowControl w:val="0"/>
        <w:autoSpaceDE w:val="0"/>
        <w:autoSpaceDN w:val="0"/>
        <w:adjustRightInd w:val="0"/>
        <w:spacing w:after="100" w:line="360" w:lineRule="auto"/>
        <w:ind w:left="634" w:hanging="634"/>
        <w:jc w:val="left"/>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r>
      <w:r>
        <w:rPr>
          <w:rFonts w:ascii="Times New Roman" w:hAnsi="Times New Roman" w:cs="Times New Roman"/>
          <w:sz w:val="24"/>
          <w:szCs w:val="24"/>
        </w:rPr>
        <w:t xml:space="preserve">Ministry of Health and Medical Services of Solomon Islands. Malaria Prevention and Control Ministry of Health and Medical Services, Solomon Islands Healthy Village Facilitator’s Guide. J Integr Care. 2021;(May):1–16. </w:t>
      </w:r>
    </w:p>
    <w:p w14:paraId="44B010E6">
      <w:pPr>
        <w:widowControl w:val="0"/>
        <w:autoSpaceDE w:val="0"/>
        <w:autoSpaceDN w:val="0"/>
        <w:adjustRightInd w:val="0"/>
        <w:spacing w:after="100" w:line="360" w:lineRule="auto"/>
        <w:ind w:left="634" w:hanging="634"/>
        <w:jc w:val="left"/>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sz w:val="24"/>
          <w:szCs w:val="24"/>
        </w:rPr>
        <w:tab/>
      </w:r>
      <w:r>
        <w:rPr>
          <w:rFonts w:ascii="Times New Roman" w:hAnsi="Times New Roman" w:cs="Times New Roman"/>
          <w:sz w:val="24"/>
          <w:szCs w:val="24"/>
        </w:rPr>
        <w:t>Mtenga S, Kimweri A, Romore I, Ali A, Exavery A, Sicuri E, et al. Stakeholders’ opinions and questions regarding the anticipated malaria vaccine in Tanzania. Malar J [Internet]. 2016 Dec 5 [cited 2024 Oct 31];15(1):189. Available from: http://malariajournal.biomedcentral.com/articles/10.1186/s12936-016-1209-6</w:t>
      </w:r>
    </w:p>
    <w:p w14:paraId="077122DD">
      <w:pPr>
        <w:widowControl w:val="0"/>
        <w:autoSpaceDE w:val="0"/>
        <w:autoSpaceDN w:val="0"/>
        <w:adjustRightInd w:val="0"/>
        <w:spacing w:after="100" w:line="360" w:lineRule="auto"/>
        <w:ind w:left="634" w:hanging="634"/>
        <w:jc w:val="left"/>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r>
      <w:r>
        <w:rPr>
          <w:rFonts w:ascii="Times New Roman" w:hAnsi="Times New Roman" w:cs="Times New Roman"/>
          <w:sz w:val="24"/>
          <w:szCs w:val="24"/>
        </w:rPr>
        <w:t xml:space="preserve">YALNIZ DİLCEN H, DOLU İ, TURHAN Z. Validity and reliability study of the vaccine hesitancy scale in Turkish sample. Eur Res J. 2022;8(1):50–8. </w:t>
      </w:r>
    </w:p>
    <w:p w14:paraId="3474C3BD">
      <w:pPr>
        <w:widowControl w:val="0"/>
        <w:autoSpaceDE w:val="0"/>
        <w:autoSpaceDN w:val="0"/>
        <w:adjustRightInd w:val="0"/>
        <w:spacing w:after="100" w:line="360" w:lineRule="auto"/>
        <w:ind w:left="634" w:hanging="634"/>
        <w:jc w:val="left"/>
        <w:rPr>
          <w:rFonts w:ascii="Times New Roman" w:hAnsi="Times New Roman" w:cs="Times New Roman"/>
          <w:sz w:val="24"/>
          <w:szCs w:val="24"/>
        </w:rPr>
      </w:pPr>
      <w:r>
        <w:rPr>
          <w:rFonts w:ascii="Times New Roman" w:hAnsi="Times New Roman" w:cs="Times New Roman"/>
          <w:sz w:val="24"/>
          <w:szCs w:val="24"/>
        </w:rPr>
        <w:t>22.</w:t>
      </w:r>
      <w:r>
        <w:rPr>
          <w:rFonts w:ascii="Times New Roman" w:hAnsi="Times New Roman" w:cs="Times New Roman"/>
          <w:sz w:val="24"/>
          <w:szCs w:val="24"/>
        </w:rPr>
        <w:tab/>
      </w:r>
      <w:r>
        <w:rPr>
          <w:rFonts w:ascii="Times New Roman" w:hAnsi="Times New Roman" w:cs="Times New Roman"/>
          <w:sz w:val="24"/>
          <w:szCs w:val="24"/>
        </w:rPr>
        <w:t>World Health Organization. Full evidence report on the RTS,S/AS01 Malaria Vaccine. SAGE yellow B WHO [Internet]. 2021;5.1(September):40–84. Available from: https://cdn.who.int/media/docs/default-source/immunization/mvip/full-evidence-report-on-the-rtss-as01-malaria-vaccine-for-sage-mpag-(sept2021).pdf</w:t>
      </w:r>
    </w:p>
    <w:p w14:paraId="669ECB52">
      <w:pPr>
        <w:widowControl w:val="0"/>
        <w:autoSpaceDE w:val="0"/>
        <w:autoSpaceDN w:val="0"/>
        <w:adjustRightInd w:val="0"/>
        <w:spacing w:after="100" w:line="360" w:lineRule="auto"/>
        <w:ind w:left="634" w:hanging="634"/>
        <w:jc w:val="left"/>
        <w:rPr>
          <w:rFonts w:ascii="Times New Roman" w:hAnsi="Times New Roman" w:cs="Times New Roman"/>
          <w:sz w:val="24"/>
          <w:szCs w:val="24"/>
        </w:rPr>
      </w:pPr>
      <w:r>
        <w:rPr>
          <w:rFonts w:ascii="Times New Roman" w:hAnsi="Times New Roman" w:cs="Times New Roman"/>
          <w:sz w:val="24"/>
          <w:szCs w:val="24"/>
        </w:rPr>
        <w:t>23.</w:t>
      </w:r>
      <w:r>
        <w:rPr>
          <w:rFonts w:ascii="Times New Roman" w:hAnsi="Times New Roman" w:cs="Times New Roman"/>
          <w:sz w:val="24"/>
          <w:szCs w:val="24"/>
        </w:rPr>
        <w:tab/>
      </w:r>
      <w:r>
        <w:rPr>
          <w:rFonts w:ascii="Times New Roman" w:hAnsi="Times New Roman" w:cs="Times New Roman"/>
          <w:sz w:val="24"/>
          <w:szCs w:val="24"/>
        </w:rPr>
        <w:t xml:space="preserve">World Health Organization. World malaria report 2020: 20 years of global progress and challenges. Vol. 73, American Journal of Medical Genetics. 2020. 1–4 p. </w:t>
      </w:r>
    </w:p>
    <w:p w14:paraId="1A100AB1">
      <w:pPr>
        <w:widowControl w:val="0"/>
        <w:autoSpaceDE w:val="0"/>
        <w:autoSpaceDN w:val="0"/>
        <w:adjustRightInd w:val="0"/>
        <w:spacing w:after="100" w:line="360" w:lineRule="auto"/>
        <w:ind w:left="634" w:hanging="634"/>
        <w:jc w:val="left"/>
        <w:rPr>
          <w:rFonts w:ascii="Times New Roman" w:hAnsi="Times New Roman" w:cs="Times New Roman"/>
          <w:sz w:val="24"/>
          <w:szCs w:val="24"/>
        </w:rPr>
      </w:pPr>
      <w:r>
        <w:rPr>
          <w:rFonts w:ascii="Times New Roman" w:hAnsi="Times New Roman" w:cs="Times New Roman"/>
          <w:sz w:val="24"/>
          <w:szCs w:val="24"/>
        </w:rPr>
        <w:t>24.</w:t>
      </w:r>
      <w:r>
        <w:rPr>
          <w:rFonts w:ascii="Times New Roman" w:hAnsi="Times New Roman" w:cs="Times New Roman"/>
          <w:sz w:val="24"/>
          <w:szCs w:val="24"/>
        </w:rPr>
        <w:tab/>
      </w:r>
      <w:r>
        <w:rPr>
          <w:rFonts w:ascii="Times New Roman" w:hAnsi="Times New Roman" w:cs="Times New Roman"/>
          <w:sz w:val="24"/>
          <w:szCs w:val="24"/>
        </w:rPr>
        <w:t>White SE, Harvey SA, Meza G, Llanos A, Guzman M, Gamboa D, et al. Acceptability of a herd immunity-focused, transmission-blocking malaria vaccine in malaria-endemic communities in the Peruvian Amazon: An exploratory study. Malar J [Internet]. 2018;17(1):1–12. Available from: https://doi.org/10.1186/s12936-018-2328-z</w:t>
      </w:r>
    </w:p>
    <w:p w14:paraId="08E1C304">
      <w:pPr>
        <w:widowControl w:val="0"/>
        <w:autoSpaceDE w:val="0"/>
        <w:autoSpaceDN w:val="0"/>
        <w:adjustRightInd w:val="0"/>
        <w:spacing w:after="100" w:line="360" w:lineRule="auto"/>
        <w:ind w:left="634" w:hanging="634"/>
        <w:jc w:val="left"/>
        <w:rPr>
          <w:rFonts w:ascii="Times New Roman" w:hAnsi="Times New Roman" w:cs="Times New Roman"/>
          <w:sz w:val="24"/>
          <w:szCs w:val="24"/>
        </w:rPr>
      </w:pPr>
      <w:r>
        <w:rPr>
          <w:rFonts w:ascii="Times New Roman" w:hAnsi="Times New Roman" w:cs="Times New Roman"/>
          <w:sz w:val="24"/>
          <w:szCs w:val="24"/>
        </w:rPr>
        <w:t>25.</w:t>
      </w:r>
      <w:r>
        <w:rPr>
          <w:rFonts w:ascii="Times New Roman" w:hAnsi="Times New Roman" w:cs="Times New Roman"/>
          <w:sz w:val="24"/>
          <w:szCs w:val="24"/>
        </w:rPr>
        <w:tab/>
      </w:r>
      <w:r>
        <w:rPr>
          <w:rFonts w:ascii="Times New Roman" w:hAnsi="Times New Roman" w:cs="Times New Roman"/>
          <w:sz w:val="24"/>
          <w:szCs w:val="24"/>
        </w:rPr>
        <w:t xml:space="preserve">Voza T, Kebaier C, Vanderberg JP. Intradermal immunization of mice with radiation-attenuated sporozoites of Plasmodium yoelii induces effective protective immunity. Malar J. 2010;9(1):1–6. </w:t>
      </w:r>
    </w:p>
    <w:p w14:paraId="6705F8F5">
      <w:pPr>
        <w:widowControl w:val="0"/>
        <w:autoSpaceDE w:val="0"/>
        <w:autoSpaceDN w:val="0"/>
        <w:adjustRightInd w:val="0"/>
        <w:spacing w:after="100" w:line="360" w:lineRule="auto"/>
        <w:ind w:left="634" w:hanging="634"/>
        <w:jc w:val="left"/>
        <w:rPr>
          <w:rFonts w:ascii="Times New Roman" w:hAnsi="Times New Roman" w:cs="Times New Roman"/>
          <w:sz w:val="24"/>
          <w:szCs w:val="24"/>
        </w:rPr>
      </w:pPr>
      <w:r>
        <w:rPr>
          <w:rFonts w:ascii="Times New Roman" w:hAnsi="Times New Roman" w:cs="Times New Roman"/>
          <w:sz w:val="24"/>
          <w:szCs w:val="24"/>
        </w:rPr>
        <w:t>26.</w:t>
      </w:r>
      <w:r>
        <w:rPr>
          <w:rFonts w:ascii="Times New Roman" w:hAnsi="Times New Roman" w:cs="Times New Roman"/>
          <w:sz w:val="24"/>
          <w:szCs w:val="24"/>
        </w:rPr>
        <w:tab/>
      </w:r>
      <w:r>
        <w:rPr>
          <w:rFonts w:ascii="Times New Roman" w:hAnsi="Times New Roman" w:cs="Times New Roman"/>
          <w:sz w:val="24"/>
          <w:szCs w:val="24"/>
        </w:rPr>
        <w:t>Venkatesan P. Routine malaria vaccinations start in Africa. The Lancet Microbe [Internet]. 2024;5(6):e519. Available from: http://dx.doi.org/10.1016/S2666-5247(24)00073-9</w:t>
      </w:r>
    </w:p>
    <w:p w14:paraId="3FB46499">
      <w:pPr>
        <w:widowControl w:val="0"/>
        <w:autoSpaceDE w:val="0"/>
        <w:autoSpaceDN w:val="0"/>
        <w:adjustRightInd w:val="0"/>
        <w:spacing w:after="100" w:line="360" w:lineRule="auto"/>
        <w:ind w:left="634" w:hanging="634"/>
        <w:jc w:val="left"/>
        <w:rPr>
          <w:rFonts w:ascii="Times New Roman" w:hAnsi="Times New Roman" w:cs="Times New Roman"/>
          <w:sz w:val="24"/>
          <w:szCs w:val="24"/>
        </w:rPr>
      </w:pPr>
      <w:r>
        <w:rPr>
          <w:rFonts w:ascii="Times New Roman" w:hAnsi="Times New Roman" w:cs="Times New Roman"/>
          <w:sz w:val="24"/>
          <w:szCs w:val="24"/>
        </w:rPr>
        <w:t>27.</w:t>
      </w:r>
      <w:r>
        <w:rPr>
          <w:rFonts w:ascii="Times New Roman" w:hAnsi="Times New Roman" w:cs="Times New Roman"/>
          <w:sz w:val="24"/>
          <w:szCs w:val="24"/>
        </w:rPr>
        <w:tab/>
      </w:r>
      <w:r>
        <w:rPr>
          <w:rFonts w:ascii="Times New Roman" w:hAnsi="Times New Roman" w:cs="Times New Roman"/>
          <w:sz w:val="24"/>
          <w:szCs w:val="24"/>
        </w:rPr>
        <w:t>U.S. President’s Malaria Initiative. Ethiopia Malaria Operational Plan FY 2023. 2020;1–55. Available from: www.pmi.gov</w:t>
      </w:r>
    </w:p>
    <w:p w14:paraId="1F478362">
      <w:pPr>
        <w:widowControl w:val="0"/>
        <w:autoSpaceDE w:val="0"/>
        <w:autoSpaceDN w:val="0"/>
        <w:adjustRightInd w:val="0"/>
        <w:spacing w:after="100" w:line="360" w:lineRule="auto"/>
        <w:ind w:left="634" w:hanging="634"/>
        <w:jc w:val="left"/>
        <w:rPr>
          <w:rFonts w:hint="default" w:ascii="Times New Roman" w:hAnsi="Times New Roman" w:cs="Times New Roman"/>
          <w:sz w:val="22"/>
          <w:szCs w:val="22"/>
        </w:rPr>
      </w:pPr>
      <w:r>
        <w:rPr>
          <w:rFonts w:ascii="Times New Roman" w:hAnsi="Times New Roman" w:cs="Times New Roman"/>
          <w:sz w:val="24"/>
          <w:szCs w:val="24"/>
        </w:rPr>
        <w:t>28.</w:t>
      </w:r>
      <w:r>
        <w:rPr>
          <w:rFonts w:hint="default" w:ascii="Times New Roman" w:hAnsi="Times New Roman" w:cs="Times New Roman"/>
          <w:sz w:val="24"/>
          <w:szCs w:val="24"/>
        </w:rPr>
        <w:tab/>
      </w:r>
      <w:r>
        <w:rPr>
          <w:rFonts w:hint="default" w:ascii="Times New Roman" w:hAnsi="Times New Roman" w:cs="Times New Roman"/>
          <w:sz w:val="22"/>
          <w:szCs w:val="22"/>
        </w:rPr>
        <w:t>Trottier H, Elliott SJ. World Health Organization recommends first malaria vaccine. Can J Public Heal [Internet]. 2021;112(6):967–9. Available from: https://doi.org/10.17269/s41997-021-00593-6</w:t>
      </w:r>
    </w:p>
    <w:p w14:paraId="6798712E">
      <w:pPr>
        <w:widowControl w:val="0"/>
        <w:autoSpaceDE w:val="0"/>
        <w:autoSpaceDN w:val="0"/>
        <w:adjustRightInd w:val="0"/>
        <w:spacing w:after="100" w:line="360" w:lineRule="auto"/>
        <w:ind w:left="634" w:hanging="634"/>
        <w:jc w:val="left"/>
        <w:rPr>
          <w:rFonts w:hint="default" w:ascii="Times New Roman" w:hAnsi="Times New Roman" w:cs="Times New Roman"/>
          <w:sz w:val="22"/>
          <w:szCs w:val="22"/>
        </w:rPr>
      </w:pPr>
      <w:r>
        <w:rPr>
          <w:rFonts w:hint="default" w:ascii="Times New Roman" w:hAnsi="Times New Roman" w:cs="Times New Roman"/>
          <w:sz w:val="22"/>
          <w:szCs w:val="22"/>
        </w:rPr>
        <w:t>29.</w:t>
      </w:r>
      <w:r>
        <w:rPr>
          <w:rFonts w:hint="default" w:ascii="Times New Roman" w:hAnsi="Times New Roman" w:cs="Times New Roman"/>
          <w:sz w:val="22"/>
          <w:szCs w:val="22"/>
        </w:rPr>
        <w:tab/>
      </w:r>
      <w:r>
        <w:rPr>
          <w:rFonts w:hint="default" w:ascii="Times New Roman" w:hAnsi="Times New Roman" w:cs="Times New Roman"/>
          <w:sz w:val="22"/>
          <w:szCs w:val="22"/>
        </w:rPr>
        <w:t xml:space="preserve">Soiza RL, Donaldson AIC, Myint PK. Vaccine against arteriosclerosis: an update. Ther Adv Vaccines. 2018;9(6):259–61. </w:t>
      </w:r>
    </w:p>
    <w:p w14:paraId="0A45EC28">
      <w:pPr>
        <w:widowControl w:val="0"/>
        <w:autoSpaceDE w:val="0"/>
        <w:autoSpaceDN w:val="0"/>
        <w:adjustRightInd w:val="0"/>
        <w:spacing w:after="100" w:line="360" w:lineRule="auto"/>
        <w:ind w:left="634" w:hanging="634"/>
        <w:jc w:val="left"/>
        <w:rPr>
          <w:rFonts w:hint="default" w:ascii="Times New Roman" w:hAnsi="Times New Roman" w:cs="Times New Roman"/>
          <w:sz w:val="22"/>
          <w:szCs w:val="22"/>
        </w:rPr>
      </w:pPr>
      <w:r>
        <w:rPr>
          <w:rFonts w:hint="default" w:ascii="Times New Roman" w:hAnsi="Times New Roman" w:cs="Times New Roman"/>
          <w:sz w:val="22"/>
          <w:szCs w:val="22"/>
        </w:rPr>
        <w:t>30.</w:t>
      </w:r>
      <w:r>
        <w:rPr>
          <w:rFonts w:hint="default" w:ascii="Times New Roman" w:hAnsi="Times New Roman" w:cs="Times New Roman"/>
          <w:sz w:val="22"/>
          <w:szCs w:val="22"/>
        </w:rPr>
        <w:tab/>
      </w:r>
      <w:r>
        <w:rPr>
          <w:rFonts w:hint="default" w:ascii="Times New Roman" w:hAnsi="Times New Roman" w:cs="Times New Roman"/>
          <w:sz w:val="22"/>
          <w:szCs w:val="22"/>
        </w:rPr>
        <w:t xml:space="preserve">Romore I, Ali AM, Semali I, Mshinda H, Tanner M, Abdulla S. Assessment of parental perception of malaria vaccine in Tanzania. Malar J. 2015;14(1):1–6. </w:t>
      </w:r>
    </w:p>
    <w:p w14:paraId="56D41928">
      <w:pPr>
        <w:widowControl w:val="0"/>
        <w:autoSpaceDE w:val="0"/>
        <w:autoSpaceDN w:val="0"/>
        <w:adjustRightInd w:val="0"/>
        <w:spacing w:after="100" w:line="360" w:lineRule="auto"/>
        <w:ind w:left="634" w:hanging="634"/>
        <w:jc w:val="left"/>
        <w:rPr>
          <w:rFonts w:hint="default" w:ascii="Times New Roman" w:hAnsi="Times New Roman" w:cs="Times New Roman"/>
          <w:sz w:val="22"/>
          <w:szCs w:val="22"/>
        </w:rPr>
      </w:pPr>
      <w:r>
        <w:rPr>
          <w:rFonts w:hint="default" w:ascii="Times New Roman" w:hAnsi="Times New Roman" w:cs="Times New Roman"/>
          <w:sz w:val="22"/>
          <w:szCs w:val="22"/>
        </w:rPr>
        <w:t>31.</w:t>
      </w:r>
      <w:r>
        <w:rPr>
          <w:rFonts w:hint="default" w:ascii="Times New Roman" w:hAnsi="Times New Roman" w:cs="Times New Roman"/>
          <w:sz w:val="22"/>
          <w:szCs w:val="22"/>
        </w:rPr>
        <w:tab/>
      </w:r>
      <w:r>
        <w:rPr>
          <w:rFonts w:hint="default" w:ascii="Times New Roman" w:hAnsi="Times New Roman" w:cs="Times New Roman"/>
          <w:sz w:val="22"/>
          <w:szCs w:val="22"/>
        </w:rPr>
        <w:t xml:space="preserve">Prisco A, De Berardinis P. Memory immune response: A major challenge in vaccination. Biomol Concepts. 2012;3(5):479–86. </w:t>
      </w:r>
    </w:p>
    <w:p w14:paraId="5C1E4E98">
      <w:pPr>
        <w:widowControl w:val="0"/>
        <w:autoSpaceDE w:val="0"/>
        <w:autoSpaceDN w:val="0"/>
        <w:adjustRightInd w:val="0"/>
        <w:spacing w:after="100" w:line="360" w:lineRule="auto"/>
        <w:ind w:left="634" w:hanging="634"/>
        <w:jc w:val="left"/>
        <w:rPr>
          <w:rFonts w:hint="default" w:ascii="Times New Roman" w:hAnsi="Times New Roman" w:cs="Times New Roman"/>
          <w:sz w:val="22"/>
          <w:szCs w:val="22"/>
        </w:rPr>
      </w:pPr>
      <w:r>
        <w:rPr>
          <w:rFonts w:hint="default" w:ascii="Times New Roman" w:hAnsi="Times New Roman" w:cs="Times New Roman"/>
          <w:sz w:val="22"/>
          <w:szCs w:val="22"/>
        </w:rPr>
        <w:t>32.</w:t>
      </w:r>
      <w:r>
        <w:rPr>
          <w:rFonts w:hint="default" w:ascii="Times New Roman" w:hAnsi="Times New Roman" w:cs="Times New Roman"/>
          <w:sz w:val="22"/>
          <w:szCs w:val="22"/>
        </w:rPr>
        <w:tab/>
      </w:r>
      <w:r>
        <w:rPr>
          <w:rFonts w:hint="default" w:ascii="Times New Roman" w:hAnsi="Times New Roman" w:cs="Times New Roman"/>
          <w:sz w:val="22"/>
          <w:szCs w:val="22"/>
        </w:rPr>
        <w:t xml:space="preserve">Practice II, Guide F. Immunization In Practice Facilitator Guide. (1):84–7. </w:t>
      </w:r>
    </w:p>
    <w:p w14:paraId="358EDF0E">
      <w:pPr>
        <w:widowControl w:val="0"/>
        <w:autoSpaceDE w:val="0"/>
        <w:autoSpaceDN w:val="0"/>
        <w:adjustRightInd w:val="0"/>
        <w:spacing w:after="100" w:line="360" w:lineRule="auto"/>
        <w:ind w:left="634" w:hanging="634"/>
        <w:jc w:val="left"/>
        <w:rPr>
          <w:rFonts w:hint="default" w:ascii="Times New Roman" w:hAnsi="Times New Roman" w:cs="Times New Roman"/>
          <w:sz w:val="22"/>
          <w:szCs w:val="22"/>
        </w:rPr>
      </w:pPr>
      <w:r>
        <w:rPr>
          <w:rFonts w:hint="default" w:ascii="Times New Roman" w:hAnsi="Times New Roman" w:cs="Times New Roman"/>
          <w:sz w:val="22"/>
          <w:szCs w:val="22"/>
        </w:rPr>
        <w:t>33.</w:t>
      </w:r>
      <w:r>
        <w:rPr>
          <w:rFonts w:hint="default" w:ascii="Times New Roman" w:hAnsi="Times New Roman" w:cs="Times New Roman"/>
          <w:sz w:val="22"/>
          <w:szCs w:val="22"/>
        </w:rPr>
        <w:tab/>
      </w:r>
      <w:r>
        <w:rPr>
          <w:rFonts w:hint="default" w:ascii="Times New Roman" w:hAnsi="Times New Roman" w:cs="Times New Roman"/>
          <w:sz w:val="22"/>
          <w:szCs w:val="22"/>
        </w:rPr>
        <w:t>Otieno L, Guerra Mendoza Y, Adjei S, Agbenyega T, Agnandji ST, Aide P, et al. Safety and immunogenicity of the RTS,S/AS01 malaria vaccine in infants and children identified as HIV-infected during a randomized trial in sub-Saharan Africa. Vaccine [Internet]. 2020;38(4):897–906. Available from: https://doi.org/10.1016/j.vaccine.2019.10.077</w:t>
      </w:r>
    </w:p>
    <w:p w14:paraId="4B68A80E">
      <w:pPr>
        <w:widowControl w:val="0"/>
        <w:autoSpaceDE w:val="0"/>
        <w:autoSpaceDN w:val="0"/>
        <w:adjustRightInd w:val="0"/>
        <w:spacing w:after="100" w:line="360" w:lineRule="auto"/>
        <w:ind w:left="634" w:hanging="634"/>
        <w:jc w:val="left"/>
        <w:rPr>
          <w:rFonts w:hint="default" w:ascii="Times New Roman" w:hAnsi="Times New Roman" w:cs="Times New Roman"/>
          <w:sz w:val="22"/>
          <w:szCs w:val="22"/>
        </w:rPr>
      </w:pPr>
      <w:r>
        <w:rPr>
          <w:rFonts w:hint="default" w:ascii="Times New Roman" w:hAnsi="Times New Roman" w:cs="Times New Roman"/>
          <w:sz w:val="22"/>
          <w:szCs w:val="22"/>
        </w:rPr>
        <w:t>34.</w:t>
      </w:r>
      <w:r>
        <w:rPr>
          <w:rFonts w:hint="default" w:ascii="Times New Roman" w:hAnsi="Times New Roman" w:cs="Times New Roman"/>
          <w:sz w:val="22"/>
          <w:szCs w:val="22"/>
        </w:rPr>
        <w:tab/>
      </w:r>
      <w:bookmarkStart w:id="573" w:name="_Hlk198608345"/>
      <w:r>
        <w:rPr>
          <w:rFonts w:hint="default" w:ascii="Times New Roman" w:hAnsi="Times New Roman" w:cs="Times New Roman"/>
          <w:sz w:val="22"/>
          <w:szCs w:val="22"/>
        </w:rPr>
        <w:t>Olotu A, Fegan</w:t>
      </w:r>
      <w:bookmarkEnd w:id="573"/>
      <w:r>
        <w:rPr>
          <w:rFonts w:hint="default" w:ascii="Times New Roman" w:hAnsi="Times New Roman" w:cs="Times New Roman"/>
          <w:sz w:val="22"/>
          <w:szCs w:val="22"/>
        </w:rPr>
        <w:t xml:space="preserve"> G, Wambua J, Nyangweso G, Leach A, Lievens M, et al. Seven-Year Efficacy of RTS,S/AS01 Malaria Vaccine among Young African Children. N Engl J Med. 2016;374(26):2519–29. </w:t>
      </w:r>
    </w:p>
    <w:p w14:paraId="45124272">
      <w:pPr>
        <w:widowControl w:val="0"/>
        <w:autoSpaceDE w:val="0"/>
        <w:autoSpaceDN w:val="0"/>
        <w:adjustRightInd w:val="0"/>
        <w:spacing w:after="100" w:line="360" w:lineRule="auto"/>
        <w:ind w:left="634" w:hanging="634"/>
        <w:jc w:val="left"/>
        <w:rPr>
          <w:rFonts w:hint="default" w:ascii="Times New Roman" w:hAnsi="Times New Roman" w:cs="Times New Roman"/>
          <w:sz w:val="22"/>
          <w:szCs w:val="22"/>
        </w:rPr>
      </w:pPr>
      <w:r>
        <w:rPr>
          <w:rFonts w:hint="default" w:ascii="Times New Roman" w:hAnsi="Times New Roman" w:cs="Times New Roman"/>
          <w:sz w:val="22"/>
          <w:szCs w:val="22"/>
        </w:rPr>
        <w:t>35.</w:t>
      </w:r>
      <w:r>
        <w:rPr>
          <w:rFonts w:hint="default" w:ascii="Times New Roman" w:hAnsi="Times New Roman" w:cs="Times New Roman"/>
          <w:sz w:val="22"/>
          <w:szCs w:val="22"/>
        </w:rPr>
        <w:tab/>
      </w:r>
      <w:r>
        <w:rPr>
          <w:rFonts w:hint="default" w:ascii="Times New Roman" w:hAnsi="Times New Roman" w:cs="Times New Roman"/>
          <w:sz w:val="22"/>
          <w:szCs w:val="22"/>
        </w:rPr>
        <w:t xml:space="preserve">Ndoula ST, Mboussou F, Njoh AA, Nembot R, Baonga SF, Njinkeu A, et al. Malaria Vaccine Introduction in Cameroon: Early Results 30 Days into Rollout. Vaccines. 2024;12(4). </w:t>
      </w:r>
    </w:p>
    <w:p w14:paraId="142B4BD4">
      <w:pPr>
        <w:widowControl w:val="0"/>
        <w:autoSpaceDE w:val="0"/>
        <w:autoSpaceDN w:val="0"/>
        <w:adjustRightInd w:val="0"/>
        <w:spacing w:after="100" w:line="360" w:lineRule="auto"/>
        <w:ind w:left="634" w:hanging="634"/>
        <w:jc w:val="left"/>
        <w:rPr>
          <w:rFonts w:hint="default" w:ascii="Times New Roman" w:hAnsi="Times New Roman" w:cs="Times New Roman"/>
          <w:sz w:val="22"/>
          <w:szCs w:val="22"/>
        </w:rPr>
      </w:pPr>
      <w:r>
        <w:rPr>
          <w:rFonts w:hint="default" w:ascii="Times New Roman" w:hAnsi="Times New Roman" w:cs="Times New Roman"/>
          <w:sz w:val="22"/>
          <w:szCs w:val="22"/>
        </w:rPr>
        <w:t xml:space="preserve">36. Alagbe, O.O., Iliya, R.S., Rotimi, B., et al. (2025) 'Awareness, perceptions and willingness to accept malaria vaccine for children under age 5 among mothers in Northcentral Nigeria: a cross-sectional study', </w:t>
      </w:r>
      <w:r>
        <w:rPr>
          <w:rStyle w:val="18"/>
          <w:rFonts w:hint="default" w:ascii="Times New Roman" w:hAnsi="Times New Roman" w:cs="Times New Roman" w:eastAsiaTheme="majorEastAsia"/>
          <w:sz w:val="22"/>
          <w:szCs w:val="22"/>
        </w:rPr>
        <w:t>BMJ Open</w:t>
      </w:r>
      <w:r>
        <w:rPr>
          <w:rFonts w:hint="default" w:ascii="Times New Roman" w:hAnsi="Times New Roman" w:cs="Times New Roman"/>
          <w:sz w:val="22"/>
          <w:szCs w:val="22"/>
        </w:rPr>
        <w:t xml:space="preserve">, 15, e091739.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"https://doi.org/10.1136/bmjopen-2024-091739" </w:instrText>
      </w:r>
      <w:r>
        <w:rPr>
          <w:rFonts w:hint="default" w:ascii="Times New Roman" w:hAnsi="Times New Roman" w:cs="Times New Roman"/>
          <w:sz w:val="22"/>
          <w:szCs w:val="22"/>
        </w:rPr>
        <w:fldChar w:fldCharType="separate"/>
      </w:r>
      <w:r>
        <w:rPr>
          <w:rStyle w:val="21"/>
          <w:rFonts w:hint="default" w:ascii="Times New Roman" w:hAnsi="Times New Roman" w:cs="Times New Roman" w:eastAsiaTheme="majorEastAsia"/>
          <w:sz w:val="22"/>
          <w:szCs w:val="22"/>
        </w:rPr>
        <w:t>https://doi.org/10.1136/bmjopen-2024-091739</w:t>
      </w:r>
      <w:r>
        <w:rPr>
          <w:rStyle w:val="21"/>
          <w:rFonts w:hint="default" w:ascii="Times New Roman" w:hAnsi="Times New Roman" w:cs="Times New Roman" w:eastAsiaTheme="majorEastAsia"/>
          <w:sz w:val="22"/>
          <w:szCs w:val="22"/>
        </w:rPr>
        <w:fldChar w:fldCharType="end"/>
      </w:r>
    </w:p>
    <w:p w14:paraId="4E7D7039">
      <w:pPr>
        <w:widowControl w:val="0"/>
        <w:autoSpaceDE w:val="0"/>
        <w:autoSpaceDN w:val="0"/>
        <w:adjustRightInd w:val="0"/>
        <w:spacing w:after="100" w:line="360" w:lineRule="auto"/>
        <w:ind w:left="634" w:hanging="634"/>
        <w:jc w:val="left"/>
        <w:rPr>
          <w:rFonts w:hint="default" w:ascii="Times New Roman" w:hAnsi="Times New Roman" w:cs="Times New Roman"/>
          <w:sz w:val="22"/>
          <w:szCs w:val="22"/>
        </w:rPr>
      </w:pPr>
      <w:r>
        <w:rPr>
          <w:rFonts w:hint="default" w:ascii="Times New Roman" w:hAnsi="Times New Roman" w:cs="Times New Roman"/>
          <w:sz w:val="22"/>
          <w:szCs w:val="22"/>
        </w:rPr>
        <w:t xml:space="preserve">37. </w:t>
      </w:r>
      <w:bookmarkStart w:id="574" w:name="_Hlk198608239"/>
      <w:r>
        <w:rPr>
          <w:rFonts w:hint="default" w:ascii="Times New Roman" w:hAnsi="Times New Roman" w:cs="Times New Roman"/>
          <w:sz w:val="22"/>
          <w:szCs w:val="22"/>
        </w:rPr>
        <w:t>Chinawa, A.T., Ossai,</w:t>
      </w:r>
      <w:bookmarkEnd w:id="574"/>
      <w:r>
        <w:rPr>
          <w:rFonts w:hint="default" w:ascii="Times New Roman" w:hAnsi="Times New Roman" w:cs="Times New Roman"/>
          <w:sz w:val="22"/>
          <w:szCs w:val="22"/>
        </w:rPr>
        <w:t xml:space="preserve"> E.N., Onukwuli, V.O. et al. (2024) 'Willingness to accept malaria vaccines amongst women presenting at outpatient and immunization clinics in Enugu state, Southeast Nigeria', </w:t>
      </w:r>
      <w:r>
        <w:rPr>
          <w:rStyle w:val="18"/>
          <w:rFonts w:hint="default" w:ascii="Times New Roman" w:hAnsi="Times New Roman" w:cs="Times New Roman" w:eastAsiaTheme="majorEastAsia"/>
          <w:sz w:val="22"/>
          <w:szCs w:val="22"/>
        </w:rPr>
        <w:t>Malaria Journal</w:t>
      </w:r>
      <w:r>
        <w:rPr>
          <w:rFonts w:hint="default" w:ascii="Times New Roman" w:hAnsi="Times New Roman" w:cs="Times New Roman"/>
          <w:sz w:val="22"/>
          <w:szCs w:val="22"/>
        </w:rPr>
        <w:t xml:space="preserve">, 23, p.117.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"https://doi.org/10.1186/s12936-024-04914-1" </w:instrText>
      </w:r>
      <w:r>
        <w:rPr>
          <w:rFonts w:hint="default" w:ascii="Times New Roman" w:hAnsi="Times New Roman" w:cs="Times New Roman"/>
          <w:sz w:val="22"/>
          <w:szCs w:val="22"/>
        </w:rPr>
        <w:fldChar w:fldCharType="separate"/>
      </w:r>
      <w:r>
        <w:rPr>
          <w:rStyle w:val="21"/>
          <w:rFonts w:hint="default" w:ascii="Times New Roman" w:hAnsi="Times New Roman" w:cs="Times New Roman" w:eastAsiaTheme="majorEastAsia"/>
          <w:sz w:val="22"/>
          <w:szCs w:val="22"/>
        </w:rPr>
        <w:t>https://doi.org/10.1186/s12936-024-04914-1</w:t>
      </w:r>
      <w:r>
        <w:rPr>
          <w:rStyle w:val="21"/>
          <w:rFonts w:hint="default" w:ascii="Times New Roman" w:hAnsi="Times New Roman" w:cs="Times New Roman" w:eastAsiaTheme="majorEastAsia"/>
          <w:sz w:val="22"/>
          <w:szCs w:val="22"/>
        </w:rPr>
        <w:fldChar w:fldCharType="end"/>
      </w:r>
    </w:p>
    <w:p w14:paraId="074FF547">
      <w:pPr>
        <w:widowControl w:val="0"/>
        <w:autoSpaceDE w:val="0"/>
        <w:autoSpaceDN w:val="0"/>
        <w:adjustRightInd w:val="0"/>
        <w:spacing w:after="100" w:line="360" w:lineRule="auto"/>
        <w:ind w:left="634" w:hanging="634"/>
        <w:jc w:val="left"/>
        <w:rPr>
          <w:rFonts w:hint="default" w:ascii="Times New Roman" w:hAnsi="Times New Roman" w:cs="Times New Roman"/>
          <w:sz w:val="22"/>
          <w:szCs w:val="22"/>
        </w:rPr>
      </w:pPr>
      <w:r>
        <w:rPr>
          <w:rFonts w:hint="default" w:ascii="Times New Roman" w:hAnsi="Times New Roman" w:cs="Times New Roman"/>
          <w:sz w:val="22"/>
          <w:szCs w:val="22"/>
        </w:rPr>
        <w:t>38.</w:t>
      </w:r>
      <w:r>
        <w:rPr>
          <w:rFonts w:hint="default" w:ascii="Times New Roman" w:hAnsi="Times New Roman" w:cs="Times New Roman"/>
          <w:sz w:val="22"/>
          <w:szCs w:val="22"/>
        </w:rPr>
        <w:tab/>
      </w:r>
      <w:r>
        <w:rPr>
          <w:rFonts w:hint="default" w:ascii="Times New Roman" w:hAnsi="Times New Roman" w:cs="Times New Roman"/>
          <w:sz w:val="22"/>
          <w:szCs w:val="22"/>
        </w:rPr>
        <w:t xml:space="preserve">Drori I, Landau D. Chapter 3. Conceptual Framework. Vis Chang Institutional Entrep. </w:t>
      </w:r>
    </w:p>
    <w:p w14:paraId="291684E8">
      <w:pPr>
        <w:widowControl w:val="0"/>
        <w:autoSpaceDE w:val="0"/>
        <w:autoSpaceDN w:val="0"/>
        <w:adjustRightInd w:val="0"/>
        <w:spacing w:after="100" w:line="360" w:lineRule="auto"/>
        <w:ind w:left="634" w:hanging="634"/>
        <w:jc w:val="left"/>
        <w:rPr>
          <w:rFonts w:hint="default" w:ascii="Times New Roman" w:hAnsi="Times New Roman" w:cs="Times New Roman"/>
          <w:sz w:val="22"/>
          <w:szCs w:val="22"/>
        </w:rPr>
      </w:pPr>
      <w:r>
        <w:rPr>
          <w:rFonts w:hint="default" w:ascii="Times New Roman" w:hAnsi="Times New Roman" w:cs="Times New Roman"/>
          <w:sz w:val="22"/>
          <w:szCs w:val="22"/>
        </w:rPr>
        <w:t xml:space="preserve">2022;20–40. </w:t>
      </w:r>
    </w:p>
    <w:p w14:paraId="713E39C6">
      <w:pPr>
        <w:widowControl w:val="0"/>
        <w:autoSpaceDE w:val="0"/>
        <w:autoSpaceDN w:val="0"/>
        <w:adjustRightInd w:val="0"/>
        <w:spacing w:after="100" w:line="360" w:lineRule="auto"/>
        <w:ind w:left="634" w:hanging="634"/>
        <w:jc w:val="left"/>
        <w:rPr>
          <w:rFonts w:hint="default" w:ascii="Times New Roman" w:hAnsi="Times New Roman" w:cs="Times New Roman"/>
          <w:sz w:val="22"/>
          <w:szCs w:val="22"/>
        </w:rPr>
      </w:pPr>
      <w:r>
        <w:rPr>
          <w:rFonts w:hint="default" w:ascii="Times New Roman" w:hAnsi="Times New Roman" w:cs="Times New Roman"/>
          <w:sz w:val="22"/>
          <w:szCs w:val="22"/>
        </w:rPr>
        <w:t xml:space="preserve">39. </w:t>
      </w:r>
      <w:bookmarkStart w:id="575" w:name="_Hlk198607929"/>
      <w:r>
        <w:rPr>
          <w:rFonts w:hint="default" w:ascii="Times New Roman" w:hAnsi="Times New Roman" w:cs="Times New Roman"/>
          <w:color w:val="333333"/>
          <w:sz w:val="22"/>
          <w:szCs w:val="22"/>
          <w:shd w:val="clear" w:color="auto" w:fill="FFFFFF"/>
        </w:rPr>
        <w:t>Ajayi, M.Y., Emeto,</w:t>
      </w:r>
      <w:bookmarkEnd w:id="575"/>
      <w:r>
        <w:rPr>
          <w:rFonts w:hint="default" w:ascii="Times New Roman" w:hAnsi="Times New Roman" w:cs="Times New Roman"/>
          <w:color w:val="333333"/>
          <w:sz w:val="22"/>
          <w:szCs w:val="22"/>
          <w:shd w:val="clear" w:color="auto" w:fill="FFFFFF"/>
        </w:rPr>
        <w:t xml:space="preserve"> D.C. Awareness and acceptability of malaria vaccine among caregivers of under-5 children in Northern Nigeria. </w:t>
      </w:r>
      <w:r>
        <w:rPr>
          <w:rFonts w:hint="default" w:ascii="Times New Roman" w:hAnsi="Times New Roman" w:cs="Times New Roman"/>
          <w:i/>
          <w:iCs/>
          <w:color w:val="333333"/>
          <w:sz w:val="22"/>
          <w:szCs w:val="22"/>
          <w:shd w:val="clear" w:color="auto" w:fill="FFFFFF"/>
        </w:rPr>
        <w:t>Malar J</w:t>
      </w:r>
      <w:r>
        <w:rPr>
          <w:rFonts w:hint="default" w:ascii="Times New Roman" w:hAnsi="Times New Roman" w:cs="Times New Roman"/>
          <w:color w:val="333333"/>
          <w:sz w:val="22"/>
          <w:szCs w:val="22"/>
          <w:shd w:val="clear" w:color="auto" w:fill="FFFFFF"/>
        </w:rPr>
        <w:t> </w:t>
      </w:r>
      <w:r>
        <w:rPr>
          <w:rFonts w:hint="default" w:ascii="Times New Roman" w:hAnsi="Times New Roman" w:cs="Times New Roman"/>
          <w:b/>
          <w:bCs/>
          <w:color w:val="333333"/>
          <w:sz w:val="22"/>
          <w:szCs w:val="22"/>
          <w:shd w:val="clear" w:color="auto" w:fill="FFFFFF"/>
        </w:rPr>
        <w:t>22</w:t>
      </w:r>
      <w:r>
        <w:rPr>
          <w:rFonts w:hint="default" w:ascii="Times New Roman" w:hAnsi="Times New Roman" w:cs="Times New Roman"/>
          <w:color w:val="333333"/>
          <w:sz w:val="22"/>
          <w:szCs w:val="22"/>
          <w:shd w:val="clear" w:color="auto" w:fill="FFFFFF"/>
        </w:rPr>
        <w:t>, 329 (2023). https://doi.org/10.1186/s12936-023-04768-z</w:t>
      </w:r>
    </w:p>
    <w:p w14:paraId="17CB1808">
      <w:pPr>
        <w:widowControl w:val="0"/>
        <w:autoSpaceDE w:val="0"/>
        <w:autoSpaceDN w:val="0"/>
        <w:adjustRightInd w:val="0"/>
        <w:spacing w:after="100" w:line="360" w:lineRule="auto"/>
        <w:ind w:left="634" w:hanging="634"/>
        <w:rPr>
          <w:rFonts w:ascii="Times New Roman" w:hAnsi="Times New Roman" w:cs="Times New Roman"/>
          <w:sz w:val="22"/>
          <w:szCs w:val="22"/>
        </w:rPr>
      </w:pPr>
    </w:p>
    <w:p w14:paraId="17C34F4D">
      <w:pPr>
        <w:widowControl w:val="0"/>
        <w:autoSpaceDE w:val="0"/>
        <w:autoSpaceDN w:val="0"/>
        <w:adjustRightInd w:val="0"/>
        <w:spacing w:before="100" w:after="100" w:line="360" w:lineRule="auto"/>
        <w:ind w:left="640" w:hanging="640"/>
        <w:rPr>
          <w:rFonts w:ascii="Times New Roman" w:hAnsi="Times New Roman" w:cs="Times New Roman"/>
          <w:sz w:val="22"/>
          <w:szCs w:val="22"/>
        </w:rPr>
      </w:pPr>
    </w:p>
    <w:p w14:paraId="1F543D70">
      <w:pPr>
        <w:spacing w:before="100" w:beforeAutospacing="1" w:after="100" w:afterAutospacing="1" w:line="360" w:lineRule="auto"/>
        <w:contextualSpacing/>
        <w:jc w:val="both"/>
        <w:outlineLvl w:val="2"/>
        <w:rPr>
          <w:rFonts w:eastAsia="Times New Roman" w:asciiTheme="majorHAnsi" w:hAnsiTheme="majorHAnsi" w:cstheme="majorBidi"/>
          <w:b/>
          <w:bCs/>
          <w:sz w:val="28"/>
          <w:szCs w:val="28"/>
        </w:rPr>
      </w:pPr>
      <w:r>
        <w:rPr>
          <w:rFonts w:ascii="Times New Roman" w:hAnsi="Times New Roman" w:eastAsia="Times New Roman" w:cs="Times New Roman"/>
          <w:b/>
          <w:sz w:val="24"/>
          <w:szCs w:val="24"/>
        </w:rPr>
        <w:fldChar w:fldCharType="end"/>
      </w:r>
      <w:bookmarkStart w:id="576" w:name="_Toc198622142"/>
      <w:bookmarkStart w:id="577" w:name="_Toc185190175"/>
      <w:bookmarkStart w:id="578" w:name="_Toc181910685"/>
      <w:r>
        <w:rPr>
          <w:rFonts w:eastAsia="Times New Roman"/>
          <w:b/>
          <w:bCs/>
          <w:sz w:val="28"/>
          <w:szCs w:val="28"/>
        </w:rPr>
        <w:t>Annexes</w:t>
      </w:r>
      <w:bookmarkEnd w:id="576"/>
      <w:bookmarkEnd w:id="577"/>
    </w:p>
    <w:p w14:paraId="26DAA904">
      <w:pPr>
        <w:pStyle w:val="3"/>
        <w:rPr>
          <w:rFonts w:eastAsia="Times New Roman"/>
          <w:color w:val="auto"/>
        </w:rPr>
      </w:pPr>
      <w:bookmarkStart w:id="579" w:name="_Toc198635609"/>
      <w:bookmarkStart w:id="580" w:name="_Toc198622143"/>
      <w:bookmarkStart w:id="581" w:name="_Toc185190176"/>
      <w:r>
        <w:rPr>
          <w:rFonts w:eastAsia="Calibri"/>
          <w:color w:val="auto"/>
        </w:rPr>
        <w:t>Annex A.</w:t>
      </w:r>
      <w:r>
        <w:rPr>
          <w:rFonts w:eastAsia="Times New Roman"/>
          <w:color w:val="auto"/>
        </w:rPr>
        <w:t xml:space="preserve"> Consent form</w:t>
      </w:r>
      <w:bookmarkEnd w:id="578"/>
      <w:bookmarkEnd w:id="579"/>
      <w:bookmarkEnd w:id="580"/>
      <w:bookmarkEnd w:id="581"/>
    </w:p>
    <w:p w14:paraId="74C1A2AE">
      <w:pPr>
        <w:pStyle w:val="3"/>
        <w:rPr>
          <w:rFonts w:eastAsia="Calibri"/>
          <w:color w:val="auto"/>
          <w:sz w:val="24"/>
          <w:szCs w:val="24"/>
        </w:rPr>
      </w:pPr>
      <w:r>
        <w:rPr>
          <w:rFonts w:eastAsia="Calibri"/>
          <w:color w:val="auto"/>
          <w:sz w:val="24"/>
          <w:szCs w:val="24"/>
        </w:rPr>
        <w:tab/>
      </w:r>
    </w:p>
    <w:p w14:paraId="2A624D4D">
      <w:pPr>
        <w:spacing w:line="360" w:lineRule="auto"/>
        <w:jc w:val="both"/>
        <w:rPr>
          <w:rFonts w:ascii="Times New Roman" w:hAnsi="Times New Roman" w:eastAsia="Times New Roman" w:cs="Times New Roman"/>
          <w:kern w:val="24"/>
          <w:sz w:val="24"/>
          <w:szCs w:val="24"/>
        </w:rPr>
      </w:pPr>
      <w:r>
        <w:rPr>
          <w:rFonts w:ascii="Times New Roman" w:hAnsi="Times New Roman" w:eastAsia="Calibri" w:cs="Times New Roman"/>
          <w:sz w:val="24"/>
          <w:szCs w:val="24"/>
        </w:rPr>
        <w:t xml:space="preserve">good morning/afternoon, i am student of wollega  university </w:t>
      </w:r>
      <w:r>
        <w:rPr>
          <w:rFonts w:ascii="Times New Roman" w:hAnsi="Times New Roman" w:eastAsia="Times New Roman" w:cs="Times New Roman"/>
          <w:kern w:val="24"/>
          <w:sz w:val="24"/>
          <w:szCs w:val="24"/>
        </w:rPr>
        <w:t xml:space="preserve">institute of health sciences department of public health mph program </w:t>
      </w:r>
      <w:r>
        <w:rPr>
          <w:rFonts w:ascii="Times New Roman" w:hAnsi="Times New Roman" w:eastAsia="Calibri" w:cs="Times New Roman"/>
          <w:sz w:val="24"/>
          <w:szCs w:val="24"/>
        </w:rPr>
        <w:t xml:space="preserve">now i am going to collect information regarding </w:t>
      </w:r>
      <w:r>
        <w:rPr>
          <w:rFonts w:ascii="Times New Roman" w:hAnsi="Times New Roman" w:eastAsia="Times New Roman" w:cs="Times New Roman"/>
          <w:bCs/>
          <w:sz w:val="24"/>
          <w:szCs w:val="24"/>
        </w:rPr>
        <w:t>willingness to accept malaria vaccine among mothers attending immunization services</w:t>
      </w:r>
    </w:p>
    <w:p w14:paraId="607A0C06">
      <w:pPr>
        <w:tabs>
          <w:tab w:val="left" w:pos="1171"/>
        </w:tabs>
        <w:spacing w:line="36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in this health facility. i assure you that the information that you are going to give will be kept in secrete and not need your name. therefore, you are free to respond or not to respond the questions. your support and willingness in responding the questions will be very important for the success of this study, so that i need your cooperation to answer the questions that i am going to ask you.</w:t>
      </w:r>
    </w:p>
    <w:p w14:paraId="6E0898DD">
      <w:pPr>
        <w:tabs>
          <w:tab w:val="left" w:pos="6330"/>
          <w:tab w:val="left" w:pos="6585"/>
        </w:tabs>
        <w:spacing w:line="36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questionnaire no. ............................date…………………...</w:t>
      </w:r>
    </w:p>
    <w:p w14:paraId="01B9C2D3">
      <w:pPr>
        <w:tabs>
          <w:tab w:val="left" w:pos="6330"/>
          <w:tab w:val="left" w:pos="6585"/>
        </w:tabs>
        <w:spacing w:line="36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name of interviewer: ...............................name of health facility........................</w:t>
      </w:r>
      <w:r>
        <w:rPr>
          <w:rFonts w:ascii="Times New Roman" w:hAnsi="Times New Roman" w:eastAsia="Calibri" w:cs="Times New Roman"/>
          <w:sz w:val="24"/>
          <w:szCs w:val="24"/>
        </w:rPr>
        <w:br w:type="textWrapping"/>
      </w:r>
      <w:r>
        <w:rPr>
          <w:rFonts w:ascii="Times New Roman" w:hAnsi="Times New Roman" w:eastAsia="Calibri" w:cs="Times New Roman"/>
          <w:sz w:val="24"/>
          <w:szCs w:val="24"/>
        </w:rPr>
        <w:t xml:space="preserve"> are you willing to be part of the study? (if “yes” continue) 1. yes                           2. No</w:t>
      </w:r>
    </w:p>
    <w:p w14:paraId="776B571C">
      <w:pPr>
        <w:pStyle w:val="3"/>
        <w:spacing w:line="360" w:lineRule="auto"/>
        <w:jc w:val="both"/>
        <w:rPr>
          <w:rFonts w:ascii="Times New Roman" w:hAnsi="Times New Roman" w:eastAsia="Calibri" w:cs="Times New Roman"/>
          <w:color w:val="auto"/>
          <w:sz w:val="24"/>
          <w:szCs w:val="24"/>
        </w:rPr>
      </w:pPr>
      <w:bookmarkStart w:id="582" w:name="_Toc198622144"/>
      <w:bookmarkStart w:id="583" w:name="_Toc181910686"/>
      <w:bookmarkStart w:id="584" w:name="_Toc198635610"/>
      <w:bookmarkStart w:id="585" w:name="_Toc185190177"/>
      <w:r>
        <w:rPr>
          <w:rFonts w:ascii="Times New Roman" w:hAnsi="Times New Roman" w:eastAsia="Calibri" w:cs="Times New Roman"/>
          <w:color w:val="auto"/>
          <w:sz w:val="24"/>
          <w:szCs w:val="24"/>
        </w:rPr>
        <w:t>Annex B Questionnaire</w:t>
      </w:r>
      <w:bookmarkEnd w:id="582"/>
      <w:bookmarkEnd w:id="583"/>
      <w:bookmarkEnd w:id="584"/>
      <w:bookmarkEnd w:id="585"/>
      <w:r>
        <w:rPr>
          <w:rFonts w:ascii="Times New Roman" w:hAnsi="Times New Roman" w:eastAsia="Calibri" w:cs="Times New Roman"/>
          <w:color w:val="auto"/>
          <w:sz w:val="24"/>
          <w:szCs w:val="24"/>
        </w:rPr>
        <w:t xml:space="preserve"> </w:t>
      </w:r>
    </w:p>
    <w:p w14:paraId="1C7850AE">
      <w:pPr>
        <w:pStyle w:val="4"/>
        <w:spacing w:line="360" w:lineRule="auto"/>
        <w:rPr>
          <w:rFonts w:ascii="Times New Roman" w:hAnsi="Times New Roman" w:eastAsia="Calibri" w:cs="Times New Roman"/>
          <w:color w:val="auto"/>
          <w:sz w:val="24"/>
          <w:szCs w:val="24"/>
        </w:rPr>
      </w:pPr>
      <w:bookmarkStart w:id="586" w:name="_Toc185190178"/>
      <w:bookmarkStart w:id="587" w:name="_Toc198635611"/>
      <w:bookmarkStart w:id="588" w:name="_Toc198622145"/>
      <w:r>
        <w:rPr>
          <w:rFonts w:ascii="Times New Roman" w:hAnsi="Times New Roman" w:eastAsia="Calibri" w:cs="Times New Roman"/>
          <w:color w:val="auto"/>
          <w:sz w:val="24"/>
          <w:szCs w:val="24"/>
        </w:rPr>
        <w:t>Part I: Socio-demographic</w:t>
      </w:r>
      <w:bookmarkEnd w:id="586"/>
      <w:bookmarkEnd w:id="587"/>
      <w:bookmarkEnd w:id="588"/>
      <w:r>
        <w:rPr>
          <w:rFonts w:ascii="Times New Roman" w:hAnsi="Times New Roman" w:eastAsia="Calibri" w:cs="Times New Roman"/>
          <w:color w:val="auto"/>
          <w:sz w:val="24"/>
          <w:szCs w:val="24"/>
        </w:rPr>
        <w:t xml:space="preserve"> </w:t>
      </w:r>
    </w:p>
    <w:tbl>
      <w:tblPr>
        <w:tblStyle w:val="66"/>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903"/>
        <w:gridCol w:w="3521"/>
        <w:gridCol w:w="4042"/>
        <w:gridCol w:w="1110"/>
      </w:tblGrid>
      <w:tr w14:paraId="5C39A66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00" w:hRule="atLeast"/>
        </w:trPr>
        <w:tc>
          <w:tcPr>
            <w:tcW w:w="903" w:type="dxa"/>
          </w:tcPr>
          <w:p w14:paraId="267A8719">
            <w:pPr>
              <w:ind w:left="180"/>
              <w:rPr>
                <w:rFonts w:ascii="Times New Roman" w:hAnsi="Times New Roman"/>
                <w:sz w:val="24"/>
                <w:szCs w:val="24"/>
              </w:rPr>
            </w:pPr>
            <w:r>
              <w:rPr>
                <w:rFonts w:ascii="Times New Roman" w:hAnsi="Times New Roman"/>
                <w:sz w:val="24"/>
                <w:szCs w:val="24"/>
              </w:rPr>
              <w:t>Code</w:t>
            </w:r>
          </w:p>
        </w:tc>
        <w:tc>
          <w:tcPr>
            <w:tcW w:w="3521" w:type="dxa"/>
          </w:tcPr>
          <w:p w14:paraId="2D6D19CB">
            <w:pPr>
              <w:ind w:left="180"/>
              <w:rPr>
                <w:rFonts w:ascii="Times New Roman" w:hAnsi="Times New Roman"/>
                <w:sz w:val="24"/>
                <w:szCs w:val="24"/>
              </w:rPr>
            </w:pPr>
            <w:r>
              <w:rPr>
                <w:rFonts w:ascii="Times New Roman" w:hAnsi="Times New Roman"/>
                <w:sz w:val="24"/>
                <w:szCs w:val="24"/>
              </w:rPr>
              <w:t>Questions</w:t>
            </w:r>
          </w:p>
        </w:tc>
        <w:tc>
          <w:tcPr>
            <w:tcW w:w="4042" w:type="dxa"/>
          </w:tcPr>
          <w:p w14:paraId="2281D0CC">
            <w:pPr>
              <w:ind w:left="180"/>
              <w:rPr>
                <w:rFonts w:ascii="Times New Roman" w:hAnsi="Times New Roman"/>
                <w:sz w:val="24"/>
                <w:szCs w:val="24"/>
              </w:rPr>
            </w:pPr>
            <w:r>
              <w:rPr>
                <w:rFonts w:ascii="Times New Roman" w:hAnsi="Times New Roman"/>
                <w:sz w:val="24"/>
                <w:szCs w:val="24"/>
              </w:rPr>
              <w:t>Alternative response</w:t>
            </w:r>
          </w:p>
        </w:tc>
        <w:tc>
          <w:tcPr>
            <w:tcW w:w="1110" w:type="dxa"/>
          </w:tcPr>
          <w:p w14:paraId="28A8C5B2">
            <w:pPr>
              <w:ind w:left="180"/>
              <w:rPr>
                <w:rFonts w:ascii="Times New Roman" w:hAnsi="Times New Roman"/>
                <w:sz w:val="24"/>
                <w:szCs w:val="24"/>
              </w:rPr>
            </w:pPr>
            <w:r>
              <w:rPr>
                <w:rFonts w:ascii="Times New Roman" w:hAnsi="Times New Roman"/>
                <w:sz w:val="24"/>
                <w:szCs w:val="24"/>
              </w:rPr>
              <w:t>Skip</w:t>
            </w:r>
          </w:p>
        </w:tc>
      </w:tr>
      <w:tr w14:paraId="1C1A1BE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187" w:hRule="atLeast"/>
        </w:trPr>
        <w:tc>
          <w:tcPr>
            <w:tcW w:w="903" w:type="dxa"/>
          </w:tcPr>
          <w:p w14:paraId="6038445A">
            <w:pPr>
              <w:ind w:left="180"/>
              <w:rPr>
                <w:rFonts w:ascii="Times New Roman" w:hAnsi="Times New Roman"/>
                <w:sz w:val="24"/>
                <w:szCs w:val="24"/>
              </w:rPr>
            </w:pPr>
            <w:r>
              <w:rPr>
                <w:rFonts w:ascii="Times New Roman" w:hAnsi="Times New Roman"/>
                <w:sz w:val="24"/>
                <w:szCs w:val="24"/>
              </w:rPr>
              <w:t>1</w:t>
            </w:r>
          </w:p>
        </w:tc>
        <w:tc>
          <w:tcPr>
            <w:tcW w:w="3521" w:type="dxa"/>
          </w:tcPr>
          <w:p w14:paraId="1A96B949">
            <w:pPr>
              <w:ind w:left="180"/>
              <w:rPr>
                <w:rFonts w:ascii="Times New Roman" w:hAnsi="Times New Roman"/>
                <w:sz w:val="24"/>
                <w:szCs w:val="24"/>
              </w:rPr>
            </w:pPr>
            <w:r>
              <w:rPr>
                <w:rFonts w:ascii="Times New Roman" w:hAnsi="Times New Roman"/>
                <w:sz w:val="24"/>
                <w:szCs w:val="24"/>
              </w:rPr>
              <w:t>Gender (Child)</w:t>
            </w:r>
          </w:p>
        </w:tc>
        <w:tc>
          <w:tcPr>
            <w:tcW w:w="4042" w:type="dxa"/>
          </w:tcPr>
          <w:p w14:paraId="455DD0E0">
            <w:pPr>
              <w:ind w:left="180"/>
              <w:rPr>
                <w:rFonts w:ascii="Times New Roman" w:hAnsi="Times New Roman"/>
                <w:sz w:val="24"/>
                <w:szCs w:val="24"/>
              </w:rPr>
            </w:pPr>
            <w:r>
              <w:rPr>
                <w:rFonts w:ascii="Times New Roman" w:hAnsi="Times New Roman"/>
                <w:sz w:val="24"/>
                <w:szCs w:val="24"/>
              </w:rPr>
              <w:t>Male        B. female</w:t>
            </w:r>
          </w:p>
        </w:tc>
        <w:tc>
          <w:tcPr>
            <w:tcW w:w="1110" w:type="dxa"/>
          </w:tcPr>
          <w:p w14:paraId="3672682F">
            <w:pPr>
              <w:ind w:left="180"/>
              <w:rPr>
                <w:rFonts w:ascii="Times New Roman" w:hAnsi="Times New Roman"/>
                <w:sz w:val="24"/>
                <w:szCs w:val="24"/>
              </w:rPr>
            </w:pPr>
          </w:p>
        </w:tc>
      </w:tr>
      <w:tr w14:paraId="2D206AC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5" w:hRule="atLeast"/>
        </w:trPr>
        <w:tc>
          <w:tcPr>
            <w:tcW w:w="903" w:type="dxa"/>
          </w:tcPr>
          <w:p w14:paraId="64037CF7">
            <w:pPr>
              <w:ind w:left="180"/>
              <w:rPr>
                <w:rFonts w:ascii="Times New Roman" w:hAnsi="Times New Roman"/>
                <w:sz w:val="24"/>
                <w:szCs w:val="24"/>
              </w:rPr>
            </w:pPr>
            <w:r>
              <w:rPr>
                <w:rFonts w:ascii="Times New Roman" w:hAnsi="Times New Roman"/>
                <w:sz w:val="24"/>
                <w:szCs w:val="24"/>
              </w:rPr>
              <w:t>2</w:t>
            </w:r>
          </w:p>
        </w:tc>
        <w:tc>
          <w:tcPr>
            <w:tcW w:w="3521" w:type="dxa"/>
          </w:tcPr>
          <w:p w14:paraId="4089E461">
            <w:pPr>
              <w:ind w:left="180"/>
              <w:rPr>
                <w:rFonts w:ascii="Times New Roman" w:hAnsi="Times New Roman"/>
                <w:sz w:val="24"/>
                <w:szCs w:val="24"/>
              </w:rPr>
            </w:pPr>
            <w:r>
              <w:rPr>
                <w:rFonts w:ascii="Times New Roman" w:hAnsi="Times New Roman"/>
                <w:sz w:val="24"/>
                <w:szCs w:val="24"/>
              </w:rPr>
              <w:t>Age(Caregiver)</w:t>
            </w:r>
          </w:p>
        </w:tc>
        <w:tc>
          <w:tcPr>
            <w:tcW w:w="4042" w:type="dxa"/>
          </w:tcPr>
          <w:p w14:paraId="41727793">
            <w:pPr>
              <w:rPr>
                <w:rFonts w:ascii="Times New Roman" w:hAnsi="Times New Roman"/>
                <w:sz w:val="24"/>
                <w:szCs w:val="24"/>
              </w:rPr>
            </w:pPr>
            <w:r>
              <w:rPr>
                <w:rFonts w:ascii="Times New Roman" w:hAnsi="Times New Roman"/>
                <w:sz w:val="24"/>
                <w:szCs w:val="24"/>
              </w:rPr>
              <w:t>-------------year</w:t>
            </w:r>
          </w:p>
        </w:tc>
        <w:tc>
          <w:tcPr>
            <w:tcW w:w="1110" w:type="dxa"/>
          </w:tcPr>
          <w:p w14:paraId="338A34E1">
            <w:pPr>
              <w:ind w:left="180"/>
              <w:rPr>
                <w:rFonts w:ascii="Times New Roman" w:hAnsi="Times New Roman"/>
                <w:sz w:val="24"/>
                <w:szCs w:val="24"/>
              </w:rPr>
            </w:pPr>
          </w:p>
        </w:tc>
      </w:tr>
      <w:tr w14:paraId="05B987E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903" w:type="dxa"/>
          </w:tcPr>
          <w:p w14:paraId="0EB5F874">
            <w:pPr>
              <w:ind w:left="180"/>
              <w:rPr>
                <w:rFonts w:ascii="Times New Roman" w:hAnsi="Times New Roman"/>
                <w:sz w:val="24"/>
                <w:szCs w:val="24"/>
              </w:rPr>
            </w:pPr>
            <w:r>
              <w:rPr>
                <w:rFonts w:ascii="Times New Roman" w:hAnsi="Times New Roman"/>
                <w:sz w:val="24"/>
                <w:szCs w:val="24"/>
              </w:rPr>
              <w:t>3</w:t>
            </w:r>
          </w:p>
        </w:tc>
        <w:tc>
          <w:tcPr>
            <w:tcW w:w="3521" w:type="dxa"/>
          </w:tcPr>
          <w:p w14:paraId="71C88CA2">
            <w:pPr>
              <w:ind w:left="180"/>
              <w:rPr>
                <w:rFonts w:ascii="Times New Roman" w:hAnsi="Times New Roman"/>
                <w:sz w:val="24"/>
                <w:szCs w:val="24"/>
              </w:rPr>
            </w:pPr>
            <w:r>
              <w:rPr>
                <w:rFonts w:ascii="Times New Roman" w:hAnsi="Times New Roman"/>
                <w:sz w:val="24"/>
                <w:szCs w:val="24"/>
              </w:rPr>
              <w:t>Age(Child)</w:t>
            </w:r>
          </w:p>
        </w:tc>
        <w:tc>
          <w:tcPr>
            <w:tcW w:w="4042" w:type="dxa"/>
          </w:tcPr>
          <w:p w14:paraId="35EECAB1">
            <w:pPr>
              <w:rPr>
                <w:rFonts w:ascii="Times New Roman" w:hAnsi="Times New Roman"/>
                <w:sz w:val="24"/>
                <w:szCs w:val="24"/>
              </w:rPr>
            </w:pPr>
            <w:r>
              <w:rPr>
                <w:rFonts w:ascii="Times New Roman" w:hAnsi="Times New Roman"/>
                <w:sz w:val="24"/>
                <w:szCs w:val="24"/>
              </w:rPr>
              <w:t>-------------year(month</w:t>
            </w:r>
          </w:p>
        </w:tc>
        <w:tc>
          <w:tcPr>
            <w:tcW w:w="1110" w:type="dxa"/>
          </w:tcPr>
          <w:p w14:paraId="7FC72909">
            <w:pPr>
              <w:ind w:left="180"/>
              <w:rPr>
                <w:rFonts w:ascii="Times New Roman" w:hAnsi="Times New Roman"/>
                <w:sz w:val="24"/>
                <w:szCs w:val="24"/>
              </w:rPr>
            </w:pPr>
          </w:p>
        </w:tc>
      </w:tr>
      <w:tr w14:paraId="76A71C93">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903" w:type="dxa"/>
          </w:tcPr>
          <w:p w14:paraId="39CA5DA8">
            <w:pPr>
              <w:ind w:left="180"/>
              <w:rPr>
                <w:rFonts w:ascii="Times New Roman" w:hAnsi="Times New Roman"/>
                <w:sz w:val="24"/>
                <w:szCs w:val="24"/>
              </w:rPr>
            </w:pPr>
            <w:r>
              <w:rPr>
                <w:rFonts w:ascii="Times New Roman" w:hAnsi="Times New Roman"/>
                <w:sz w:val="24"/>
                <w:szCs w:val="24"/>
              </w:rPr>
              <w:t>4</w:t>
            </w:r>
          </w:p>
        </w:tc>
        <w:tc>
          <w:tcPr>
            <w:tcW w:w="3521" w:type="dxa"/>
          </w:tcPr>
          <w:p w14:paraId="6D8F3CA6">
            <w:pPr>
              <w:ind w:left="180"/>
              <w:rPr>
                <w:rFonts w:ascii="Times New Roman" w:hAnsi="Times New Roman"/>
                <w:sz w:val="24"/>
                <w:szCs w:val="24"/>
              </w:rPr>
            </w:pPr>
            <w:r>
              <w:rPr>
                <w:rFonts w:ascii="Times New Roman" w:hAnsi="Times New Roman"/>
                <w:sz w:val="24"/>
                <w:szCs w:val="24"/>
              </w:rPr>
              <w:t xml:space="preserve">Residence        </w:t>
            </w:r>
          </w:p>
        </w:tc>
        <w:tc>
          <w:tcPr>
            <w:tcW w:w="4042" w:type="dxa"/>
          </w:tcPr>
          <w:p w14:paraId="61FCD643">
            <w:pPr>
              <w:ind w:left="180"/>
              <w:rPr>
                <w:rFonts w:ascii="Times New Roman" w:hAnsi="Times New Roman"/>
                <w:sz w:val="24"/>
                <w:szCs w:val="24"/>
              </w:rPr>
            </w:pPr>
            <w:r>
              <w:rPr>
                <w:rFonts w:ascii="Times New Roman" w:hAnsi="Times New Roman"/>
                <w:sz w:val="24"/>
                <w:szCs w:val="24"/>
              </w:rPr>
              <w:t>A. Urban                   B. Rural</w:t>
            </w:r>
          </w:p>
        </w:tc>
        <w:tc>
          <w:tcPr>
            <w:tcW w:w="1110" w:type="dxa"/>
          </w:tcPr>
          <w:p w14:paraId="61256DFA">
            <w:pPr>
              <w:ind w:left="180"/>
              <w:rPr>
                <w:rFonts w:ascii="Times New Roman" w:hAnsi="Times New Roman"/>
                <w:sz w:val="24"/>
                <w:szCs w:val="24"/>
              </w:rPr>
            </w:pPr>
          </w:p>
        </w:tc>
      </w:tr>
      <w:tr w14:paraId="0667C93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903" w:type="dxa"/>
          </w:tcPr>
          <w:p w14:paraId="7486B39E">
            <w:pPr>
              <w:ind w:left="180"/>
              <w:rPr>
                <w:rFonts w:ascii="Times New Roman" w:hAnsi="Times New Roman"/>
                <w:sz w:val="24"/>
                <w:szCs w:val="24"/>
              </w:rPr>
            </w:pPr>
            <w:r>
              <w:rPr>
                <w:rFonts w:ascii="Times New Roman" w:hAnsi="Times New Roman"/>
                <w:sz w:val="24"/>
                <w:szCs w:val="24"/>
              </w:rPr>
              <w:t>5</w:t>
            </w:r>
          </w:p>
        </w:tc>
        <w:tc>
          <w:tcPr>
            <w:tcW w:w="3521" w:type="dxa"/>
          </w:tcPr>
          <w:p w14:paraId="6A90957E">
            <w:pPr>
              <w:ind w:left="180"/>
              <w:rPr>
                <w:rFonts w:ascii="Times New Roman" w:hAnsi="Times New Roman"/>
                <w:sz w:val="24"/>
                <w:szCs w:val="24"/>
              </w:rPr>
            </w:pPr>
            <w:r>
              <w:rPr>
                <w:rFonts w:ascii="Times New Roman" w:hAnsi="Times New Roman"/>
                <w:sz w:val="24"/>
                <w:szCs w:val="24"/>
              </w:rPr>
              <w:t>Religion</w:t>
            </w:r>
          </w:p>
          <w:p w14:paraId="0835A58C">
            <w:pPr>
              <w:ind w:left="180"/>
              <w:rPr>
                <w:rFonts w:ascii="Times New Roman" w:hAnsi="Times New Roman"/>
                <w:sz w:val="24"/>
                <w:szCs w:val="24"/>
              </w:rPr>
            </w:pPr>
          </w:p>
        </w:tc>
        <w:tc>
          <w:tcPr>
            <w:tcW w:w="4042" w:type="dxa"/>
          </w:tcPr>
          <w:p w14:paraId="5928CCE0">
            <w:pPr>
              <w:ind w:left="180"/>
              <w:rPr>
                <w:rFonts w:ascii="Times New Roman" w:hAnsi="Times New Roman"/>
                <w:sz w:val="24"/>
                <w:szCs w:val="24"/>
              </w:rPr>
            </w:pPr>
            <w:r>
              <w:rPr>
                <w:rFonts w:ascii="Times New Roman" w:hAnsi="Times New Roman"/>
                <w:sz w:val="24"/>
                <w:szCs w:val="24"/>
              </w:rPr>
              <w:t>A. Orthodox             B. Muslim                  C. Protestant             D. Other….</w:t>
            </w:r>
          </w:p>
        </w:tc>
        <w:tc>
          <w:tcPr>
            <w:tcW w:w="1110" w:type="dxa"/>
          </w:tcPr>
          <w:p w14:paraId="242D9A0F">
            <w:pPr>
              <w:ind w:left="180"/>
              <w:rPr>
                <w:rFonts w:ascii="Times New Roman" w:hAnsi="Times New Roman"/>
                <w:sz w:val="24"/>
                <w:szCs w:val="24"/>
              </w:rPr>
            </w:pPr>
          </w:p>
        </w:tc>
      </w:tr>
      <w:tr w14:paraId="014A0D8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638" w:hRule="atLeast"/>
        </w:trPr>
        <w:tc>
          <w:tcPr>
            <w:tcW w:w="903" w:type="dxa"/>
          </w:tcPr>
          <w:p w14:paraId="42608811">
            <w:pPr>
              <w:ind w:left="180"/>
              <w:rPr>
                <w:rFonts w:ascii="Times New Roman" w:hAnsi="Times New Roman"/>
                <w:sz w:val="24"/>
                <w:szCs w:val="24"/>
              </w:rPr>
            </w:pPr>
            <w:r>
              <w:rPr>
                <w:rFonts w:ascii="Times New Roman" w:hAnsi="Times New Roman"/>
                <w:sz w:val="24"/>
                <w:szCs w:val="24"/>
              </w:rPr>
              <w:t>6</w:t>
            </w:r>
          </w:p>
        </w:tc>
        <w:tc>
          <w:tcPr>
            <w:tcW w:w="3521" w:type="dxa"/>
          </w:tcPr>
          <w:p w14:paraId="4B2080ED">
            <w:pPr>
              <w:ind w:left="180"/>
              <w:rPr>
                <w:rFonts w:ascii="Times New Roman" w:hAnsi="Times New Roman"/>
                <w:sz w:val="24"/>
                <w:szCs w:val="24"/>
              </w:rPr>
            </w:pPr>
            <w:r>
              <w:rPr>
                <w:rFonts w:ascii="Times New Roman" w:hAnsi="Times New Roman"/>
                <w:sz w:val="24"/>
                <w:szCs w:val="24"/>
              </w:rPr>
              <w:t xml:space="preserve">Ethnicity       </w:t>
            </w:r>
          </w:p>
        </w:tc>
        <w:tc>
          <w:tcPr>
            <w:tcW w:w="4042" w:type="dxa"/>
          </w:tcPr>
          <w:p w14:paraId="2E51E613">
            <w:pPr>
              <w:numPr>
                <w:ilvl w:val="0"/>
                <w:numId w:val="9"/>
              </w:numPr>
              <w:spacing w:line="360" w:lineRule="auto"/>
              <w:rPr>
                <w:rFonts w:ascii="Times New Roman" w:hAnsi="Times New Roman"/>
                <w:sz w:val="24"/>
                <w:szCs w:val="24"/>
              </w:rPr>
            </w:pPr>
            <w:r>
              <w:rPr>
                <w:rFonts w:ascii="Times New Roman" w:hAnsi="Times New Roman"/>
                <w:sz w:val="24"/>
                <w:szCs w:val="24"/>
              </w:rPr>
              <w:t xml:space="preserve">Oromo             B. Amhara                  C. Tigre                D. sidama </w:t>
            </w:r>
          </w:p>
          <w:p w14:paraId="4ED0EB96">
            <w:pPr>
              <w:spacing w:line="360" w:lineRule="auto"/>
              <w:rPr>
                <w:rFonts w:ascii="Times New Roman" w:hAnsi="Times New Roman"/>
                <w:sz w:val="24"/>
                <w:szCs w:val="24"/>
              </w:rPr>
            </w:pPr>
            <w:r>
              <w:rPr>
                <w:rFonts w:ascii="Times New Roman" w:hAnsi="Times New Roman"/>
                <w:sz w:val="24"/>
                <w:szCs w:val="24"/>
              </w:rPr>
              <w:t xml:space="preserve"> E. Others------------</w:t>
            </w:r>
          </w:p>
        </w:tc>
        <w:tc>
          <w:tcPr>
            <w:tcW w:w="1110" w:type="dxa"/>
          </w:tcPr>
          <w:p w14:paraId="6E180F47">
            <w:pPr>
              <w:ind w:left="180"/>
              <w:rPr>
                <w:rFonts w:ascii="Times New Roman" w:hAnsi="Times New Roman"/>
                <w:sz w:val="24"/>
                <w:szCs w:val="24"/>
              </w:rPr>
            </w:pPr>
          </w:p>
        </w:tc>
      </w:tr>
      <w:tr w14:paraId="750DAC1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903" w:type="dxa"/>
          </w:tcPr>
          <w:p w14:paraId="4CA43686">
            <w:pPr>
              <w:ind w:left="180"/>
              <w:rPr>
                <w:rFonts w:ascii="Times New Roman" w:hAnsi="Times New Roman"/>
                <w:sz w:val="24"/>
                <w:szCs w:val="24"/>
              </w:rPr>
            </w:pPr>
            <w:r>
              <w:rPr>
                <w:rFonts w:ascii="Times New Roman" w:hAnsi="Times New Roman"/>
                <w:sz w:val="24"/>
                <w:szCs w:val="24"/>
              </w:rPr>
              <w:t>7</w:t>
            </w:r>
          </w:p>
        </w:tc>
        <w:tc>
          <w:tcPr>
            <w:tcW w:w="3521" w:type="dxa"/>
          </w:tcPr>
          <w:p w14:paraId="60D69992">
            <w:pPr>
              <w:ind w:left="180"/>
              <w:rPr>
                <w:rFonts w:ascii="Times New Roman" w:hAnsi="Times New Roman"/>
                <w:sz w:val="24"/>
                <w:szCs w:val="24"/>
              </w:rPr>
            </w:pPr>
            <w:r>
              <w:rPr>
                <w:rFonts w:ascii="Times New Roman" w:hAnsi="Times New Roman"/>
                <w:sz w:val="24"/>
                <w:szCs w:val="24"/>
              </w:rPr>
              <w:t>Educational status</w:t>
            </w:r>
          </w:p>
          <w:p w14:paraId="504E66A6">
            <w:pPr>
              <w:ind w:left="180"/>
              <w:rPr>
                <w:rFonts w:ascii="Times New Roman" w:hAnsi="Times New Roman"/>
                <w:sz w:val="24"/>
                <w:szCs w:val="24"/>
              </w:rPr>
            </w:pPr>
          </w:p>
        </w:tc>
        <w:tc>
          <w:tcPr>
            <w:tcW w:w="4042" w:type="dxa"/>
          </w:tcPr>
          <w:p w14:paraId="0D4ED1B2">
            <w:pPr>
              <w:ind w:left="180"/>
              <w:rPr>
                <w:rFonts w:ascii="Times New Roman" w:hAnsi="Times New Roman"/>
                <w:sz w:val="24"/>
                <w:szCs w:val="24"/>
              </w:rPr>
            </w:pPr>
            <w:r>
              <w:rPr>
                <w:rFonts w:ascii="Times New Roman" w:hAnsi="Times New Roman"/>
                <w:sz w:val="24"/>
                <w:szCs w:val="24"/>
              </w:rPr>
              <w:t xml:space="preserve">A. Illiterate         </w:t>
            </w:r>
          </w:p>
          <w:p w14:paraId="4D8D8607">
            <w:pPr>
              <w:ind w:left="180"/>
              <w:rPr>
                <w:rFonts w:ascii="Times New Roman" w:hAnsi="Times New Roman"/>
                <w:sz w:val="24"/>
                <w:szCs w:val="24"/>
              </w:rPr>
            </w:pPr>
            <w:r>
              <w:rPr>
                <w:rFonts w:ascii="Times New Roman" w:hAnsi="Times New Roman"/>
                <w:sz w:val="24"/>
                <w:szCs w:val="24"/>
              </w:rPr>
              <w:t xml:space="preserve">B. primary school 1-8   </w:t>
            </w:r>
          </w:p>
          <w:p w14:paraId="6E8D53FD">
            <w:pPr>
              <w:ind w:left="180"/>
              <w:rPr>
                <w:rFonts w:ascii="Times New Roman" w:hAnsi="Times New Roman"/>
                <w:sz w:val="24"/>
                <w:szCs w:val="24"/>
              </w:rPr>
            </w:pPr>
            <w:r>
              <w:rPr>
                <w:rFonts w:ascii="Times New Roman" w:hAnsi="Times New Roman"/>
                <w:sz w:val="24"/>
                <w:szCs w:val="24"/>
              </w:rPr>
              <w:t>C. secondary school 9-12</w:t>
            </w:r>
          </w:p>
          <w:p w14:paraId="7B939546">
            <w:pPr>
              <w:ind w:left="180"/>
              <w:rPr>
                <w:rFonts w:ascii="Times New Roman" w:hAnsi="Times New Roman"/>
                <w:sz w:val="24"/>
                <w:szCs w:val="24"/>
              </w:rPr>
            </w:pPr>
            <w:r>
              <w:rPr>
                <w:rFonts w:ascii="Times New Roman" w:hAnsi="Times New Roman"/>
                <w:sz w:val="24"/>
                <w:szCs w:val="24"/>
              </w:rPr>
              <w:t xml:space="preserve"> D. college and above</w:t>
            </w:r>
          </w:p>
        </w:tc>
        <w:tc>
          <w:tcPr>
            <w:tcW w:w="1110" w:type="dxa"/>
          </w:tcPr>
          <w:p w14:paraId="29EAD70A">
            <w:pPr>
              <w:ind w:left="180"/>
              <w:rPr>
                <w:rFonts w:ascii="Times New Roman" w:hAnsi="Times New Roman"/>
                <w:sz w:val="24"/>
                <w:szCs w:val="24"/>
              </w:rPr>
            </w:pPr>
          </w:p>
        </w:tc>
      </w:tr>
      <w:tr w14:paraId="6644476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42" w:hRule="atLeast"/>
        </w:trPr>
        <w:tc>
          <w:tcPr>
            <w:tcW w:w="903" w:type="dxa"/>
          </w:tcPr>
          <w:p w14:paraId="2C9CAE52">
            <w:pPr>
              <w:ind w:left="180"/>
              <w:rPr>
                <w:rFonts w:ascii="Times New Roman" w:hAnsi="Times New Roman"/>
                <w:sz w:val="24"/>
                <w:szCs w:val="24"/>
              </w:rPr>
            </w:pPr>
            <w:r>
              <w:rPr>
                <w:rFonts w:ascii="Times New Roman" w:hAnsi="Times New Roman"/>
                <w:sz w:val="24"/>
                <w:szCs w:val="24"/>
              </w:rPr>
              <w:t>8</w:t>
            </w:r>
          </w:p>
        </w:tc>
        <w:tc>
          <w:tcPr>
            <w:tcW w:w="3521" w:type="dxa"/>
          </w:tcPr>
          <w:p w14:paraId="56D9015F">
            <w:pPr>
              <w:ind w:left="180"/>
              <w:rPr>
                <w:rFonts w:ascii="Times New Roman" w:hAnsi="Times New Roman"/>
                <w:sz w:val="24"/>
                <w:szCs w:val="24"/>
              </w:rPr>
            </w:pPr>
            <w:r>
              <w:rPr>
                <w:rFonts w:ascii="Times New Roman" w:hAnsi="Times New Roman"/>
                <w:sz w:val="24"/>
                <w:szCs w:val="24"/>
              </w:rPr>
              <w:t xml:space="preserve">Average monthly/annual   income of families </w:t>
            </w:r>
          </w:p>
        </w:tc>
        <w:tc>
          <w:tcPr>
            <w:tcW w:w="4042" w:type="dxa"/>
          </w:tcPr>
          <w:p w14:paraId="47624E18">
            <w:pPr>
              <w:ind w:left="180"/>
              <w:rPr>
                <w:rFonts w:ascii="Times New Roman" w:hAnsi="Times New Roman"/>
                <w:sz w:val="24"/>
                <w:szCs w:val="24"/>
              </w:rPr>
            </w:pP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t xml:space="preserve">______birr </w:t>
            </w:r>
          </w:p>
        </w:tc>
        <w:tc>
          <w:tcPr>
            <w:tcW w:w="1110" w:type="dxa"/>
          </w:tcPr>
          <w:p w14:paraId="3EFA1174">
            <w:pPr>
              <w:ind w:left="180"/>
              <w:rPr>
                <w:rFonts w:ascii="Times New Roman" w:hAnsi="Times New Roman"/>
                <w:sz w:val="24"/>
                <w:szCs w:val="24"/>
              </w:rPr>
            </w:pPr>
          </w:p>
        </w:tc>
      </w:tr>
      <w:tr w14:paraId="5299466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1187" w:hRule="atLeast"/>
        </w:trPr>
        <w:tc>
          <w:tcPr>
            <w:tcW w:w="903" w:type="dxa"/>
          </w:tcPr>
          <w:p w14:paraId="7F9C81B7">
            <w:pPr>
              <w:ind w:left="180"/>
              <w:rPr>
                <w:rFonts w:ascii="Times New Roman" w:hAnsi="Times New Roman"/>
                <w:sz w:val="24"/>
                <w:szCs w:val="24"/>
              </w:rPr>
            </w:pPr>
            <w:r>
              <w:rPr>
                <w:rFonts w:ascii="Times New Roman" w:hAnsi="Times New Roman"/>
                <w:sz w:val="24"/>
                <w:szCs w:val="24"/>
              </w:rPr>
              <w:t>9</w:t>
            </w:r>
          </w:p>
        </w:tc>
        <w:tc>
          <w:tcPr>
            <w:tcW w:w="3521" w:type="dxa"/>
          </w:tcPr>
          <w:p w14:paraId="7DE16729">
            <w:pPr>
              <w:ind w:left="180"/>
              <w:rPr>
                <w:rFonts w:ascii="Times New Roman" w:hAnsi="Times New Roman"/>
                <w:sz w:val="24"/>
                <w:szCs w:val="24"/>
              </w:rPr>
            </w:pPr>
            <w:r>
              <w:rPr>
                <w:rFonts w:ascii="Times New Roman" w:hAnsi="Times New Roman"/>
                <w:sz w:val="24"/>
                <w:szCs w:val="24"/>
              </w:rPr>
              <w:t>Occupational status</w:t>
            </w:r>
          </w:p>
          <w:p w14:paraId="260989AD">
            <w:pPr>
              <w:ind w:left="180"/>
              <w:rPr>
                <w:rFonts w:ascii="Times New Roman" w:hAnsi="Times New Roman"/>
                <w:sz w:val="24"/>
                <w:szCs w:val="24"/>
              </w:rPr>
            </w:pPr>
          </w:p>
        </w:tc>
        <w:tc>
          <w:tcPr>
            <w:tcW w:w="4042" w:type="dxa"/>
          </w:tcPr>
          <w:p w14:paraId="3A039B04">
            <w:pPr>
              <w:ind w:left="180"/>
              <w:rPr>
                <w:rFonts w:ascii="Times New Roman" w:hAnsi="Times New Roman"/>
                <w:sz w:val="24"/>
                <w:szCs w:val="24"/>
              </w:rPr>
            </w:pPr>
            <w:r>
              <w:rPr>
                <w:rFonts w:ascii="Times New Roman" w:hAnsi="Times New Roman"/>
                <w:sz w:val="24"/>
                <w:szCs w:val="24"/>
              </w:rPr>
              <w:t xml:space="preserve">A. house wife      C. Daily laborer                     </w:t>
            </w:r>
          </w:p>
          <w:p w14:paraId="677DC452">
            <w:pPr>
              <w:ind w:left="180"/>
              <w:rPr>
                <w:rFonts w:ascii="Times New Roman" w:hAnsi="Times New Roman"/>
                <w:sz w:val="24"/>
                <w:szCs w:val="24"/>
              </w:rPr>
            </w:pPr>
            <w:r>
              <w:rPr>
                <w:rFonts w:ascii="Times New Roman" w:hAnsi="Times New Roman"/>
                <w:sz w:val="24"/>
                <w:szCs w:val="24"/>
              </w:rPr>
              <w:t xml:space="preserve"> B. Merchant       D. Private               </w:t>
            </w:r>
          </w:p>
          <w:p w14:paraId="761D82AF">
            <w:pPr>
              <w:ind w:left="180"/>
              <w:rPr>
                <w:rFonts w:ascii="Times New Roman" w:hAnsi="Times New Roman"/>
                <w:sz w:val="24"/>
                <w:szCs w:val="24"/>
              </w:rPr>
            </w:pPr>
            <w:r>
              <w:rPr>
                <w:rFonts w:ascii="Times New Roman" w:hAnsi="Times New Roman"/>
                <w:sz w:val="24"/>
                <w:szCs w:val="24"/>
              </w:rPr>
              <w:t xml:space="preserve"> E. Government   E. mployee</w:t>
            </w:r>
          </w:p>
          <w:p w14:paraId="384E245F">
            <w:pPr>
              <w:ind w:firstLine="120" w:firstLineChars="50"/>
              <w:rPr>
                <w:rFonts w:ascii="Times New Roman" w:hAnsi="Times New Roman"/>
                <w:sz w:val="24"/>
                <w:szCs w:val="24"/>
              </w:rPr>
            </w:pPr>
            <w:r>
              <w:rPr>
                <w:rFonts w:ascii="Times New Roman" w:hAnsi="Times New Roman"/>
                <w:sz w:val="24"/>
                <w:szCs w:val="24"/>
              </w:rPr>
              <w:t xml:space="preserve"> F.NGO                 G. others……….</w:t>
            </w:r>
          </w:p>
        </w:tc>
        <w:tc>
          <w:tcPr>
            <w:tcW w:w="1110" w:type="dxa"/>
          </w:tcPr>
          <w:p w14:paraId="0429B7BD">
            <w:pPr>
              <w:ind w:left="180"/>
              <w:rPr>
                <w:rFonts w:ascii="Times New Roman" w:hAnsi="Times New Roman"/>
                <w:sz w:val="24"/>
                <w:szCs w:val="24"/>
              </w:rPr>
            </w:pPr>
          </w:p>
        </w:tc>
      </w:tr>
      <w:tr w14:paraId="0DE7734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440" w:hRule="atLeast"/>
        </w:trPr>
        <w:tc>
          <w:tcPr>
            <w:tcW w:w="903" w:type="dxa"/>
          </w:tcPr>
          <w:p w14:paraId="18684BF5">
            <w:pPr>
              <w:ind w:left="180"/>
              <w:rPr>
                <w:rFonts w:ascii="Times New Roman" w:hAnsi="Times New Roman"/>
                <w:sz w:val="24"/>
                <w:szCs w:val="24"/>
              </w:rPr>
            </w:pPr>
            <w:r>
              <w:rPr>
                <w:rFonts w:ascii="Times New Roman" w:hAnsi="Times New Roman"/>
                <w:sz w:val="24"/>
                <w:szCs w:val="24"/>
              </w:rPr>
              <w:t>10</w:t>
            </w:r>
          </w:p>
        </w:tc>
        <w:tc>
          <w:tcPr>
            <w:tcW w:w="3521" w:type="dxa"/>
          </w:tcPr>
          <w:p w14:paraId="27385767">
            <w:pPr>
              <w:ind w:left="180"/>
              <w:rPr>
                <w:rFonts w:ascii="Times New Roman" w:hAnsi="Times New Roman"/>
                <w:sz w:val="24"/>
                <w:szCs w:val="24"/>
              </w:rPr>
            </w:pPr>
            <w:r>
              <w:rPr>
                <w:rFonts w:ascii="Times New Roman" w:hAnsi="Times New Roman"/>
                <w:sz w:val="24"/>
                <w:szCs w:val="24"/>
              </w:rPr>
              <w:t>Number of children alive now</w:t>
            </w:r>
          </w:p>
        </w:tc>
        <w:tc>
          <w:tcPr>
            <w:tcW w:w="4042" w:type="dxa"/>
          </w:tcPr>
          <w:p w14:paraId="1448A8D1">
            <w:pPr>
              <w:ind w:left="180"/>
              <w:rPr>
                <w:rFonts w:ascii="Times New Roman" w:hAnsi="Times New Roman"/>
                <w:sz w:val="24"/>
                <w:szCs w:val="24"/>
              </w:rPr>
            </w:pPr>
            <w:r>
              <w:rPr>
                <w:rFonts w:ascii="Times New Roman" w:hAnsi="Times New Roman"/>
                <w:sz w:val="24"/>
                <w:szCs w:val="24"/>
              </w:rPr>
              <w:t>----------------</w:t>
            </w:r>
          </w:p>
        </w:tc>
        <w:tc>
          <w:tcPr>
            <w:tcW w:w="1110" w:type="dxa"/>
          </w:tcPr>
          <w:p w14:paraId="3F686925">
            <w:pPr>
              <w:ind w:left="180"/>
              <w:rPr>
                <w:rFonts w:ascii="Times New Roman" w:hAnsi="Times New Roman"/>
                <w:sz w:val="24"/>
                <w:szCs w:val="24"/>
              </w:rPr>
            </w:pPr>
          </w:p>
        </w:tc>
      </w:tr>
      <w:tr w14:paraId="34A0BA4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530" w:hRule="atLeast"/>
        </w:trPr>
        <w:tc>
          <w:tcPr>
            <w:tcW w:w="903" w:type="dxa"/>
          </w:tcPr>
          <w:p w14:paraId="7B215D0B">
            <w:pPr>
              <w:ind w:left="180"/>
              <w:rPr>
                <w:rFonts w:ascii="Times New Roman" w:hAnsi="Times New Roman"/>
                <w:sz w:val="24"/>
                <w:szCs w:val="24"/>
              </w:rPr>
            </w:pPr>
            <w:r>
              <w:rPr>
                <w:rFonts w:ascii="Times New Roman" w:hAnsi="Times New Roman"/>
                <w:sz w:val="24"/>
                <w:szCs w:val="24"/>
              </w:rPr>
              <w:t>11</w:t>
            </w:r>
          </w:p>
        </w:tc>
        <w:tc>
          <w:tcPr>
            <w:tcW w:w="3521" w:type="dxa"/>
          </w:tcPr>
          <w:p w14:paraId="69D38E39">
            <w:pPr>
              <w:ind w:left="180"/>
              <w:rPr>
                <w:rFonts w:ascii="Times New Roman" w:hAnsi="Times New Roman"/>
                <w:sz w:val="24"/>
                <w:szCs w:val="24"/>
              </w:rPr>
            </w:pPr>
            <w:r>
              <w:rPr>
                <w:rFonts w:ascii="Times New Roman" w:hAnsi="Times New Roman"/>
                <w:sz w:val="24"/>
                <w:szCs w:val="24"/>
              </w:rPr>
              <w:t>What is your marital status?</w:t>
            </w:r>
          </w:p>
        </w:tc>
        <w:tc>
          <w:tcPr>
            <w:tcW w:w="4042" w:type="dxa"/>
          </w:tcPr>
          <w:p w14:paraId="56698C2A">
            <w:pPr>
              <w:ind w:left="180"/>
              <w:rPr>
                <w:rFonts w:ascii="Times New Roman" w:hAnsi="Times New Roman"/>
                <w:sz w:val="24"/>
                <w:szCs w:val="24"/>
              </w:rPr>
            </w:pPr>
            <w:r>
              <w:rPr>
                <w:rFonts w:ascii="Times New Roman" w:hAnsi="Times New Roman"/>
                <w:sz w:val="24"/>
                <w:szCs w:val="24"/>
              </w:rPr>
              <w:t>A. Single         C. Divorced</w:t>
            </w:r>
          </w:p>
          <w:p w14:paraId="7B9CC1D1">
            <w:pPr>
              <w:ind w:left="180"/>
              <w:rPr>
                <w:rFonts w:ascii="Times New Roman" w:hAnsi="Times New Roman"/>
                <w:sz w:val="24"/>
                <w:szCs w:val="24"/>
              </w:rPr>
            </w:pPr>
            <w:r>
              <w:rPr>
                <w:rFonts w:ascii="Times New Roman" w:hAnsi="Times New Roman"/>
                <w:sz w:val="24"/>
                <w:szCs w:val="24"/>
              </w:rPr>
              <w:t xml:space="preserve">B. Married         D. Widowed </w:t>
            </w:r>
          </w:p>
          <w:p w14:paraId="208B1EAD">
            <w:pPr>
              <w:ind w:left="180"/>
              <w:rPr>
                <w:rFonts w:ascii="Times New Roman" w:hAnsi="Times New Roman"/>
                <w:sz w:val="24"/>
                <w:szCs w:val="24"/>
              </w:rPr>
            </w:pPr>
            <w:r>
              <w:rPr>
                <w:rFonts w:ascii="Times New Roman" w:hAnsi="Times New Roman"/>
                <w:sz w:val="24"/>
                <w:szCs w:val="24"/>
              </w:rPr>
              <w:t>E. Separated</w:t>
            </w:r>
          </w:p>
        </w:tc>
        <w:tc>
          <w:tcPr>
            <w:tcW w:w="1110" w:type="dxa"/>
          </w:tcPr>
          <w:p w14:paraId="17817349">
            <w:pPr>
              <w:ind w:left="180"/>
              <w:rPr>
                <w:rFonts w:ascii="Times New Roman" w:hAnsi="Times New Roman"/>
                <w:sz w:val="24"/>
                <w:szCs w:val="24"/>
              </w:rPr>
            </w:pPr>
          </w:p>
        </w:tc>
      </w:tr>
    </w:tbl>
    <w:p w14:paraId="0807C0D5">
      <w:pPr>
        <w:spacing w:line="360" w:lineRule="auto"/>
        <w:rPr>
          <w:rFonts w:ascii="Times New Roman" w:hAnsi="Times New Roman" w:eastAsia="Calibri" w:cs="Times New Roman"/>
          <w:b/>
          <w:sz w:val="24"/>
          <w:szCs w:val="24"/>
        </w:rPr>
      </w:pPr>
    </w:p>
    <w:p w14:paraId="023EFEB4">
      <w:pPr>
        <w:spacing w:before="100" w:beforeAutospacing="1" w:after="100" w:afterAutospacing="1"/>
        <w:contextualSpacing/>
        <w:rPr>
          <w:rFonts w:ascii="Times New Roman" w:hAnsi="Times New Roman" w:eastAsia="Times New Roman" w:cs="Times New Roman"/>
          <w:sz w:val="24"/>
          <w:szCs w:val="24"/>
        </w:rPr>
      </w:pPr>
      <w:r>
        <w:rPr>
          <w:rFonts w:ascii="Times New Roman" w:hAnsi="Times New Roman" w:cs="Times New Roman"/>
          <w:b/>
          <w:sz w:val="24"/>
          <w:szCs w:val="24"/>
        </w:rPr>
        <w:t>Parte II</w:t>
      </w:r>
      <w:r>
        <w:rPr>
          <w:rFonts w:ascii="Times New Roman" w:hAnsi="Times New Roman" w:cs="Times New Roman"/>
          <w:sz w:val="24"/>
          <w:szCs w:val="24"/>
        </w:rPr>
        <w:t xml:space="preserve"> Knowledge assessment of mothers about immunization(</w:t>
      </w:r>
      <w:r>
        <w:rPr>
          <w:rFonts w:ascii="Times New Roman" w:hAnsi="Times New Roman" w:eastAsia="Times New Roman" w:cs="Times New Roman"/>
          <w:bCs/>
          <w:sz w:val="24"/>
          <w:szCs w:val="24"/>
        </w:rPr>
        <w:t>Health-Related Factors)</w:t>
      </w:r>
    </w:p>
    <w:p w14:paraId="6A1E4E8E">
      <w:pPr>
        <w:spacing w:line="360" w:lineRule="auto"/>
        <w:rPr>
          <w:rFonts w:ascii="Times New Roman" w:hAnsi="Times New Roman" w:eastAsia="Calibri" w:cs="Times New Roman"/>
          <w:b/>
          <w:sz w:val="24"/>
          <w:szCs w:val="24"/>
        </w:rPr>
      </w:pPr>
    </w:p>
    <w:p w14:paraId="7D1DD564">
      <w:pPr>
        <w:spacing w:line="360" w:lineRule="auto"/>
        <w:rPr>
          <w:rFonts w:ascii="Times New Roman" w:hAnsi="Times New Roman" w:eastAsia="Calibri" w:cs="Times New Roman"/>
          <w:b/>
          <w:sz w:val="24"/>
          <w:szCs w:val="24"/>
        </w:rPr>
      </w:pPr>
    </w:p>
    <w:tbl>
      <w:tblPr>
        <w:tblStyle w:val="66"/>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008"/>
        <w:gridCol w:w="3960"/>
        <w:gridCol w:w="3600"/>
        <w:gridCol w:w="1008"/>
      </w:tblGrid>
      <w:tr w14:paraId="5D4B38E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008" w:type="dxa"/>
          </w:tcPr>
          <w:p w14:paraId="66A8FB6B">
            <w:pPr>
              <w:spacing w:line="360" w:lineRule="auto"/>
              <w:ind w:left="180"/>
              <w:rPr>
                <w:rFonts w:ascii="Times New Roman" w:hAnsi="Times New Roman"/>
                <w:sz w:val="24"/>
                <w:szCs w:val="24"/>
              </w:rPr>
            </w:pPr>
            <w:r>
              <w:rPr>
                <w:rFonts w:ascii="Times New Roman" w:hAnsi="Times New Roman"/>
                <w:sz w:val="24"/>
                <w:szCs w:val="24"/>
              </w:rPr>
              <w:t>Code</w:t>
            </w:r>
          </w:p>
        </w:tc>
        <w:tc>
          <w:tcPr>
            <w:tcW w:w="3960" w:type="dxa"/>
          </w:tcPr>
          <w:p w14:paraId="5BC78F88">
            <w:pPr>
              <w:ind w:left="180"/>
              <w:rPr>
                <w:rFonts w:ascii="Times New Roman" w:hAnsi="Times New Roman"/>
                <w:sz w:val="24"/>
                <w:szCs w:val="24"/>
              </w:rPr>
            </w:pPr>
            <w:r>
              <w:rPr>
                <w:rFonts w:ascii="Times New Roman" w:hAnsi="Times New Roman"/>
                <w:sz w:val="24"/>
                <w:szCs w:val="24"/>
              </w:rPr>
              <w:t>Questions</w:t>
            </w:r>
          </w:p>
        </w:tc>
        <w:tc>
          <w:tcPr>
            <w:tcW w:w="3600" w:type="dxa"/>
          </w:tcPr>
          <w:p w14:paraId="11EE0D27">
            <w:pPr>
              <w:ind w:left="180"/>
              <w:rPr>
                <w:rFonts w:ascii="Times New Roman" w:hAnsi="Times New Roman"/>
                <w:sz w:val="24"/>
                <w:szCs w:val="24"/>
              </w:rPr>
            </w:pPr>
            <w:r>
              <w:rPr>
                <w:rFonts w:ascii="Times New Roman" w:hAnsi="Times New Roman"/>
                <w:sz w:val="24"/>
                <w:szCs w:val="24"/>
              </w:rPr>
              <w:t>Alternative response</w:t>
            </w:r>
          </w:p>
        </w:tc>
        <w:tc>
          <w:tcPr>
            <w:tcW w:w="1008" w:type="dxa"/>
          </w:tcPr>
          <w:p w14:paraId="7BFF1338">
            <w:pPr>
              <w:spacing w:line="360" w:lineRule="auto"/>
              <w:ind w:left="180"/>
              <w:rPr>
                <w:rFonts w:ascii="Times New Roman" w:hAnsi="Times New Roman"/>
                <w:sz w:val="24"/>
                <w:szCs w:val="24"/>
              </w:rPr>
            </w:pPr>
            <w:r>
              <w:rPr>
                <w:rFonts w:ascii="Times New Roman" w:hAnsi="Times New Roman"/>
                <w:sz w:val="24"/>
                <w:szCs w:val="24"/>
              </w:rPr>
              <w:t>Skip</w:t>
            </w:r>
          </w:p>
        </w:tc>
      </w:tr>
      <w:tr w14:paraId="77E2959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008" w:type="dxa"/>
          </w:tcPr>
          <w:p w14:paraId="691CE510">
            <w:pPr>
              <w:spacing w:line="360" w:lineRule="auto"/>
              <w:ind w:left="180"/>
              <w:rPr>
                <w:rFonts w:ascii="Times New Roman" w:hAnsi="Times New Roman"/>
                <w:sz w:val="24"/>
                <w:szCs w:val="24"/>
              </w:rPr>
            </w:pPr>
            <w:r>
              <w:rPr>
                <w:rFonts w:ascii="Times New Roman" w:hAnsi="Times New Roman"/>
                <w:sz w:val="24"/>
                <w:szCs w:val="24"/>
              </w:rPr>
              <w:t>12</w:t>
            </w:r>
          </w:p>
        </w:tc>
        <w:tc>
          <w:tcPr>
            <w:tcW w:w="3960" w:type="dxa"/>
          </w:tcPr>
          <w:p w14:paraId="4345B14B">
            <w:pPr>
              <w:ind w:left="180"/>
              <w:rPr>
                <w:rFonts w:ascii="Times New Roman" w:hAnsi="Times New Roman"/>
                <w:sz w:val="24"/>
                <w:szCs w:val="24"/>
              </w:rPr>
            </w:pPr>
            <w:r>
              <w:rPr>
                <w:rFonts w:ascii="Times New Roman" w:hAnsi="Times New Roman"/>
                <w:sz w:val="24"/>
                <w:szCs w:val="24"/>
              </w:rPr>
              <w:t>Do you know about immunization</w:t>
            </w:r>
          </w:p>
        </w:tc>
        <w:tc>
          <w:tcPr>
            <w:tcW w:w="3600" w:type="dxa"/>
          </w:tcPr>
          <w:p w14:paraId="786B3207">
            <w:pPr>
              <w:rPr>
                <w:rFonts w:ascii="Times New Roman" w:hAnsi="Times New Roman"/>
                <w:sz w:val="24"/>
                <w:szCs w:val="24"/>
              </w:rPr>
            </w:pPr>
            <w:r>
              <w:rPr>
                <w:rFonts w:ascii="Times New Roman" w:hAnsi="Times New Roman"/>
                <w:sz w:val="24"/>
                <w:szCs w:val="24"/>
              </w:rPr>
              <w:t>A. Yes         B. No</w:t>
            </w:r>
          </w:p>
          <w:p w14:paraId="1A03D7ED">
            <w:pPr>
              <w:ind w:left="180"/>
              <w:rPr>
                <w:rFonts w:ascii="Times New Roman" w:hAnsi="Times New Roman"/>
                <w:sz w:val="24"/>
                <w:szCs w:val="24"/>
              </w:rPr>
            </w:pPr>
          </w:p>
        </w:tc>
        <w:tc>
          <w:tcPr>
            <w:tcW w:w="1008" w:type="dxa"/>
          </w:tcPr>
          <w:p w14:paraId="53FA8046">
            <w:pPr>
              <w:spacing w:line="360" w:lineRule="auto"/>
              <w:ind w:left="180"/>
              <w:rPr>
                <w:rFonts w:ascii="Times New Roman" w:hAnsi="Times New Roman"/>
                <w:sz w:val="24"/>
                <w:szCs w:val="24"/>
              </w:rPr>
            </w:pPr>
          </w:p>
        </w:tc>
      </w:tr>
      <w:tr w14:paraId="5A17C60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008" w:type="dxa"/>
          </w:tcPr>
          <w:p w14:paraId="71C37E16">
            <w:pPr>
              <w:spacing w:line="360" w:lineRule="auto"/>
              <w:ind w:left="180"/>
              <w:rPr>
                <w:rFonts w:ascii="Times New Roman" w:hAnsi="Times New Roman"/>
                <w:sz w:val="24"/>
                <w:szCs w:val="24"/>
              </w:rPr>
            </w:pPr>
            <w:r>
              <w:rPr>
                <w:rFonts w:ascii="Times New Roman" w:hAnsi="Times New Roman"/>
                <w:sz w:val="24"/>
                <w:szCs w:val="24"/>
              </w:rPr>
              <w:t>13</w:t>
            </w:r>
          </w:p>
        </w:tc>
        <w:tc>
          <w:tcPr>
            <w:tcW w:w="3960" w:type="dxa"/>
          </w:tcPr>
          <w:p w14:paraId="7FB73712">
            <w:pPr>
              <w:ind w:left="180"/>
              <w:rPr>
                <w:rFonts w:ascii="Times New Roman" w:hAnsi="Times New Roman"/>
                <w:sz w:val="24"/>
                <w:szCs w:val="24"/>
              </w:rPr>
            </w:pPr>
            <w:r>
              <w:rPr>
                <w:rFonts w:ascii="Times New Roman" w:hAnsi="Times New Roman"/>
                <w:sz w:val="24"/>
                <w:szCs w:val="24"/>
              </w:rPr>
              <w:t>If “Yes” to Q12 what is the source of your/information?</w:t>
            </w:r>
            <w:r>
              <w:rPr>
                <w:rFonts w:ascii="Times New Roman" w:hAnsi="Times New Roman"/>
              </w:rPr>
              <w:t xml:space="preserve">      </w:t>
            </w:r>
          </w:p>
        </w:tc>
        <w:tc>
          <w:tcPr>
            <w:tcW w:w="3600" w:type="dxa"/>
          </w:tcPr>
          <w:p w14:paraId="5F9AD092">
            <w:pPr>
              <w:rPr>
                <w:rFonts w:ascii="Times New Roman" w:hAnsi="Times New Roman"/>
                <w:sz w:val="24"/>
                <w:szCs w:val="24"/>
              </w:rPr>
            </w:pPr>
            <w:r>
              <w:rPr>
                <w:rFonts w:ascii="Times New Roman" w:hAnsi="Times New Roman"/>
                <w:sz w:val="24"/>
                <w:szCs w:val="24"/>
              </w:rPr>
              <w:t xml:space="preserve">A. Health workers </w:t>
            </w:r>
          </w:p>
          <w:p w14:paraId="37042108">
            <w:pPr>
              <w:rPr>
                <w:rFonts w:ascii="Times New Roman" w:hAnsi="Times New Roman"/>
                <w:sz w:val="24"/>
                <w:szCs w:val="24"/>
              </w:rPr>
            </w:pPr>
            <w:r>
              <w:rPr>
                <w:rFonts w:ascii="Times New Roman" w:hAnsi="Times New Roman"/>
                <w:sz w:val="24"/>
                <w:szCs w:val="24"/>
              </w:rPr>
              <w:t xml:space="preserve"> B. Neighborhood</w:t>
            </w:r>
          </w:p>
          <w:p w14:paraId="3DF33FF0">
            <w:pPr>
              <w:rPr>
                <w:rFonts w:ascii="Times New Roman" w:hAnsi="Times New Roman"/>
                <w:sz w:val="24"/>
                <w:szCs w:val="24"/>
              </w:rPr>
            </w:pPr>
            <w:r>
              <w:rPr>
                <w:rFonts w:ascii="Times New Roman" w:hAnsi="Times New Roman"/>
                <w:sz w:val="24"/>
                <w:szCs w:val="24"/>
              </w:rPr>
              <w:t xml:space="preserve">C. Radio and /or TV  </w:t>
            </w:r>
          </w:p>
          <w:p w14:paraId="39B0C51B">
            <w:pPr>
              <w:rPr>
                <w:rFonts w:ascii="Times New Roman" w:hAnsi="Times New Roman"/>
                <w:sz w:val="24"/>
                <w:szCs w:val="24"/>
              </w:rPr>
            </w:pPr>
            <w:r>
              <w:rPr>
                <w:rFonts w:ascii="Times New Roman" w:hAnsi="Times New Roman"/>
                <w:sz w:val="24"/>
                <w:szCs w:val="24"/>
              </w:rPr>
              <w:t>D. Others/specify</w:t>
            </w:r>
          </w:p>
          <w:p w14:paraId="505A3A47">
            <w:pPr>
              <w:rPr>
                <w:rFonts w:ascii="Times New Roman" w:hAnsi="Times New Roman"/>
                <w:sz w:val="24"/>
                <w:szCs w:val="24"/>
              </w:rPr>
            </w:pPr>
          </w:p>
        </w:tc>
        <w:tc>
          <w:tcPr>
            <w:tcW w:w="1008" w:type="dxa"/>
          </w:tcPr>
          <w:p w14:paraId="0F35D4D0">
            <w:pPr>
              <w:spacing w:line="360" w:lineRule="auto"/>
              <w:ind w:left="180"/>
              <w:rPr>
                <w:rFonts w:ascii="Times New Roman" w:hAnsi="Times New Roman"/>
                <w:sz w:val="24"/>
                <w:szCs w:val="24"/>
              </w:rPr>
            </w:pPr>
          </w:p>
        </w:tc>
      </w:tr>
      <w:tr w14:paraId="0D85AEE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008" w:type="dxa"/>
          </w:tcPr>
          <w:p w14:paraId="35506B19">
            <w:pPr>
              <w:spacing w:line="360" w:lineRule="auto"/>
              <w:ind w:left="180"/>
              <w:rPr>
                <w:rFonts w:ascii="Times New Roman" w:hAnsi="Times New Roman"/>
                <w:sz w:val="24"/>
                <w:szCs w:val="24"/>
              </w:rPr>
            </w:pPr>
            <w:r>
              <w:rPr>
                <w:rFonts w:ascii="Times New Roman" w:hAnsi="Times New Roman"/>
                <w:sz w:val="24"/>
                <w:szCs w:val="24"/>
              </w:rPr>
              <w:t>14</w:t>
            </w:r>
          </w:p>
        </w:tc>
        <w:tc>
          <w:tcPr>
            <w:tcW w:w="3960" w:type="dxa"/>
          </w:tcPr>
          <w:p w14:paraId="042BEAB3">
            <w:pPr>
              <w:rPr>
                <w:rFonts w:ascii="Times New Roman" w:hAnsi="Times New Roman"/>
                <w:sz w:val="24"/>
                <w:szCs w:val="24"/>
              </w:rPr>
            </w:pPr>
            <w:r>
              <w:rPr>
                <w:rFonts w:ascii="Times New Roman" w:hAnsi="Times New Roman"/>
                <w:sz w:val="24"/>
                <w:szCs w:val="24"/>
              </w:rPr>
              <w:t>What is your attitude toward vaccine ?</w:t>
            </w:r>
          </w:p>
          <w:p w14:paraId="0978726E">
            <w:pPr>
              <w:rPr>
                <w:rFonts w:ascii="Times New Roman" w:hAnsi="Times New Roman"/>
                <w:sz w:val="24"/>
                <w:szCs w:val="24"/>
              </w:rPr>
            </w:pPr>
          </w:p>
        </w:tc>
        <w:tc>
          <w:tcPr>
            <w:tcW w:w="3600" w:type="dxa"/>
          </w:tcPr>
          <w:p w14:paraId="4E3657C5">
            <w:pPr>
              <w:rPr>
                <w:rFonts w:ascii="Times New Roman" w:hAnsi="Times New Roman"/>
                <w:sz w:val="24"/>
                <w:szCs w:val="24"/>
              </w:rPr>
            </w:pPr>
            <w:r>
              <w:rPr>
                <w:rFonts w:ascii="Times New Roman" w:hAnsi="Times New Roman"/>
                <w:sz w:val="24"/>
                <w:szCs w:val="24"/>
              </w:rPr>
              <w:t>A. Very important</w:t>
            </w:r>
          </w:p>
          <w:p w14:paraId="11C9D975">
            <w:pPr>
              <w:rPr>
                <w:rFonts w:ascii="Times New Roman" w:hAnsi="Times New Roman"/>
                <w:sz w:val="24"/>
                <w:szCs w:val="24"/>
              </w:rPr>
            </w:pPr>
            <w:r>
              <w:rPr>
                <w:rFonts w:ascii="Times New Roman" w:hAnsi="Times New Roman"/>
              </w:rPr>
              <w:t xml:space="preserve">B. Important </w:t>
            </w:r>
          </w:p>
          <w:p w14:paraId="06E2C08D">
            <w:pPr>
              <w:rPr>
                <w:rFonts w:ascii="Times New Roman" w:hAnsi="Times New Roman"/>
                <w:sz w:val="24"/>
                <w:szCs w:val="24"/>
              </w:rPr>
            </w:pPr>
            <w:r>
              <w:rPr>
                <w:rFonts w:ascii="Times New Roman" w:hAnsi="Times New Roman"/>
                <w:sz w:val="24"/>
                <w:szCs w:val="24"/>
              </w:rPr>
              <w:t>C. Bad</w:t>
            </w:r>
          </w:p>
          <w:p w14:paraId="2DE527E4">
            <w:pPr>
              <w:rPr>
                <w:rFonts w:ascii="Times New Roman" w:hAnsi="Times New Roman"/>
                <w:sz w:val="24"/>
                <w:szCs w:val="24"/>
              </w:rPr>
            </w:pPr>
            <w:r>
              <w:rPr>
                <w:rFonts w:ascii="Times New Roman" w:hAnsi="Times New Roman"/>
                <w:sz w:val="24"/>
                <w:szCs w:val="24"/>
              </w:rPr>
              <w:t xml:space="preserve">D. Very bad </w:t>
            </w:r>
          </w:p>
          <w:p w14:paraId="349D14D0">
            <w:pPr>
              <w:rPr>
                <w:rFonts w:ascii="Times New Roman" w:hAnsi="Times New Roman"/>
                <w:sz w:val="24"/>
                <w:szCs w:val="24"/>
              </w:rPr>
            </w:pPr>
            <w:r>
              <w:rPr>
                <w:rFonts w:ascii="Times New Roman" w:hAnsi="Times New Roman"/>
                <w:sz w:val="24"/>
                <w:szCs w:val="24"/>
              </w:rPr>
              <w:t>E. Other (specify)</w:t>
            </w:r>
          </w:p>
          <w:p w14:paraId="69918C6F">
            <w:pPr>
              <w:rPr>
                <w:rFonts w:ascii="Times New Roman" w:hAnsi="Times New Roman"/>
                <w:sz w:val="24"/>
                <w:szCs w:val="24"/>
              </w:rPr>
            </w:pPr>
            <w:r>
              <w:rPr>
                <w:rFonts w:ascii="Times New Roman" w:hAnsi="Times New Roman"/>
                <w:sz w:val="24"/>
                <w:szCs w:val="24"/>
              </w:rPr>
              <w:t>F. No idea</w:t>
            </w:r>
          </w:p>
          <w:p w14:paraId="275A5F32">
            <w:pPr>
              <w:rPr>
                <w:rFonts w:ascii="Times New Roman" w:hAnsi="Times New Roman"/>
                <w:sz w:val="24"/>
                <w:szCs w:val="24"/>
              </w:rPr>
            </w:pPr>
          </w:p>
        </w:tc>
        <w:tc>
          <w:tcPr>
            <w:tcW w:w="1008" w:type="dxa"/>
          </w:tcPr>
          <w:p w14:paraId="6673B744">
            <w:pPr>
              <w:spacing w:line="360" w:lineRule="auto"/>
              <w:ind w:left="180"/>
              <w:rPr>
                <w:rFonts w:ascii="Times New Roman" w:hAnsi="Times New Roman"/>
                <w:sz w:val="24"/>
                <w:szCs w:val="24"/>
              </w:rPr>
            </w:pPr>
          </w:p>
        </w:tc>
      </w:tr>
      <w:tr w14:paraId="46F2095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008" w:type="dxa"/>
          </w:tcPr>
          <w:p w14:paraId="1E4CFF9E">
            <w:pPr>
              <w:spacing w:line="360" w:lineRule="auto"/>
              <w:ind w:left="180"/>
              <w:rPr>
                <w:rFonts w:ascii="Times New Roman" w:hAnsi="Times New Roman"/>
                <w:sz w:val="24"/>
                <w:szCs w:val="24"/>
              </w:rPr>
            </w:pPr>
            <w:r>
              <w:rPr>
                <w:rFonts w:ascii="Times New Roman" w:hAnsi="Times New Roman"/>
                <w:sz w:val="24"/>
                <w:szCs w:val="24"/>
              </w:rPr>
              <w:t>15</w:t>
            </w:r>
          </w:p>
        </w:tc>
        <w:tc>
          <w:tcPr>
            <w:tcW w:w="3960" w:type="dxa"/>
          </w:tcPr>
          <w:p w14:paraId="521BA82D">
            <w:pPr>
              <w:rPr>
                <w:rFonts w:ascii="Times New Roman" w:hAnsi="Times New Roman"/>
                <w:sz w:val="24"/>
                <w:szCs w:val="24"/>
              </w:rPr>
            </w:pPr>
            <w:r>
              <w:rPr>
                <w:rFonts w:ascii="Times New Roman" w:hAnsi="Times New Roman"/>
                <w:sz w:val="24"/>
                <w:szCs w:val="24"/>
              </w:rPr>
              <w:t>Have you ever taken your index child to nearby health facility were vaccination is available</w:t>
            </w:r>
          </w:p>
        </w:tc>
        <w:tc>
          <w:tcPr>
            <w:tcW w:w="3600" w:type="dxa"/>
          </w:tcPr>
          <w:p w14:paraId="0266288F">
            <w:pPr>
              <w:pStyle w:val="51"/>
              <w:numPr>
                <w:ilvl w:val="0"/>
                <w:numId w:val="10"/>
              </w:numPr>
              <w:rPr>
                <w:rFonts w:ascii="Times New Roman" w:hAnsi="Times New Roman"/>
                <w:sz w:val="24"/>
                <w:szCs w:val="24"/>
              </w:rPr>
            </w:pPr>
            <w:r>
              <w:rPr>
                <w:rFonts w:ascii="Times New Roman" w:hAnsi="Times New Roman"/>
              </w:rPr>
              <w:t xml:space="preserve">Yes </w:t>
            </w:r>
          </w:p>
          <w:p w14:paraId="391D9A68">
            <w:pPr>
              <w:pStyle w:val="51"/>
              <w:numPr>
                <w:ilvl w:val="0"/>
                <w:numId w:val="10"/>
              </w:numPr>
              <w:rPr>
                <w:rFonts w:ascii="Times New Roman" w:hAnsi="Times New Roman"/>
                <w:sz w:val="24"/>
                <w:szCs w:val="24"/>
              </w:rPr>
            </w:pPr>
            <w:r>
              <w:rPr>
                <w:rFonts w:ascii="Times New Roman" w:hAnsi="Times New Roman"/>
              </w:rPr>
              <w:t xml:space="preserve">No </w:t>
            </w:r>
          </w:p>
        </w:tc>
        <w:tc>
          <w:tcPr>
            <w:tcW w:w="1008" w:type="dxa"/>
          </w:tcPr>
          <w:p w14:paraId="3D073092">
            <w:pPr>
              <w:spacing w:line="360" w:lineRule="auto"/>
              <w:ind w:left="180"/>
              <w:rPr>
                <w:rFonts w:ascii="Times New Roman" w:hAnsi="Times New Roman"/>
                <w:sz w:val="24"/>
                <w:szCs w:val="24"/>
              </w:rPr>
            </w:pPr>
          </w:p>
        </w:tc>
      </w:tr>
      <w:tr w14:paraId="353A1DD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008" w:type="dxa"/>
          </w:tcPr>
          <w:p w14:paraId="65F771F1">
            <w:pPr>
              <w:spacing w:line="360" w:lineRule="auto"/>
              <w:ind w:left="180"/>
              <w:rPr>
                <w:rFonts w:ascii="Times New Roman" w:hAnsi="Times New Roman"/>
                <w:sz w:val="24"/>
                <w:szCs w:val="24"/>
              </w:rPr>
            </w:pPr>
            <w:r>
              <w:rPr>
                <w:rFonts w:ascii="Times New Roman" w:hAnsi="Times New Roman"/>
                <w:sz w:val="24"/>
                <w:szCs w:val="24"/>
              </w:rPr>
              <w:t>16</w:t>
            </w:r>
          </w:p>
        </w:tc>
        <w:tc>
          <w:tcPr>
            <w:tcW w:w="3960" w:type="dxa"/>
          </w:tcPr>
          <w:p w14:paraId="12D5F87A">
            <w:pPr>
              <w:rPr>
                <w:rFonts w:ascii="Times New Roman" w:hAnsi="Times New Roman"/>
                <w:sz w:val="24"/>
                <w:szCs w:val="24"/>
              </w:rPr>
            </w:pPr>
            <w:r>
              <w:rPr>
                <w:rFonts w:ascii="Times New Roman" w:hAnsi="Times New Roman"/>
                <w:sz w:val="24"/>
                <w:szCs w:val="24"/>
              </w:rPr>
              <w:t>If “yes” to Q15  is he/she is vaccinated?</w:t>
            </w:r>
          </w:p>
        </w:tc>
        <w:tc>
          <w:tcPr>
            <w:tcW w:w="3600" w:type="dxa"/>
          </w:tcPr>
          <w:p w14:paraId="203A8EBC">
            <w:pPr>
              <w:pStyle w:val="51"/>
              <w:numPr>
                <w:ilvl w:val="0"/>
                <w:numId w:val="11"/>
              </w:numPr>
              <w:rPr>
                <w:rFonts w:ascii="Times New Roman" w:hAnsi="Times New Roman"/>
              </w:rPr>
            </w:pPr>
            <w:r>
              <w:rPr>
                <w:rFonts w:ascii="Times New Roman" w:hAnsi="Times New Roman"/>
              </w:rPr>
              <w:t xml:space="preserve">Yes </w:t>
            </w:r>
          </w:p>
          <w:p w14:paraId="32C4AB96">
            <w:pPr>
              <w:pStyle w:val="51"/>
              <w:numPr>
                <w:ilvl w:val="0"/>
                <w:numId w:val="11"/>
              </w:numPr>
              <w:rPr>
                <w:rFonts w:ascii="Times New Roman" w:hAnsi="Times New Roman"/>
              </w:rPr>
            </w:pPr>
            <w:r>
              <w:rPr>
                <w:rFonts w:ascii="Times New Roman" w:hAnsi="Times New Roman"/>
              </w:rPr>
              <w:t xml:space="preserve"> No </w:t>
            </w:r>
          </w:p>
        </w:tc>
        <w:tc>
          <w:tcPr>
            <w:tcW w:w="1008" w:type="dxa"/>
          </w:tcPr>
          <w:p w14:paraId="4DEB8AE0">
            <w:pPr>
              <w:spacing w:line="360" w:lineRule="auto"/>
              <w:ind w:left="180"/>
              <w:rPr>
                <w:rFonts w:ascii="Times New Roman" w:hAnsi="Times New Roman"/>
                <w:sz w:val="24"/>
                <w:szCs w:val="24"/>
              </w:rPr>
            </w:pPr>
          </w:p>
        </w:tc>
      </w:tr>
      <w:tr w14:paraId="710B283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008" w:type="dxa"/>
          </w:tcPr>
          <w:p w14:paraId="0962431D">
            <w:pPr>
              <w:spacing w:line="360" w:lineRule="auto"/>
              <w:ind w:left="180"/>
              <w:rPr>
                <w:rFonts w:ascii="Times New Roman" w:hAnsi="Times New Roman"/>
                <w:sz w:val="24"/>
                <w:szCs w:val="24"/>
              </w:rPr>
            </w:pPr>
            <w:r>
              <w:rPr>
                <w:rFonts w:ascii="Times New Roman" w:hAnsi="Times New Roman"/>
                <w:sz w:val="24"/>
                <w:szCs w:val="24"/>
              </w:rPr>
              <w:t>17</w:t>
            </w:r>
          </w:p>
        </w:tc>
        <w:tc>
          <w:tcPr>
            <w:tcW w:w="3960" w:type="dxa"/>
          </w:tcPr>
          <w:p w14:paraId="33DAB937">
            <w:pPr>
              <w:rPr>
                <w:rFonts w:ascii="Times New Roman" w:hAnsi="Times New Roman"/>
                <w:sz w:val="24"/>
                <w:szCs w:val="24"/>
              </w:rPr>
            </w:pPr>
            <w:r>
              <w:rPr>
                <w:rFonts w:ascii="Times New Roman" w:hAnsi="Times New Roman"/>
                <w:sz w:val="24"/>
                <w:szCs w:val="24"/>
              </w:rPr>
              <w:t>Do you know when to start and finish vaccination for your child?</w:t>
            </w:r>
          </w:p>
        </w:tc>
        <w:tc>
          <w:tcPr>
            <w:tcW w:w="3600" w:type="dxa"/>
          </w:tcPr>
          <w:p w14:paraId="1126774E">
            <w:pPr>
              <w:pStyle w:val="51"/>
              <w:numPr>
                <w:ilvl w:val="0"/>
                <w:numId w:val="12"/>
              </w:numPr>
              <w:rPr>
                <w:rFonts w:ascii="Times New Roman" w:hAnsi="Times New Roman"/>
              </w:rPr>
            </w:pPr>
            <w:r>
              <w:rPr>
                <w:rFonts w:ascii="Times New Roman" w:hAnsi="Times New Roman"/>
              </w:rPr>
              <w:t xml:space="preserve">Yes </w:t>
            </w:r>
          </w:p>
          <w:p w14:paraId="197A0B5A">
            <w:pPr>
              <w:pStyle w:val="51"/>
              <w:numPr>
                <w:ilvl w:val="0"/>
                <w:numId w:val="12"/>
              </w:numPr>
              <w:rPr>
                <w:rFonts w:ascii="Times New Roman" w:hAnsi="Times New Roman"/>
              </w:rPr>
            </w:pPr>
            <w:r>
              <w:rPr>
                <w:rFonts w:ascii="Times New Roman" w:hAnsi="Times New Roman"/>
              </w:rPr>
              <w:t xml:space="preserve"> No</w:t>
            </w:r>
          </w:p>
        </w:tc>
        <w:tc>
          <w:tcPr>
            <w:tcW w:w="1008" w:type="dxa"/>
          </w:tcPr>
          <w:p w14:paraId="2E22B3C6">
            <w:pPr>
              <w:spacing w:line="360" w:lineRule="auto"/>
              <w:ind w:left="180"/>
              <w:rPr>
                <w:rFonts w:ascii="Times New Roman" w:hAnsi="Times New Roman"/>
                <w:sz w:val="24"/>
                <w:szCs w:val="24"/>
              </w:rPr>
            </w:pPr>
          </w:p>
        </w:tc>
      </w:tr>
      <w:tr w14:paraId="71156E5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008" w:type="dxa"/>
          </w:tcPr>
          <w:p w14:paraId="68B1A604">
            <w:pPr>
              <w:spacing w:line="360" w:lineRule="auto"/>
              <w:ind w:left="180"/>
              <w:rPr>
                <w:rFonts w:ascii="Times New Roman" w:hAnsi="Times New Roman"/>
                <w:sz w:val="24"/>
                <w:szCs w:val="24"/>
              </w:rPr>
            </w:pPr>
            <w:r>
              <w:rPr>
                <w:rFonts w:ascii="Times New Roman" w:hAnsi="Times New Roman"/>
                <w:sz w:val="24"/>
                <w:szCs w:val="24"/>
              </w:rPr>
              <w:t>18</w:t>
            </w:r>
          </w:p>
        </w:tc>
        <w:tc>
          <w:tcPr>
            <w:tcW w:w="3960" w:type="dxa"/>
          </w:tcPr>
          <w:p w14:paraId="7BCCAABD">
            <w:pPr>
              <w:spacing w:after="200" w:line="276" w:lineRule="auto"/>
              <w:rPr>
                <w:rFonts w:ascii="Times New Roman" w:hAnsi="Times New Roman"/>
              </w:rPr>
            </w:pPr>
            <w:r>
              <w:rPr>
                <w:rFonts w:ascii="Bookman Old Style" w:hAnsi="Bookman Old Style"/>
              </w:rPr>
              <w:t>What do you think the benefit of vaccination in general</w:t>
            </w:r>
          </w:p>
        </w:tc>
        <w:tc>
          <w:tcPr>
            <w:tcW w:w="3600" w:type="dxa"/>
          </w:tcPr>
          <w:p w14:paraId="4A723564">
            <w:pPr>
              <w:pStyle w:val="51"/>
              <w:numPr>
                <w:ilvl w:val="0"/>
                <w:numId w:val="13"/>
              </w:numPr>
              <w:spacing w:after="200" w:line="276" w:lineRule="auto"/>
              <w:rPr>
                <w:rFonts w:ascii="Times New Roman" w:hAnsi="Times New Roman"/>
              </w:rPr>
            </w:pPr>
            <w:r>
              <w:rPr>
                <w:rFonts w:ascii="Bookman Old Style" w:hAnsi="Bookman Old Style"/>
              </w:rPr>
              <w:t>To cure already developed diseases</w:t>
            </w:r>
          </w:p>
          <w:p w14:paraId="4858BF17">
            <w:pPr>
              <w:pStyle w:val="51"/>
              <w:numPr>
                <w:ilvl w:val="0"/>
                <w:numId w:val="13"/>
              </w:numPr>
              <w:spacing w:after="200" w:line="276" w:lineRule="auto"/>
              <w:rPr>
                <w:rFonts w:ascii="Times New Roman" w:hAnsi="Times New Roman"/>
              </w:rPr>
            </w:pPr>
            <w:r>
              <w:rPr>
                <w:rFonts w:ascii="Bookman Old Style" w:hAnsi="Bookman Old Style"/>
              </w:rPr>
              <w:t xml:space="preserve"> To prevent a disease  </w:t>
            </w:r>
          </w:p>
          <w:p w14:paraId="253D8BB5">
            <w:pPr>
              <w:pStyle w:val="51"/>
              <w:numPr>
                <w:ilvl w:val="0"/>
                <w:numId w:val="13"/>
              </w:numPr>
              <w:spacing w:after="200" w:line="276" w:lineRule="auto"/>
              <w:rPr>
                <w:rFonts w:ascii="Times New Roman" w:hAnsi="Times New Roman"/>
              </w:rPr>
            </w:pPr>
            <w:r>
              <w:rPr>
                <w:rFonts w:ascii="Bookman Old Style" w:hAnsi="Bookman Old Style"/>
              </w:rPr>
              <w:t xml:space="preserve">I don’t know </w:t>
            </w:r>
          </w:p>
        </w:tc>
        <w:tc>
          <w:tcPr>
            <w:tcW w:w="1008" w:type="dxa"/>
          </w:tcPr>
          <w:p w14:paraId="7EBCF2CB">
            <w:pPr>
              <w:spacing w:line="360" w:lineRule="auto"/>
              <w:ind w:left="180"/>
              <w:rPr>
                <w:rFonts w:ascii="Times New Roman" w:hAnsi="Times New Roman"/>
                <w:sz w:val="24"/>
                <w:szCs w:val="24"/>
              </w:rPr>
            </w:pPr>
          </w:p>
        </w:tc>
      </w:tr>
    </w:tbl>
    <w:p w14:paraId="5C18DA93">
      <w:pPr>
        <w:spacing w:line="360" w:lineRule="auto"/>
        <w:rPr>
          <w:rFonts w:ascii="Times New Roman" w:hAnsi="Times New Roman" w:eastAsia="Calibri" w:cs="Times New Roman"/>
          <w:b/>
          <w:sz w:val="24"/>
          <w:szCs w:val="24"/>
        </w:rPr>
      </w:pPr>
    </w:p>
    <w:p w14:paraId="343EDC61">
      <w:pPr>
        <w:spacing w:line="360" w:lineRule="auto"/>
        <w:rPr>
          <w:rFonts w:ascii="Times New Roman" w:hAnsi="Times New Roman" w:eastAsia="Calibri" w:cs="Times New Roman"/>
          <w:b/>
          <w:sz w:val="24"/>
          <w:szCs w:val="24"/>
        </w:rPr>
      </w:pPr>
    </w:p>
    <w:p w14:paraId="57953279">
      <w:pPr>
        <w:spacing w:line="360" w:lineRule="auto"/>
        <w:rPr>
          <w:rFonts w:ascii="Times New Roman" w:hAnsi="Times New Roman" w:eastAsia="Calibri" w:cs="Times New Roman"/>
          <w:b/>
          <w:sz w:val="24"/>
          <w:szCs w:val="24"/>
        </w:rPr>
      </w:pPr>
      <w:r>
        <w:rPr>
          <w:rFonts w:ascii="Times New Roman" w:hAnsi="Times New Roman" w:eastAsia="Calibri" w:cs="Times New Roman"/>
          <w:b/>
          <w:sz w:val="24"/>
          <w:szCs w:val="24"/>
        </w:rPr>
        <w:t xml:space="preserve">Part III: </w:t>
      </w:r>
      <w:r>
        <w:rPr>
          <w:rFonts w:ascii="Times New Roman" w:hAnsi="Times New Roman" w:cs="Times New Roman"/>
          <w:sz w:val="24"/>
          <w:szCs w:val="24"/>
        </w:rPr>
        <w:t xml:space="preserve"> </w:t>
      </w:r>
      <w:r>
        <w:rPr>
          <w:rFonts w:ascii="Times New Roman" w:hAnsi="Times New Roman" w:cs="Times New Roman"/>
          <w:b/>
          <w:sz w:val="24"/>
          <w:szCs w:val="24"/>
        </w:rPr>
        <w:t>Mothers’/caregivers’ knowledge of malaria, its prevention, and vaccine</w:t>
      </w:r>
    </w:p>
    <w:tbl>
      <w:tblPr>
        <w:tblStyle w:val="66"/>
        <w:tblW w:w="10041" w:type="dxa"/>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983"/>
        <w:gridCol w:w="3990"/>
        <w:gridCol w:w="3118"/>
        <w:gridCol w:w="1950"/>
      </w:tblGrid>
      <w:tr w14:paraId="19E4B57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983" w:type="dxa"/>
          </w:tcPr>
          <w:p w14:paraId="02B52AAD">
            <w:pPr>
              <w:spacing w:line="360" w:lineRule="auto"/>
              <w:ind w:left="180"/>
              <w:rPr>
                <w:rFonts w:ascii="Times New Roman" w:hAnsi="Times New Roman"/>
                <w:sz w:val="24"/>
                <w:szCs w:val="24"/>
              </w:rPr>
            </w:pPr>
            <w:r>
              <w:rPr>
                <w:rFonts w:ascii="Times New Roman" w:hAnsi="Times New Roman"/>
                <w:sz w:val="24"/>
                <w:szCs w:val="24"/>
              </w:rPr>
              <w:t>Code</w:t>
            </w:r>
          </w:p>
        </w:tc>
        <w:tc>
          <w:tcPr>
            <w:tcW w:w="3990" w:type="dxa"/>
          </w:tcPr>
          <w:p w14:paraId="026FBF3C">
            <w:pPr>
              <w:ind w:left="180"/>
              <w:rPr>
                <w:rFonts w:ascii="Times New Roman" w:hAnsi="Times New Roman"/>
                <w:sz w:val="24"/>
                <w:szCs w:val="24"/>
              </w:rPr>
            </w:pPr>
            <w:r>
              <w:rPr>
                <w:rFonts w:ascii="Times New Roman" w:hAnsi="Times New Roman"/>
                <w:sz w:val="24"/>
                <w:szCs w:val="24"/>
              </w:rPr>
              <w:t>Questions</w:t>
            </w:r>
          </w:p>
        </w:tc>
        <w:tc>
          <w:tcPr>
            <w:tcW w:w="3118" w:type="dxa"/>
          </w:tcPr>
          <w:p w14:paraId="3E7B969C">
            <w:pPr>
              <w:ind w:left="180"/>
              <w:rPr>
                <w:rFonts w:ascii="Times New Roman" w:hAnsi="Times New Roman"/>
                <w:sz w:val="24"/>
                <w:szCs w:val="24"/>
              </w:rPr>
            </w:pPr>
            <w:r>
              <w:rPr>
                <w:rFonts w:ascii="Times New Roman" w:hAnsi="Times New Roman"/>
                <w:sz w:val="24"/>
                <w:szCs w:val="24"/>
              </w:rPr>
              <w:t>Alternative response</w:t>
            </w:r>
          </w:p>
        </w:tc>
        <w:tc>
          <w:tcPr>
            <w:tcW w:w="1950" w:type="dxa"/>
          </w:tcPr>
          <w:p w14:paraId="6035BEFD">
            <w:pPr>
              <w:spacing w:line="360" w:lineRule="auto"/>
              <w:ind w:left="180"/>
              <w:rPr>
                <w:rFonts w:ascii="Times New Roman" w:hAnsi="Times New Roman"/>
                <w:sz w:val="24"/>
                <w:szCs w:val="24"/>
              </w:rPr>
            </w:pPr>
            <w:r>
              <w:rPr>
                <w:rFonts w:ascii="Times New Roman" w:hAnsi="Times New Roman"/>
                <w:sz w:val="24"/>
                <w:szCs w:val="24"/>
              </w:rPr>
              <w:t>Skip</w:t>
            </w:r>
          </w:p>
        </w:tc>
      </w:tr>
      <w:tr w14:paraId="3059695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983" w:type="dxa"/>
          </w:tcPr>
          <w:p w14:paraId="47F7EE7E">
            <w:pPr>
              <w:spacing w:line="360" w:lineRule="auto"/>
              <w:ind w:left="180"/>
              <w:rPr>
                <w:rFonts w:ascii="Times New Roman" w:hAnsi="Times New Roman"/>
                <w:sz w:val="24"/>
                <w:szCs w:val="24"/>
              </w:rPr>
            </w:pPr>
            <w:r>
              <w:rPr>
                <w:rFonts w:ascii="Times New Roman" w:hAnsi="Times New Roman"/>
                <w:sz w:val="24"/>
                <w:szCs w:val="24"/>
              </w:rPr>
              <w:t>19</w:t>
            </w:r>
          </w:p>
        </w:tc>
        <w:tc>
          <w:tcPr>
            <w:tcW w:w="3990" w:type="dxa"/>
          </w:tcPr>
          <w:p w14:paraId="2A0085D4">
            <w:pPr>
              <w:tabs>
                <w:tab w:val="left" w:pos="6330"/>
                <w:tab w:val="left" w:pos="6585"/>
              </w:tabs>
              <w:ind w:left="180"/>
              <w:rPr>
                <w:rFonts w:ascii="Times New Roman" w:hAnsi="Times New Roman"/>
                <w:sz w:val="24"/>
                <w:szCs w:val="24"/>
              </w:rPr>
            </w:pPr>
            <w:r>
              <w:rPr>
                <w:rFonts w:ascii="Times New Roman" w:hAnsi="Times New Roman"/>
                <w:sz w:val="24"/>
                <w:szCs w:val="24"/>
              </w:rPr>
              <w:t>Have you heard of malaria</w:t>
            </w:r>
          </w:p>
        </w:tc>
        <w:tc>
          <w:tcPr>
            <w:tcW w:w="3118" w:type="dxa"/>
          </w:tcPr>
          <w:p w14:paraId="26E4EFD1">
            <w:pPr>
              <w:pStyle w:val="51"/>
              <w:numPr>
                <w:ilvl w:val="0"/>
                <w:numId w:val="14"/>
              </w:numPr>
              <w:rPr>
                <w:rFonts w:ascii="Times New Roman" w:hAnsi="Times New Roman"/>
                <w:sz w:val="24"/>
                <w:szCs w:val="24"/>
              </w:rPr>
            </w:pPr>
            <w:r>
              <w:rPr>
                <w:rFonts w:ascii="Times New Roman" w:hAnsi="Times New Roman"/>
                <w:sz w:val="24"/>
                <w:szCs w:val="24"/>
              </w:rPr>
              <w:t>Yes      B. No</w:t>
            </w:r>
          </w:p>
        </w:tc>
        <w:tc>
          <w:tcPr>
            <w:tcW w:w="1950" w:type="dxa"/>
          </w:tcPr>
          <w:p w14:paraId="18B55112">
            <w:pPr>
              <w:spacing w:line="360" w:lineRule="auto"/>
              <w:ind w:left="180"/>
              <w:rPr>
                <w:rFonts w:ascii="Times New Roman" w:hAnsi="Times New Roman"/>
                <w:sz w:val="24"/>
                <w:szCs w:val="24"/>
              </w:rPr>
            </w:pPr>
          </w:p>
        </w:tc>
      </w:tr>
      <w:tr w14:paraId="68ADF35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983" w:type="dxa"/>
          </w:tcPr>
          <w:p w14:paraId="05389D56">
            <w:pPr>
              <w:spacing w:line="360" w:lineRule="auto"/>
              <w:ind w:left="180"/>
              <w:rPr>
                <w:rFonts w:ascii="Times New Roman" w:hAnsi="Times New Roman"/>
                <w:sz w:val="24"/>
                <w:szCs w:val="24"/>
              </w:rPr>
            </w:pPr>
            <w:r>
              <w:rPr>
                <w:rFonts w:ascii="Times New Roman" w:hAnsi="Times New Roman"/>
                <w:sz w:val="24"/>
                <w:szCs w:val="24"/>
              </w:rPr>
              <w:t>20</w:t>
            </w:r>
          </w:p>
        </w:tc>
        <w:tc>
          <w:tcPr>
            <w:tcW w:w="3990" w:type="dxa"/>
          </w:tcPr>
          <w:p w14:paraId="309BDCE4">
            <w:pPr>
              <w:rPr>
                <w:rFonts w:ascii="Times New Roman" w:hAnsi="Times New Roman"/>
                <w:sz w:val="24"/>
                <w:szCs w:val="24"/>
              </w:rPr>
            </w:pPr>
            <w:r>
              <w:rPr>
                <w:rFonts w:ascii="Times New Roman" w:hAnsi="Times New Roman"/>
                <w:sz w:val="24"/>
                <w:szCs w:val="24"/>
              </w:rPr>
              <w:t xml:space="preserve">Malaria is caused by?  </w:t>
            </w:r>
          </w:p>
        </w:tc>
        <w:tc>
          <w:tcPr>
            <w:tcW w:w="3118" w:type="dxa"/>
          </w:tcPr>
          <w:p w14:paraId="7B03CF41">
            <w:pPr>
              <w:pStyle w:val="51"/>
              <w:numPr>
                <w:ilvl w:val="0"/>
                <w:numId w:val="15"/>
              </w:numPr>
              <w:rPr>
                <w:rFonts w:ascii="Times New Roman" w:hAnsi="Times New Roman"/>
                <w:sz w:val="24"/>
                <w:szCs w:val="24"/>
              </w:rPr>
            </w:pPr>
            <w:r>
              <w:rPr>
                <w:rFonts w:ascii="Times New Roman" w:hAnsi="Times New Roman"/>
                <w:sz w:val="24"/>
                <w:szCs w:val="24"/>
              </w:rPr>
              <w:t>Drinking Dirty Water</w:t>
            </w:r>
          </w:p>
          <w:p w14:paraId="5ABCCD71">
            <w:pPr>
              <w:pStyle w:val="51"/>
              <w:numPr>
                <w:ilvl w:val="0"/>
                <w:numId w:val="15"/>
              </w:numPr>
              <w:rPr>
                <w:rFonts w:ascii="Times New Roman" w:hAnsi="Times New Roman"/>
                <w:sz w:val="24"/>
                <w:szCs w:val="24"/>
              </w:rPr>
            </w:pPr>
            <w:r>
              <w:rPr>
                <w:rFonts w:ascii="Times New Roman" w:hAnsi="Times New Roman"/>
                <w:sz w:val="24"/>
                <w:szCs w:val="24"/>
              </w:rPr>
              <w:t>Housefly Bite</w:t>
            </w:r>
          </w:p>
          <w:p w14:paraId="25A586C1">
            <w:pPr>
              <w:pStyle w:val="51"/>
              <w:numPr>
                <w:ilvl w:val="0"/>
                <w:numId w:val="15"/>
              </w:numPr>
              <w:rPr>
                <w:rFonts w:ascii="Times New Roman" w:hAnsi="Times New Roman"/>
                <w:sz w:val="24"/>
                <w:szCs w:val="24"/>
              </w:rPr>
            </w:pPr>
            <w:r>
              <w:rPr>
                <w:rFonts w:ascii="Times New Roman" w:hAnsi="Times New Roman"/>
                <w:sz w:val="24"/>
                <w:szCs w:val="24"/>
              </w:rPr>
              <w:t>C. Mosquito Bite</w:t>
            </w:r>
          </w:p>
          <w:p w14:paraId="2C2A3A95">
            <w:pPr>
              <w:pStyle w:val="51"/>
              <w:numPr>
                <w:ilvl w:val="0"/>
                <w:numId w:val="15"/>
              </w:numPr>
              <w:rPr>
                <w:rFonts w:ascii="Times New Roman" w:hAnsi="Times New Roman"/>
                <w:sz w:val="24"/>
                <w:szCs w:val="24"/>
              </w:rPr>
            </w:pPr>
            <w:r>
              <w:rPr>
                <w:rFonts w:ascii="Times New Roman" w:hAnsi="Times New Roman"/>
                <w:sz w:val="24"/>
                <w:szCs w:val="24"/>
              </w:rPr>
              <w:t xml:space="preserve">D. Eating Oily Food </w:t>
            </w:r>
          </w:p>
        </w:tc>
        <w:tc>
          <w:tcPr>
            <w:tcW w:w="1950" w:type="dxa"/>
          </w:tcPr>
          <w:p w14:paraId="475C4349">
            <w:pPr>
              <w:rPr>
                <w:rFonts w:ascii="Times New Roman" w:hAnsi="Times New Roman"/>
                <w:sz w:val="24"/>
                <w:szCs w:val="24"/>
              </w:rPr>
            </w:pPr>
          </w:p>
        </w:tc>
      </w:tr>
      <w:tr w14:paraId="146E37A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983" w:type="dxa"/>
          </w:tcPr>
          <w:p w14:paraId="6A551446">
            <w:pPr>
              <w:spacing w:line="360" w:lineRule="auto"/>
              <w:ind w:left="180"/>
              <w:rPr>
                <w:rFonts w:ascii="Times New Roman" w:hAnsi="Times New Roman"/>
                <w:sz w:val="24"/>
                <w:szCs w:val="24"/>
              </w:rPr>
            </w:pPr>
            <w:r>
              <w:rPr>
                <w:rFonts w:ascii="Times New Roman" w:hAnsi="Times New Roman"/>
                <w:sz w:val="24"/>
                <w:szCs w:val="24"/>
              </w:rPr>
              <w:t>21</w:t>
            </w:r>
          </w:p>
        </w:tc>
        <w:tc>
          <w:tcPr>
            <w:tcW w:w="3990" w:type="dxa"/>
          </w:tcPr>
          <w:p w14:paraId="4D14794D">
            <w:pPr>
              <w:ind w:left="180"/>
              <w:rPr>
                <w:rFonts w:ascii="Times New Roman" w:hAnsi="Times New Roman"/>
                <w:sz w:val="24"/>
                <w:szCs w:val="24"/>
              </w:rPr>
            </w:pPr>
            <w:r>
              <w:rPr>
                <w:rFonts w:ascii="Times New Roman" w:hAnsi="Times New Roman"/>
                <w:sz w:val="24"/>
                <w:szCs w:val="24"/>
              </w:rPr>
              <w:t xml:space="preserve">Malaria is prevented by? </w:t>
            </w:r>
          </w:p>
        </w:tc>
        <w:tc>
          <w:tcPr>
            <w:tcW w:w="3118" w:type="dxa"/>
          </w:tcPr>
          <w:p w14:paraId="1CE48343">
            <w:pPr>
              <w:pStyle w:val="51"/>
              <w:numPr>
                <w:ilvl w:val="0"/>
                <w:numId w:val="16"/>
              </w:numPr>
              <w:rPr>
                <w:rFonts w:ascii="Times New Roman" w:hAnsi="Times New Roman"/>
                <w:sz w:val="24"/>
                <w:szCs w:val="24"/>
              </w:rPr>
            </w:pPr>
            <w:r>
              <w:rPr>
                <w:rFonts w:ascii="Times New Roman" w:hAnsi="Times New Roman"/>
                <w:sz w:val="24"/>
                <w:szCs w:val="24"/>
              </w:rPr>
              <w:t>Wearing Long-Sleeved Clothes</w:t>
            </w:r>
          </w:p>
          <w:p w14:paraId="13317083">
            <w:pPr>
              <w:pStyle w:val="51"/>
              <w:numPr>
                <w:ilvl w:val="0"/>
                <w:numId w:val="16"/>
              </w:numPr>
              <w:rPr>
                <w:rFonts w:ascii="Times New Roman" w:hAnsi="Times New Roman"/>
                <w:sz w:val="24"/>
                <w:szCs w:val="24"/>
              </w:rPr>
            </w:pPr>
            <w:r>
              <w:rPr>
                <w:rFonts w:ascii="Times New Roman" w:hAnsi="Times New Roman"/>
                <w:sz w:val="24"/>
                <w:szCs w:val="24"/>
              </w:rPr>
              <w:t>Sleeping Inside Insecticide-Treated Nets (ITN)</w:t>
            </w:r>
          </w:p>
          <w:p w14:paraId="1F4CD138">
            <w:pPr>
              <w:pStyle w:val="51"/>
              <w:numPr>
                <w:ilvl w:val="0"/>
                <w:numId w:val="16"/>
              </w:numPr>
              <w:rPr>
                <w:rFonts w:ascii="Times New Roman" w:hAnsi="Times New Roman"/>
                <w:sz w:val="24"/>
                <w:szCs w:val="24"/>
              </w:rPr>
            </w:pPr>
            <w:r>
              <w:rPr>
                <w:rFonts w:ascii="Times New Roman" w:hAnsi="Times New Roman"/>
                <w:sz w:val="24"/>
                <w:szCs w:val="24"/>
              </w:rPr>
              <w:t>Spraying Insecticide</w:t>
            </w:r>
          </w:p>
          <w:p w14:paraId="7C9F4AF4">
            <w:pPr>
              <w:pStyle w:val="51"/>
              <w:numPr>
                <w:ilvl w:val="0"/>
                <w:numId w:val="16"/>
              </w:numPr>
              <w:rPr>
                <w:rFonts w:ascii="Times New Roman" w:hAnsi="Times New Roman"/>
                <w:sz w:val="24"/>
                <w:szCs w:val="24"/>
              </w:rPr>
            </w:pPr>
            <w:r>
              <w:rPr>
                <w:rFonts w:ascii="Times New Roman" w:hAnsi="Times New Roman"/>
                <w:sz w:val="24"/>
                <w:szCs w:val="24"/>
              </w:rPr>
              <w:t>Cleaning The Environment</w:t>
            </w:r>
          </w:p>
          <w:p w14:paraId="397A9DDC">
            <w:pPr>
              <w:pStyle w:val="51"/>
              <w:numPr>
                <w:ilvl w:val="0"/>
                <w:numId w:val="16"/>
              </w:numPr>
              <w:rPr>
                <w:rFonts w:ascii="Times New Roman" w:hAnsi="Times New Roman"/>
                <w:sz w:val="24"/>
                <w:szCs w:val="24"/>
              </w:rPr>
            </w:pPr>
            <w:r>
              <w:rPr>
                <w:rFonts w:ascii="Times New Roman" w:hAnsi="Times New Roman"/>
                <w:sz w:val="24"/>
                <w:szCs w:val="24"/>
              </w:rPr>
              <w:t>Taking Malaria Vaccine</w:t>
            </w:r>
          </w:p>
          <w:p w14:paraId="4D93460F">
            <w:pPr>
              <w:pStyle w:val="51"/>
              <w:numPr>
                <w:ilvl w:val="0"/>
                <w:numId w:val="16"/>
              </w:numPr>
              <w:rPr>
                <w:rFonts w:ascii="Times New Roman" w:hAnsi="Times New Roman"/>
                <w:sz w:val="24"/>
                <w:szCs w:val="24"/>
              </w:rPr>
            </w:pPr>
            <w:r>
              <w:rPr>
                <w:rFonts w:ascii="Times New Roman" w:hAnsi="Times New Roman"/>
                <w:sz w:val="24"/>
                <w:szCs w:val="24"/>
              </w:rPr>
              <w:t>All The Above</w:t>
            </w:r>
          </w:p>
        </w:tc>
        <w:tc>
          <w:tcPr>
            <w:tcW w:w="1950" w:type="dxa"/>
          </w:tcPr>
          <w:p w14:paraId="778375B6">
            <w:pPr>
              <w:spacing w:line="360" w:lineRule="auto"/>
              <w:ind w:left="180"/>
              <w:rPr>
                <w:rFonts w:ascii="Times New Roman" w:hAnsi="Times New Roman"/>
                <w:sz w:val="24"/>
                <w:szCs w:val="24"/>
              </w:rPr>
            </w:pPr>
          </w:p>
        </w:tc>
      </w:tr>
      <w:tr w14:paraId="221036B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983" w:type="dxa"/>
          </w:tcPr>
          <w:p w14:paraId="2EC72381">
            <w:pPr>
              <w:spacing w:line="360" w:lineRule="auto"/>
              <w:ind w:left="180"/>
              <w:rPr>
                <w:rFonts w:ascii="Times New Roman" w:hAnsi="Times New Roman"/>
                <w:sz w:val="24"/>
                <w:szCs w:val="24"/>
              </w:rPr>
            </w:pPr>
            <w:r>
              <w:rPr>
                <w:rFonts w:ascii="Times New Roman" w:hAnsi="Times New Roman"/>
                <w:sz w:val="24"/>
                <w:szCs w:val="24"/>
              </w:rPr>
              <w:t>22</w:t>
            </w:r>
          </w:p>
        </w:tc>
        <w:tc>
          <w:tcPr>
            <w:tcW w:w="3990" w:type="dxa"/>
          </w:tcPr>
          <w:p w14:paraId="778E0075">
            <w:pPr>
              <w:ind w:left="180"/>
              <w:rPr>
                <w:rFonts w:ascii="Times New Roman" w:hAnsi="Times New Roman"/>
                <w:sz w:val="24"/>
                <w:szCs w:val="24"/>
              </w:rPr>
            </w:pPr>
            <w:r>
              <w:rPr>
                <w:rFonts w:ascii="Times New Roman" w:hAnsi="Times New Roman"/>
                <w:sz w:val="24"/>
                <w:szCs w:val="24"/>
              </w:rPr>
              <w:t>Is everybody at risk of falling sick by malaria?</w:t>
            </w:r>
          </w:p>
        </w:tc>
        <w:tc>
          <w:tcPr>
            <w:tcW w:w="3118" w:type="dxa"/>
          </w:tcPr>
          <w:p w14:paraId="1074CD6D">
            <w:pPr>
              <w:rPr>
                <w:rFonts w:ascii="Times New Roman" w:hAnsi="Times New Roman"/>
                <w:sz w:val="24"/>
                <w:szCs w:val="24"/>
              </w:rPr>
            </w:pPr>
            <w:r>
              <w:rPr>
                <w:rFonts w:ascii="Times New Roman" w:hAnsi="Times New Roman"/>
                <w:sz w:val="24"/>
                <w:szCs w:val="24"/>
              </w:rPr>
              <w:t>A. Yes            B. No</w:t>
            </w:r>
          </w:p>
        </w:tc>
        <w:tc>
          <w:tcPr>
            <w:tcW w:w="1950" w:type="dxa"/>
          </w:tcPr>
          <w:p w14:paraId="2860E5F8">
            <w:pPr>
              <w:spacing w:line="360" w:lineRule="auto"/>
              <w:ind w:left="180"/>
              <w:rPr>
                <w:rFonts w:ascii="Times New Roman" w:hAnsi="Times New Roman"/>
                <w:sz w:val="24"/>
                <w:szCs w:val="24"/>
              </w:rPr>
            </w:pPr>
          </w:p>
        </w:tc>
      </w:tr>
      <w:tr w14:paraId="4BB4FAC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983" w:type="dxa"/>
          </w:tcPr>
          <w:p w14:paraId="77F27B6B">
            <w:pPr>
              <w:spacing w:line="360" w:lineRule="auto"/>
              <w:ind w:left="180"/>
              <w:rPr>
                <w:rFonts w:ascii="Times New Roman" w:hAnsi="Times New Roman"/>
                <w:sz w:val="24"/>
                <w:szCs w:val="24"/>
              </w:rPr>
            </w:pPr>
            <w:r>
              <w:rPr>
                <w:rFonts w:ascii="Times New Roman" w:hAnsi="Times New Roman"/>
                <w:sz w:val="24"/>
                <w:szCs w:val="24"/>
              </w:rPr>
              <w:t>23</w:t>
            </w:r>
          </w:p>
        </w:tc>
        <w:tc>
          <w:tcPr>
            <w:tcW w:w="3990" w:type="dxa"/>
          </w:tcPr>
          <w:p w14:paraId="169A9A7E">
            <w:pPr>
              <w:ind w:left="180"/>
              <w:rPr>
                <w:rFonts w:ascii="Times New Roman" w:hAnsi="Times New Roman"/>
                <w:sz w:val="24"/>
                <w:szCs w:val="24"/>
              </w:rPr>
            </w:pPr>
            <w:r>
              <w:rPr>
                <w:rFonts w:ascii="Times New Roman" w:hAnsi="Times New Roman"/>
                <w:sz w:val="24"/>
                <w:szCs w:val="24"/>
              </w:rPr>
              <w:t xml:space="preserve">Can malaria kill a person if untreated? </w:t>
            </w:r>
          </w:p>
        </w:tc>
        <w:tc>
          <w:tcPr>
            <w:tcW w:w="3118" w:type="dxa"/>
          </w:tcPr>
          <w:p w14:paraId="2F410357">
            <w:pPr>
              <w:rPr>
                <w:rFonts w:ascii="Times New Roman" w:hAnsi="Times New Roman"/>
                <w:sz w:val="24"/>
                <w:szCs w:val="24"/>
              </w:rPr>
            </w:pPr>
            <w:r>
              <w:rPr>
                <w:rFonts w:ascii="Times New Roman" w:hAnsi="Times New Roman"/>
                <w:sz w:val="24"/>
                <w:szCs w:val="24"/>
              </w:rPr>
              <w:t>A. Yes            B. No</w:t>
            </w:r>
          </w:p>
        </w:tc>
        <w:tc>
          <w:tcPr>
            <w:tcW w:w="1950" w:type="dxa"/>
          </w:tcPr>
          <w:p w14:paraId="05AEAC4E">
            <w:pPr>
              <w:spacing w:line="360" w:lineRule="auto"/>
              <w:ind w:left="180"/>
              <w:rPr>
                <w:rFonts w:ascii="Times New Roman" w:hAnsi="Times New Roman"/>
                <w:sz w:val="24"/>
                <w:szCs w:val="24"/>
              </w:rPr>
            </w:pPr>
          </w:p>
        </w:tc>
      </w:tr>
      <w:tr w14:paraId="44FE420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983" w:type="dxa"/>
          </w:tcPr>
          <w:p w14:paraId="354EF27B">
            <w:pPr>
              <w:spacing w:line="360" w:lineRule="auto"/>
              <w:ind w:left="180"/>
              <w:rPr>
                <w:rFonts w:ascii="Times New Roman" w:hAnsi="Times New Roman"/>
                <w:sz w:val="24"/>
                <w:szCs w:val="24"/>
              </w:rPr>
            </w:pPr>
            <w:r>
              <w:rPr>
                <w:rFonts w:ascii="Times New Roman" w:hAnsi="Times New Roman"/>
                <w:sz w:val="24"/>
                <w:szCs w:val="24"/>
              </w:rPr>
              <w:t>24</w:t>
            </w:r>
          </w:p>
        </w:tc>
        <w:tc>
          <w:tcPr>
            <w:tcW w:w="3990" w:type="dxa"/>
          </w:tcPr>
          <w:p w14:paraId="2A0120C5">
            <w:pPr>
              <w:ind w:left="180"/>
              <w:rPr>
                <w:rFonts w:ascii="Times New Roman" w:hAnsi="Times New Roman"/>
                <w:sz w:val="24"/>
                <w:szCs w:val="24"/>
              </w:rPr>
            </w:pPr>
            <w:r>
              <w:rPr>
                <w:rFonts w:ascii="Times New Roman" w:hAnsi="Times New Roman"/>
                <w:sz w:val="24"/>
                <w:szCs w:val="24"/>
              </w:rPr>
              <w:t>Is there a malaria vaccine?</w:t>
            </w:r>
          </w:p>
        </w:tc>
        <w:tc>
          <w:tcPr>
            <w:tcW w:w="3118" w:type="dxa"/>
          </w:tcPr>
          <w:p w14:paraId="2A477EE2">
            <w:pPr>
              <w:ind w:left="180"/>
              <w:rPr>
                <w:rFonts w:ascii="Times New Roman" w:hAnsi="Times New Roman"/>
                <w:sz w:val="24"/>
                <w:szCs w:val="24"/>
              </w:rPr>
            </w:pPr>
            <w:r>
              <w:rPr>
                <w:rFonts w:ascii="Times New Roman" w:hAnsi="Times New Roman"/>
                <w:sz w:val="24"/>
                <w:szCs w:val="24"/>
              </w:rPr>
              <w:t>A. Yes                 B. No</w:t>
            </w:r>
          </w:p>
        </w:tc>
        <w:tc>
          <w:tcPr>
            <w:tcW w:w="1950" w:type="dxa"/>
          </w:tcPr>
          <w:p w14:paraId="6E72E3C9">
            <w:pPr>
              <w:spacing w:line="360" w:lineRule="auto"/>
              <w:ind w:left="180"/>
              <w:rPr>
                <w:rFonts w:ascii="Times New Roman" w:hAnsi="Times New Roman"/>
                <w:sz w:val="24"/>
                <w:szCs w:val="24"/>
              </w:rPr>
            </w:pPr>
            <w:r>
              <w:rPr>
                <w:rFonts w:ascii="Times New Roman" w:hAnsi="Times New Roman"/>
                <w:b/>
                <w:sz w:val="24"/>
                <w:szCs w:val="24"/>
              </w:rPr>
              <w:t xml:space="preserve">if yes pass 18 </w:t>
            </w:r>
          </w:p>
        </w:tc>
      </w:tr>
      <w:tr w14:paraId="768F63F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983" w:type="dxa"/>
          </w:tcPr>
          <w:p w14:paraId="199C4105">
            <w:pPr>
              <w:spacing w:line="360" w:lineRule="auto"/>
              <w:ind w:left="180"/>
              <w:rPr>
                <w:rFonts w:ascii="Times New Roman" w:hAnsi="Times New Roman"/>
                <w:sz w:val="24"/>
                <w:szCs w:val="24"/>
              </w:rPr>
            </w:pPr>
            <w:r>
              <w:rPr>
                <w:rFonts w:ascii="Times New Roman" w:hAnsi="Times New Roman"/>
                <w:sz w:val="24"/>
                <w:szCs w:val="24"/>
              </w:rPr>
              <w:t>25</w:t>
            </w:r>
          </w:p>
        </w:tc>
        <w:tc>
          <w:tcPr>
            <w:tcW w:w="3990" w:type="dxa"/>
          </w:tcPr>
          <w:p w14:paraId="2085CA36">
            <w:pPr>
              <w:ind w:left="180"/>
              <w:rPr>
                <w:rFonts w:ascii="Times New Roman" w:hAnsi="Times New Roman"/>
                <w:sz w:val="24"/>
                <w:szCs w:val="24"/>
              </w:rPr>
            </w:pPr>
            <w:r>
              <w:rPr>
                <w:rFonts w:ascii="Times New Roman" w:hAnsi="Times New Roman"/>
                <w:sz w:val="24"/>
                <w:szCs w:val="24"/>
              </w:rPr>
              <w:t xml:space="preserve">If yes, what is it used for? </w:t>
            </w:r>
          </w:p>
        </w:tc>
        <w:tc>
          <w:tcPr>
            <w:tcW w:w="3118" w:type="dxa"/>
          </w:tcPr>
          <w:p w14:paraId="71DDA8BB">
            <w:pPr>
              <w:pStyle w:val="51"/>
              <w:numPr>
                <w:ilvl w:val="0"/>
                <w:numId w:val="17"/>
              </w:numPr>
              <w:rPr>
                <w:rFonts w:ascii="Times New Roman" w:hAnsi="Times New Roman"/>
                <w:sz w:val="24"/>
                <w:szCs w:val="24"/>
              </w:rPr>
            </w:pPr>
            <w:r>
              <w:rPr>
                <w:rFonts w:ascii="Times New Roman" w:hAnsi="Times New Roman"/>
                <w:sz w:val="24"/>
                <w:szCs w:val="24"/>
              </w:rPr>
              <w:t xml:space="preserve">Treat And Cure Malaria </w:t>
            </w:r>
          </w:p>
          <w:p w14:paraId="45748FBF">
            <w:pPr>
              <w:pStyle w:val="51"/>
              <w:numPr>
                <w:ilvl w:val="0"/>
                <w:numId w:val="17"/>
              </w:numPr>
              <w:rPr>
                <w:rFonts w:ascii="Times New Roman" w:hAnsi="Times New Roman"/>
                <w:sz w:val="24"/>
                <w:szCs w:val="24"/>
              </w:rPr>
            </w:pPr>
            <w:r>
              <w:rPr>
                <w:rFonts w:ascii="Times New Roman" w:hAnsi="Times New Roman"/>
                <w:sz w:val="24"/>
                <w:szCs w:val="24"/>
              </w:rPr>
              <w:t xml:space="preserve"> Reduce Malaria and Severity of Complications </w:t>
            </w:r>
          </w:p>
          <w:p w14:paraId="6057C0A2">
            <w:pPr>
              <w:pStyle w:val="51"/>
              <w:numPr>
                <w:ilvl w:val="0"/>
                <w:numId w:val="17"/>
              </w:numPr>
              <w:rPr>
                <w:rFonts w:ascii="Times New Roman" w:hAnsi="Times New Roman"/>
                <w:sz w:val="24"/>
                <w:szCs w:val="24"/>
              </w:rPr>
            </w:pPr>
            <w:r>
              <w:rPr>
                <w:rFonts w:ascii="Times New Roman" w:hAnsi="Times New Roman"/>
                <w:sz w:val="24"/>
                <w:szCs w:val="24"/>
              </w:rPr>
              <w:t xml:space="preserve"> Prevent Death by Malaria </w:t>
            </w:r>
          </w:p>
        </w:tc>
        <w:tc>
          <w:tcPr>
            <w:tcW w:w="1950" w:type="dxa"/>
          </w:tcPr>
          <w:p w14:paraId="374A0DBF">
            <w:pPr>
              <w:spacing w:line="360" w:lineRule="auto"/>
              <w:ind w:left="180"/>
              <w:rPr>
                <w:rFonts w:ascii="Times New Roman" w:hAnsi="Times New Roman"/>
                <w:sz w:val="24"/>
                <w:szCs w:val="24"/>
              </w:rPr>
            </w:pPr>
          </w:p>
        </w:tc>
      </w:tr>
      <w:tr w14:paraId="37CAF37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983" w:type="dxa"/>
          </w:tcPr>
          <w:p w14:paraId="72FB16F6">
            <w:pPr>
              <w:spacing w:line="360" w:lineRule="auto"/>
              <w:ind w:left="180"/>
              <w:rPr>
                <w:rFonts w:ascii="Times New Roman" w:hAnsi="Times New Roman"/>
                <w:sz w:val="24"/>
                <w:szCs w:val="24"/>
              </w:rPr>
            </w:pPr>
          </w:p>
          <w:p w14:paraId="1D3DFEBB">
            <w:pPr>
              <w:spacing w:line="360" w:lineRule="auto"/>
              <w:ind w:left="180"/>
              <w:rPr>
                <w:rFonts w:ascii="Times New Roman" w:hAnsi="Times New Roman"/>
                <w:sz w:val="24"/>
                <w:szCs w:val="24"/>
              </w:rPr>
            </w:pPr>
            <w:r>
              <w:rPr>
                <w:rFonts w:ascii="Times New Roman" w:hAnsi="Times New Roman"/>
                <w:sz w:val="24"/>
                <w:szCs w:val="24"/>
              </w:rPr>
              <w:t>26</w:t>
            </w:r>
          </w:p>
        </w:tc>
        <w:tc>
          <w:tcPr>
            <w:tcW w:w="3990" w:type="dxa"/>
          </w:tcPr>
          <w:p w14:paraId="235DB4ED">
            <w:pPr>
              <w:ind w:left="180"/>
              <w:rPr>
                <w:rFonts w:ascii="Times New Roman" w:hAnsi="Times New Roman"/>
                <w:sz w:val="24"/>
                <w:szCs w:val="24"/>
              </w:rPr>
            </w:pPr>
            <w:r>
              <w:rPr>
                <w:rFonts w:ascii="Times New Roman" w:hAnsi="Times New Roman"/>
                <w:sz w:val="24"/>
                <w:szCs w:val="24"/>
              </w:rPr>
              <w:t xml:space="preserve">Who do you think can be immunized with the vaccine? </w:t>
            </w:r>
          </w:p>
        </w:tc>
        <w:tc>
          <w:tcPr>
            <w:tcW w:w="3118" w:type="dxa"/>
          </w:tcPr>
          <w:p w14:paraId="1CA3C2A6">
            <w:pPr>
              <w:pStyle w:val="51"/>
              <w:numPr>
                <w:ilvl w:val="0"/>
                <w:numId w:val="18"/>
              </w:numPr>
              <w:rPr>
                <w:rFonts w:ascii="Times New Roman" w:hAnsi="Times New Roman"/>
                <w:sz w:val="24"/>
                <w:szCs w:val="24"/>
              </w:rPr>
            </w:pPr>
            <w:r>
              <w:rPr>
                <w:rFonts w:ascii="Times New Roman" w:hAnsi="Times New Roman"/>
                <w:sz w:val="24"/>
                <w:szCs w:val="24"/>
              </w:rPr>
              <w:t xml:space="preserve">Everyone </w:t>
            </w:r>
          </w:p>
          <w:p w14:paraId="711665DA">
            <w:pPr>
              <w:pStyle w:val="51"/>
              <w:numPr>
                <w:ilvl w:val="0"/>
                <w:numId w:val="18"/>
              </w:numPr>
              <w:rPr>
                <w:rFonts w:ascii="Times New Roman" w:hAnsi="Times New Roman"/>
                <w:sz w:val="24"/>
                <w:szCs w:val="24"/>
              </w:rPr>
            </w:pPr>
            <w:r>
              <w:rPr>
                <w:rFonts w:ascii="Times New Roman" w:hAnsi="Times New Roman"/>
                <w:sz w:val="24"/>
                <w:szCs w:val="24"/>
              </w:rPr>
              <w:t xml:space="preserve"> Children&lt;5year</w:t>
            </w:r>
          </w:p>
          <w:p w14:paraId="03BDBCB9">
            <w:pPr>
              <w:pStyle w:val="51"/>
              <w:numPr>
                <w:ilvl w:val="0"/>
                <w:numId w:val="18"/>
              </w:numPr>
              <w:rPr>
                <w:rFonts w:ascii="Times New Roman" w:hAnsi="Times New Roman"/>
                <w:sz w:val="24"/>
                <w:szCs w:val="24"/>
              </w:rPr>
            </w:pPr>
            <w:r>
              <w:rPr>
                <w:rFonts w:ascii="Times New Roman" w:hAnsi="Times New Roman"/>
                <w:sz w:val="24"/>
                <w:szCs w:val="24"/>
              </w:rPr>
              <w:t>Pregnant Women</w:t>
            </w:r>
          </w:p>
        </w:tc>
        <w:tc>
          <w:tcPr>
            <w:tcW w:w="1950" w:type="dxa"/>
          </w:tcPr>
          <w:p w14:paraId="25F5316F">
            <w:pPr>
              <w:spacing w:line="360" w:lineRule="auto"/>
              <w:ind w:left="180"/>
              <w:rPr>
                <w:rFonts w:ascii="Times New Roman" w:hAnsi="Times New Roman"/>
                <w:sz w:val="24"/>
                <w:szCs w:val="24"/>
              </w:rPr>
            </w:pPr>
          </w:p>
        </w:tc>
      </w:tr>
      <w:tr w14:paraId="49F34C0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983" w:type="dxa"/>
          </w:tcPr>
          <w:p w14:paraId="4247C7CB">
            <w:pPr>
              <w:spacing w:line="360" w:lineRule="auto"/>
              <w:ind w:left="180"/>
              <w:rPr>
                <w:rFonts w:ascii="Times New Roman" w:hAnsi="Times New Roman"/>
                <w:sz w:val="24"/>
                <w:szCs w:val="24"/>
              </w:rPr>
            </w:pPr>
            <w:r>
              <w:rPr>
                <w:rFonts w:ascii="Times New Roman" w:hAnsi="Times New Roman"/>
                <w:sz w:val="24"/>
                <w:szCs w:val="24"/>
              </w:rPr>
              <w:t>27</w:t>
            </w:r>
          </w:p>
        </w:tc>
        <w:tc>
          <w:tcPr>
            <w:tcW w:w="3990" w:type="dxa"/>
          </w:tcPr>
          <w:p w14:paraId="02F8A261">
            <w:pPr>
              <w:ind w:left="180"/>
              <w:rPr>
                <w:rFonts w:ascii="Times New Roman" w:hAnsi="Times New Roman"/>
                <w:sz w:val="24"/>
                <w:szCs w:val="24"/>
              </w:rPr>
            </w:pPr>
            <w:r>
              <w:rPr>
                <w:rFonts w:ascii="Times New Roman" w:hAnsi="Times New Roman"/>
                <w:sz w:val="24"/>
                <w:szCs w:val="24"/>
              </w:rPr>
              <w:t>Have you seen any messages or received training on malaria?</w:t>
            </w:r>
          </w:p>
        </w:tc>
        <w:tc>
          <w:tcPr>
            <w:tcW w:w="3118" w:type="dxa"/>
          </w:tcPr>
          <w:p w14:paraId="7E393083">
            <w:pPr>
              <w:pStyle w:val="51"/>
              <w:numPr>
                <w:ilvl w:val="0"/>
                <w:numId w:val="19"/>
              </w:numPr>
              <w:rPr>
                <w:rFonts w:ascii="Times New Roman" w:hAnsi="Times New Roman"/>
                <w:sz w:val="24"/>
                <w:szCs w:val="24"/>
              </w:rPr>
            </w:pPr>
            <w:r>
              <w:rPr>
                <w:rFonts w:ascii="Times New Roman" w:hAnsi="Times New Roman"/>
                <w:sz w:val="24"/>
                <w:szCs w:val="24"/>
              </w:rPr>
              <w:t xml:space="preserve">TV   </w:t>
            </w:r>
          </w:p>
          <w:p w14:paraId="5973A102">
            <w:pPr>
              <w:pStyle w:val="51"/>
              <w:numPr>
                <w:ilvl w:val="0"/>
                <w:numId w:val="19"/>
              </w:numPr>
              <w:rPr>
                <w:rFonts w:ascii="Times New Roman" w:hAnsi="Times New Roman"/>
                <w:sz w:val="24"/>
                <w:szCs w:val="24"/>
              </w:rPr>
            </w:pPr>
            <w:r>
              <w:rPr>
                <w:rFonts w:ascii="Times New Roman" w:hAnsi="Times New Roman"/>
                <w:sz w:val="24"/>
                <w:szCs w:val="24"/>
              </w:rPr>
              <w:t xml:space="preserve">  Radio </w:t>
            </w:r>
          </w:p>
          <w:p w14:paraId="4F4159F9">
            <w:pPr>
              <w:pStyle w:val="51"/>
              <w:numPr>
                <w:ilvl w:val="0"/>
                <w:numId w:val="19"/>
              </w:numPr>
              <w:rPr>
                <w:rFonts w:ascii="Times New Roman" w:hAnsi="Times New Roman"/>
                <w:sz w:val="24"/>
                <w:szCs w:val="24"/>
              </w:rPr>
            </w:pPr>
            <w:r>
              <w:rPr>
                <w:rFonts w:ascii="Times New Roman" w:hAnsi="Times New Roman"/>
                <w:sz w:val="24"/>
                <w:szCs w:val="24"/>
              </w:rPr>
              <w:t xml:space="preserve">  Social Media    </w:t>
            </w:r>
          </w:p>
          <w:p w14:paraId="3A9B240D">
            <w:pPr>
              <w:pStyle w:val="51"/>
              <w:numPr>
                <w:ilvl w:val="0"/>
                <w:numId w:val="19"/>
              </w:numPr>
              <w:rPr>
                <w:rFonts w:ascii="Times New Roman" w:hAnsi="Times New Roman"/>
                <w:sz w:val="24"/>
                <w:szCs w:val="24"/>
              </w:rPr>
            </w:pPr>
            <w:r>
              <w:rPr>
                <w:rFonts w:ascii="Times New Roman" w:hAnsi="Times New Roman"/>
                <w:sz w:val="24"/>
                <w:szCs w:val="24"/>
              </w:rPr>
              <w:t>.  Health Facility</w:t>
            </w:r>
          </w:p>
          <w:p w14:paraId="3C1CAC06">
            <w:pPr>
              <w:pStyle w:val="51"/>
              <w:numPr>
                <w:ilvl w:val="0"/>
                <w:numId w:val="19"/>
              </w:numPr>
              <w:rPr>
                <w:rFonts w:ascii="Times New Roman" w:hAnsi="Times New Roman"/>
                <w:sz w:val="24"/>
                <w:szCs w:val="24"/>
              </w:rPr>
            </w:pPr>
            <w:r>
              <w:rPr>
                <w:rFonts w:ascii="Times New Roman" w:hAnsi="Times New Roman"/>
                <w:sz w:val="24"/>
                <w:szCs w:val="24"/>
              </w:rPr>
              <w:t xml:space="preserve">  Billboards </w:t>
            </w:r>
          </w:p>
          <w:p w14:paraId="1DFC13CD">
            <w:pPr>
              <w:pStyle w:val="51"/>
              <w:numPr>
                <w:ilvl w:val="0"/>
                <w:numId w:val="19"/>
              </w:numPr>
              <w:rPr>
                <w:rFonts w:ascii="Times New Roman" w:hAnsi="Times New Roman"/>
                <w:sz w:val="24"/>
                <w:szCs w:val="24"/>
              </w:rPr>
            </w:pPr>
            <w:r>
              <w:rPr>
                <w:rFonts w:ascii="Times New Roman" w:hAnsi="Times New Roman"/>
                <w:sz w:val="24"/>
                <w:szCs w:val="24"/>
              </w:rPr>
              <w:t xml:space="preserve"> Flyers/Posters </w:t>
            </w:r>
          </w:p>
          <w:p w14:paraId="2C41B224">
            <w:pPr>
              <w:pStyle w:val="51"/>
              <w:numPr>
                <w:ilvl w:val="0"/>
                <w:numId w:val="19"/>
              </w:numPr>
              <w:rPr>
                <w:rFonts w:ascii="Times New Roman" w:hAnsi="Times New Roman"/>
                <w:sz w:val="24"/>
                <w:szCs w:val="24"/>
              </w:rPr>
            </w:pPr>
            <w:r>
              <w:rPr>
                <w:rFonts w:ascii="Times New Roman" w:hAnsi="Times New Roman"/>
                <w:sz w:val="24"/>
                <w:szCs w:val="24"/>
              </w:rPr>
              <w:t xml:space="preserve"> Newspaper </w:t>
            </w:r>
          </w:p>
          <w:p w14:paraId="54680E8C">
            <w:pPr>
              <w:pStyle w:val="51"/>
              <w:numPr>
                <w:ilvl w:val="0"/>
                <w:numId w:val="19"/>
              </w:numPr>
              <w:rPr>
                <w:rFonts w:ascii="Times New Roman" w:hAnsi="Times New Roman"/>
                <w:sz w:val="24"/>
                <w:szCs w:val="24"/>
              </w:rPr>
            </w:pPr>
            <w:r>
              <w:rPr>
                <w:rFonts w:ascii="Times New Roman" w:hAnsi="Times New Roman"/>
                <w:sz w:val="24"/>
                <w:szCs w:val="24"/>
              </w:rPr>
              <w:t xml:space="preserve"> Show/Drama </w:t>
            </w:r>
          </w:p>
          <w:p w14:paraId="2A555630">
            <w:pPr>
              <w:pStyle w:val="51"/>
              <w:numPr>
                <w:ilvl w:val="0"/>
                <w:numId w:val="19"/>
              </w:numPr>
              <w:rPr>
                <w:rFonts w:ascii="Times New Roman" w:hAnsi="Times New Roman"/>
                <w:sz w:val="24"/>
                <w:szCs w:val="24"/>
              </w:rPr>
            </w:pPr>
            <w:r>
              <w:rPr>
                <w:rFonts w:ascii="Times New Roman" w:hAnsi="Times New Roman"/>
                <w:sz w:val="24"/>
                <w:szCs w:val="24"/>
              </w:rPr>
              <w:t xml:space="preserve"> Training Workshop </w:t>
            </w:r>
          </w:p>
          <w:p w14:paraId="11B671AD">
            <w:pPr>
              <w:pStyle w:val="51"/>
              <w:numPr>
                <w:ilvl w:val="0"/>
                <w:numId w:val="19"/>
              </w:numPr>
              <w:rPr>
                <w:rFonts w:ascii="Times New Roman" w:hAnsi="Times New Roman"/>
                <w:sz w:val="24"/>
                <w:szCs w:val="24"/>
              </w:rPr>
            </w:pPr>
            <w:r>
              <w:rPr>
                <w:rFonts w:ascii="Times New Roman" w:hAnsi="Times New Roman"/>
                <w:sz w:val="24"/>
                <w:szCs w:val="24"/>
              </w:rPr>
              <w:t xml:space="preserve"> Internet/Web</w:t>
            </w:r>
          </w:p>
        </w:tc>
        <w:tc>
          <w:tcPr>
            <w:tcW w:w="1950" w:type="dxa"/>
          </w:tcPr>
          <w:p w14:paraId="61B459C2">
            <w:pPr>
              <w:spacing w:line="360" w:lineRule="auto"/>
              <w:ind w:left="180"/>
              <w:rPr>
                <w:rFonts w:ascii="Times New Roman" w:hAnsi="Times New Roman"/>
                <w:sz w:val="24"/>
                <w:szCs w:val="24"/>
              </w:rPr>
            </w:pPr>
          </w:p>
        </w:tc>
      </w:tr>
    </w:tbl>
    <w:p w14:paraId="76184353">
      <w:pPr>
        <w:spacing w:line="360" w:lineRule="auto"/>
        <w:rPr>
          <w:rFonts w:ascii="Times New Roman" w:hAnsi="Times New Roman" w:eastAsia="Calibri" w:cs="Times New Roman"/>
          <w:b/>
          <w:sz w:val="24"/>
          <w:szCs w:val="24"/>
        </w:rPr>
      </w:pPr>
    </w:p>
    <w:p w14:paraId="35A11581">
      <w:pPr>
        <w:spacing w:before="200" w:line="360" w:lineRule="auto"/>
        <w:rPr>
          <w:rFonts w:ascii="Times New Roman" w:hAnsi="Times New Roman" w:eastAsia="Calibri" w:cs="Times New Roman"/>
          <w:b/>
          <w:sz w:val="24"/>
          <w:szCs w:val="24"/>
        </w:rPr>
      </w:pPr>
      <w:r>
        <w:rPr>
          <w:rFonts w:ascii="Times New Roman" w:hAnsi="Times New Roman" w:eastAsia="Calibri" w:cs="Times New Roman"/>
          <w:b/>
          <w:sz w:val="24"/>
          <w:szCs w:val="24"/>
        </w:rPr>
        <w:t xml:space="preserve">Part IV. </w:t>
      </w:r>
      <w:r>
        <w:rPr>
          <w:rFonts w:ascii="Times New Roman" w:hAnsi="Times New Roman" w:cs="Times New Roman"/>
          <w:b/>
          <w:sz w:val="24"/>
          <w:szCs w:val="24"/>
        </w:rPr>
        <w:t>Caregivers’ attitudes toward malaria, its prevention and malaria vaccines</w:t>
      </w:r>
    </w:p>
    <w:tbl>
      <w:tblPr>
        <w:tblStyle w:val="66"/>
        <w:tblW w:w="9738" w:type="dxa"/>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fixed"/>
        <w:tblCellMar>
          <w:top w:w="0" w:type="dxa"/>
          <w:left w:w="108" w:type="dxa"/>
          <w:bottom w:w="0" w:type="dxa"/>
          <w:right w:w="108" w:type="dxa"/>
        </w:tblCellMar>
      </w:tblPr>
      <w:tblGrid>
        <w:gridCol w:w="1145"/>
        <w:gridCol w:w="4093"/>
        <w:gridCol w:w="1170"/>
        <w:gridCol w:w="1080"/>
        <w:gridCol w:w="990"/>
        <w:gridCol w:w="1260"/>
      </w:tblGrid>
      <w:tr w14:paraId="1C10C55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88" w:hRule="atLeast"/>
        </w:trPr>
        <w:tc>
          <w:tcPr>
            <w:tcW w:w="1145" w:type="dxa"/>
          </w:tcPr>
          <w:p w14:paraId="52306932">
            <w:pPr>
              <w:ind w:left="180"/>
              <w:rPr>
                <w:rFonts w:ascii="Times New Roman" w:hAnsi="Times New Roman"/>
                <w:sz w:val="24"/>
                <w:szCs w:val="24"/>
              </w:rPr>
            </w:pPr>
            <w:r>
              <w:rPr>
                <w:rFonts w:ascii="Times New Roman" w:hAnsi="Times New Roman"/>
                <w:sz w:val="24"/>
                <w:szCs w:val="24"/>
              </w:rPr>
              <w:t>Code</w:t>
            </w:r>
          </w:p>
        </w:tc>
        <w:tc>
          <w:tcPr>
            <w:tcW w:w="4093" w:type="dxa"/>
          </w:tcPr>
          <w:p w14:paraId="3AEAB233">
            <w:pPr>
              <w:ind w:left="180"/>
              <w:rPr>
                <w:rFonts w:ascii="Times New Roman" w:hAnsi="Times New Roman"/>
                <w:sz w:val="24"/>
                <w:szCs w:val="24"/>
              </w:rPr>
            </w:pPr>
            <w:r>
              <w:rPr>
                <w:rFonts w:ascii="Times New Roman" w:hAnsi="Times New Roman"/>
                <w:sz w:val="24"/>
                <w:szCs w:val="24"/>
              </w:rPr>
              <w:t>Questions</w:t>
            </w:r>
          </w:p>
        </w:tc>
        <w:tc>
          <w:tcPr>
            <w:tcW w:w="1170" w:type="dxa"/>
          </w:tcPr>
          <w:p w14:paraId="602C6189">
            <w:pPr>
              <w:rPr>
                <w:rFonts w:ascii="Times New Roman" w:hAnsi="Times New Roman"/>
                <w:sz w:val="24"/>
                <w:szCs w:val="24"/>
              </w:rPr>
            </w:pPr>
            <w:r>
              <w:rPr>
                <w:rFonts w:ascii="Times New Roman" w:hAnsi="Times New Roman"/>
                <w:sz w:val="24"/>
                <w:szCs w:val="24"/>
              </w:rPr>
              <w:t>STRONGLY DISAGREE</w:t>
            </w:r>
          </w:p>
        </w:tc>
        <w:tc>
          <w:tcPr>
            <w:tcW w:w="1080" w:type="dxa"/>
          </w:tcPr>
          <w:p w14:paraId="6755F709">
            <w:pPr>
              <w:rPr>
                <w:rFonts w:ascii="Times New Roman" w:hAnsi="Times New Roman"/>
                <w:sz w:val="24"/>
                <w:szCs w:val="24"/>
              </w:rPr>
            </w:pPr>
            <w:r>
              <w:rPr>
                <w:rFonts w:ascii="Times New Roman" w:hAnsi="Times New Roman"/>
                <w:sz w:val="24"/>
                <w:szCs w:val="24"/>
              </w:rPr>
              <w:t>DISAGREE</w:t>
            </w:r>
          </w:p>
        </w:tc>
        <w:tc>
          <w:tcPr>
            <w:tcW w:w="990" w:type="dxa"/>
          </w:tcPr>
          <w:p w14:paraId="28C9A437">
            <w:pPr>
              <w:rPr>
                <w:rFonts w:ascii="Times New Roman" w:hAnsi="Times New Roman"/>
                <w:sz w:val="24"/>
                <w:szCs w:val="24"/>
              </w:rPr>
            </w:pPr>
            <w:r>
              <w:rPr>
                <w:rFonts w:ascii="Times New Roman" w:hAnsi="Times New Roman"/>
                <w:sz w:val="24"/>
                <w:szCs w:val="24"/>
              </w:rPr>
              <w:t>AGREE</w:t>
            </w:r>
          </w:p>
        </w:tc>
        <w:tc>
          <w:tcPr>
            <w:tcW w:w="1260" w:type="dxa"/>
          </w:tcPr>
          <w:p w14:paraId="4EFFC970">
            <w:pPr>
              <w:rPr>
                <w:rFonts w:ascii="Times New Roman" w:hAnsi="Times New Roman"/>
                <w:sz w:val="24"/>
                <w:szCs w:val="24"/>
              </w:rPr>
            </w:pPr>
            <w:r>
              <w:rPr>
                <w:rFonts w:ascii="Times New Roman" w:hAnsi="Times New Roman"/>
                <w:sz w:val="24"/>
                <w:szCs w:val="24"/>
              </w:rPr>
              <w:t>STRONGLY AGREE</w:t>
            </w:r>
          </w:p>
        </w:tc>
      </w:tr>
      <w:tr w14:paraId="076BB00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145" w:type="dxa"/>
          </w:tcPr>
          <w:p w14:paraId="1AAE2F22">
            <w:pPr>
              <w:ind w:left="180"/>
              <w:rPr>
                <w:rFonts w:ascii="Times New Roman" w:hAnsi="Times New Roman"/>
                <w:sz w:val="24"/>
                <w:szCs w:val="24"/>
              </w:rPr>
            </w:pPr>
            <w:r>
              <w:rPr>
                <w:rFonts w:ascii="Times New Roman" w:hAnsi="Times New Roman"/>
                <w:sz w:val="24"/>
                <w:szCs w:val="24"/>
              </w:rPr>
              <w:t>28</w:t>
            </w:r>
          </w:p>
        </w:tc>
        <w:tc>
          <w:tcPr>
            <w:tcW w:w="4093" w:type="dxa"/>
          </w:tcPr>
          <w:p w14:paraId="26746976">
            <w:pPr>
              <w:ind w:left="180"/>
              <w:rPr>
                <w:rFonts w:ascii="Times New Roman" w:hAnsi="Times New Roman"/>
                <w:b/>
                <w:sz w:val="24"/>
                <w:szCs w:val="24"/>
              </w:rPr>
            </w:pPr>
            <w:r>
              <w:rPr>
                <w:rFonts w:ascii="Times New Roman" w:hAnsi="Times New Roman"/>
                <w:sz w:val="24"/>
                <w:szCs w:val="24"/>
              </w:rPr>
              <w:t>Malaria is a serious and life-threatening disease</w:t>
            </w:r>
          </w:p>
        </w:tc>
        <w:tc>
          <w:tcPr>
            <w:tcW w:w="1170" w:type="dxa"/>
          </w:tcPr>
          <w:p w14:paraId="71FA61BF">
            <w:pPr>
              <w:ind w:left="180"/>
              <w:rPr>
                <w:rFonts w:ascii="Times New Roman" w:hAnsi="Times New Roman"/>
                <w:sz w:val="24"/>
                <w:szCs w:val="24"/>
              </w:rPr>
            </w:pPr>
          </w:p>
        </w:tc>
        <w:tc>
          <w:tcPr>
            <w:tcW w:w="1080" w:type="dxa"/>
          </w:tcPr>
          <w:p w14:paraId="6C907F8D">
            <w:pPr>
              <w:ind w:left="180"/>
              <w:rPr>
                <w:rFonts w:ascii="Times New Roman" w:hAnsi="Times New Roman"/>
                <w:sz w:val="24"/>
                <w:szCs w:val="24"/>
              </w:rPr>
            </w:pPr>
          </w:p>
        </w:tc>
        <w:tc>
          <w:tcPr>
            <w:tcW w:w="990" w:type="dxa"/>
          </w:tcPr>
          <w:p w14:paraId="322764F6">
            <w:pPr>
              <w:ind w:left="180"/>
              <w:rPr>
                <w:rFonts w:ascii="Times New Roman" w:hAnsi="Times New Roman"/>
                <w:sz w:val="24"/>
                <w:szCs w:val="24"/>
              </w:rPr>
            </w:pPr>
          </w:p>
        </w:tc>
        <w:tc>
          <w:tcPr>
            <w:tcW w:w="1260" w:type="dxa"/>
          </w:tcPr>
          <w:p w14:paraId="5496EDD0">
            <w:pPr>
              <w:ind w:left="180"/>
              <w:rPr>
                <w:rFonts w:ascii="Times New Roman" w:hAnsi="Times New Roman"/>
                <w:sz w:val="24"/>
                <w:szCs w:val="24"/>
              </w:rPr>
            </w:pPr>
          </w:p>
        </w:tc>
      </w:tr>
      <w:tr w14:paraId="5303E63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145" w:type="dxa"/>
          </w:tcPr>
          <w:p w14:paraId="167FF0C2">
            <w:pPr>
              <w:spacing w:line="360" w:lineRule="auto"/>
              <w:ind w:left="180"/>
              <w:rPr>
                <w:rFonts w:ascii="Times New Roman" w:hAnsi="Times New Roman"/>
                <w:sz w:val="24"/>
                <w:szCs w:val="24"/>
              </w:rPr>
            </w:pPr>
            <w:r>
              <w:rPr>
                <w:rFonts w:ascii="Times New Roman" w:hAnsi="Times New Roman"/>
                <w:sz w:val="24"/>
                <w:szCs w:val="24"/>
              </w:rPr>
              <w:t>39</w:t>
            </w:r>
          </w:p>
        </w:tc>
        <w:tc>
          <w:tcPr>
            <w:tcW w:w="4093" w:type="dxa"/>
          </w:tcPr>
          <w:p w14:paraId="7067A1F8">
            <w:pPr>
              <w:ind w:left="180"/>
              <w:rPr>
                <w:rFonts w:ascii="Times New Roman" w:hAnsi="Times New Roman"/>
                <w:sz w:val="24"/>
                <w:szCs w:val="24"/>
              </w:rPr>
            </w:pPr>
            <w:r>
              <w:rPr>
                <w:rFonts w:ascii="Times New Roman" w:hAnsi="Times New Roman"/>
                <w:sz w:val="24"/>
                <w:szCs w:val="24"/>
              </w:rPr>
              <w:t>Sleeping inside a mosquito net at night is one way I can prevent Malaria</w:t>
            </w:r>
            <w:r>
              <w:rPr>
                <w:rFonts w:ascii="Times New Roman" w:hAnsi="Times New Roman"/>
                <w:b/>
                <w:sz w:val="24"/>
                <w:szCs w:val="24"/>
              </w:rPr>
              <w:t xml:space="preserve"> </w:t>
            </w:r>
          </w:p>
        </w:tc>
        <w:tc>
          <w:tcPr>
            <w:tcW w:w="1170" w:type="dxa"/>
          </w:tcPr>
          <w:p w14:paraId="739C0D52">
            <w:pPr>
              <w:spacing w:line="360" w:lineRule="auto"/>
              <w:ind w:left="180"/>
              <w:rPr>
                <w:rFonts w:ascii="Times New Roman" w:hAnsi="Times New Roman"/>
                <w:sz w:val="24"/>
                <w:szCs w:val="24"/>
              </w:rPr>
            </w:pPr>
          </w:p>
        </w:tc>
        <w:tc>
          <w:tcPr>
            <w:tcW w:w="1080" w:type="dxa"/>
          </w:tcPr>
          <w:p w14:paraId="6CC29851">
            <w:pPr>
              <w:spacing w:line="360" w:lineRule="auto"/>
              <w:ind w:left="180"/>
              <w:rPr>
                <w:rFonts w:ascii="Times New Roman" w:hAnsi="Times New Roman"/>
                <w:sz w:val="24"/>
                <w:szCs w:val="24"/>
              </w:rPr>
            </w:pPr>
          </w:p>
        </w:tc>
        <w:tc>
          <w:tcPr>
            <w:tcW w:w="990" w:type="dxa"/>
          </w:tcPr>
          <w:p w14:paraId="738DF6BB">
            <w:pPr>
              <w:spacing w:line="360" w:lineRule="auto"/>
              <w:ind w:left="180"/>
              <w:rPr>
                <w:rFonts w:ascii="Times New Roman" w:hAnsi="Times New Roman"/>
                <w:sz w:val="24"/>
                <w:szCs w:val="24"/>
              </w:rPr>
            </w:pPr>
          </w:p>
        </w:tc>
        <w:tc>
          <w:tcPr>
            <w:tcW w:w="1260" w:type="dxa"/>
          </w:tcPr>
          <w:p w14:paraId="04CF5194">
            <w:pPr>
              <w:spacing w:line="360" w:lineRule="auto"/>
              <w:ind w:left="180"/>
              <w:rPr>
                <w:rFonts w:ascii="Times New Roman" w:hAnsi="Times New Roman"/>
                <w:sz w:val="24"/>
                <w:szCs w:val="24"/>
              </w:rPr>
            </w:pPr>
          </w:p>
        </w:tc>
      </w:tr>
      <w:tr w14:paraId="5F737D83">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145" w:type="dxa"/>
          </w:tcPr>
          <w:p w14:paraId="5417DCDA">
            <w:pPr>
              <w:spacing w:line="360" w:lineRule="auto"/>
              <w:ind w:left="180"/>
              <w:rPr>
                <w:rFonts w:ascii="Times New Roman" w:hAnsi="Times New Roman"/>
                <w:sz w:val="24"/>
                <w:szCs w:val="24"/>
              </w:rPr>
            </w:pPr>
            <w:r>
              <w:rPr>
                <w:rFonts w:ascii="Times New Roman" w:hAnsi="Times New Roman"/>
                <w:sz w:val="24"/>
                <w:szCs w:val="24"/>
              </w:rPr>
              <w:t>30</w:t>
            </w:r>
          </w:p>
        </w:tc>
        <w:tc>
          <w:tcPr>
            <w:tcW w:w="4093" w:type="dxa"/>
          </w:tcPr>
          <w:p w14:paraId="73B581AF">
            <w:pPr>
              <w:spacing w:line="360" w:lineRule="auto"/>
              <w:rPr>
                <w:rFonts w:ascii="Times New Roman" w:hAnsi="Times New Roman"/>
                <w:sz w:val="24"/>
                <w:szCs w:val="24"/>
              </w:rPr>
            </w:pPr>
            <w:r>
              <w:rPr>
                <w:rFonts w:ascii="Times New Roman" w:hAnsi="Times New Roman"/>
                <w:sz w:val="24"/>
                <w:szCs w:val="24"/>
              </w:rPr>
              <w:t xml:space="preserve"> I think malaria vaccines are safe </w:t>
            </w:r>
          </w:p>
        </w:tc>
        <w:tc>
          <w:tcPr>
            <w:tcW w:w="1170" w:type="dxa"/>
          </w:tcPr>
          <w:p w14:paraId="4D8315C2">
            <w:pPr>
              <w:spacing w:line="360" w:lineRule="auto"/>
              <w:ind w:left="180"/>
              <w:rPr>
                <w:rFonts w:ascii="Times New Roman" w:hAnsi="Times New Roman"/>
                <w:sz w:val="24"/>
                <w:szCs w:val="24"/>
              </w:rPr>
            </w:pPr>
          </w:p>
        </w:tc>
        <w:tc>
          <w:tcPr>
            <w:tcW w:w="1080" w:type="dxa"/>
          </w:tcPr>
          <w:p w14:paraId="19A2C73E">
            <w:pPr>
              <w:spacing w:line="360" w:lineRule="auto"/>
              <w:ind w:left="180"/>
              <w:rPr>
                <w:rFonts w:ascii="Times New Roman" w:hAnsi="Times New Roman"/>
                <w:sz w:val="24"/>
                <w:szCs w:val="24"/>
              </w:rPr>
            </w:pPr>
          </w:p>
        </w:tc>
        <w:tc>
          <w:tcPr>
            <w:tcW w:w="990" w:type="dxa"/>
          </w:tcPr>
          <w:p w14:paraId="0D566D4D">
            <w:pPr>
              <w:spacing w:line="360" w:lineRule="auto"/>
              <w:ind w:left="180"/>
              <w:rPr>
                <w:rFonts w:ascii="Times New Roman" w:hAnsi="Times New Roman"/>
                <w:sz w:val="24"/>
                <w:szCs w:val="24"/>
              </w:rPr>
            </w:pPr>
          </w:p>
        </w:tc>
        <w:tc>
          <w:tcPr>
            <w:tcW w:w="1260" w:type="dxa"/>
          </w:tcPr>
          <w:p w14:paraId="4002E048">
            <w:pPr>
              <w:spacing w:line="360" w:lineRule="auto"/>
              <w:ind w:left="180"/>
              <w:rPr>
                <w:rFonts w:ascii="Times New Roman" w:hAnsi="Times New Roman"/>
                <w:sz w:val="24"/>
                <w:szCs w:val="24"/>
              </w:rPr>
            </w:pPr>
          </w:p>
        </w:tc>
      </w:tr>
      <w:tr w14:paraId="394EED9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145" w:type="dxa"/>
          </w:tcPr>
          <w:p w14:paraId="1941A6EA">
            <w:pPr>
              <w:spacing w:line="360" w:lineRule="auto"/>
              <w:ind w:left="180"/>
              <w:rPr>
                <w:rFonts w:ascii="Times New Roman" w:hAnsi="Times New Roman"/>
                <w:sz w:val="24"/>
                <w:szCs w:val="24"/>
              </w:rPr>
            </w:pPr>
            <w:r>
              <w:rPr>
                <w:rFonts w:ascii="Times New Roman" w:hAnsi="Times New Roman"/>
                <w:sz w:val="24"/>
                <w:szCs w:val="24"/>
              </w:rPr>
              <w:t>31</w:t>
            </w:r>
          </w:p>
        </w:tc>
        <w:tc>
          <w:tcPr>
            <w:tcW w:w="4093" w:type="dxa"/>
          </w:tcPr>
          <w:p w14:paraId="7280B3D0">
            <w:pPr>
              <w:ind w:left="180"/>
              <w:rPr>
                <w:rFonts w:ascii="Times New Roman" w:hAnsi="Times New Roman"/>
                <w:sz w:val="24"/>
                <w:szCs w:val="24"/>
              </w:rPr>
            </w:pPr>
            <w:r>
              <w:rPr>
                <w:rFonts w:ascii="Times New Roman" w:hAnsi="Times New Roman"/>
                <w:sz w:val="24"/>
                <w:szCs w:val="24"/>
              </w:rPr>
              <w:t>I think vaccines are important in managing malaria</w:t>
            </w:r>
          </w:p>
        </w:tc>
        <w:tc>
          <w:tcPr>
            <w:tcW w:w="1170" w:type="dxa"/>
          </w:tcPr>
          <w:p w14:paraId="68C3FD0A">
            <w:pPr>
              <w:ind w:left="180"/>
              <w:rPr>
                <w:rFonts w:ascii="Times New Roman" w:hAnsi="Times New Roman"/>
                <w:sz w:val="24"/>
                <w:szCs w:val="24"/>
              </w:rPr>
            </w:pPr>
            <w:r>
              <w:rPr>
                <w:rFonts w:ascii="Times New Roman" w:hAnsi="Times New Roman"/>
                <w:sz w:val="24"/>
                <w:szCs w:val="24"/>
              </w:rPr>
              <w:t xml:space="preserve">  </w:t>
            </w:r>
          </w:p>
          <w:p w14:paraId="0EB3D239">
            <w:pPr>
              <w:ind w:left="180"/>
              <w:rPr>
                <w:rFonts w:ascii="Times New Roman" w:hAnsi="Times New Roman"/>
                <w:sz w:val="24"/>
                <w:szCs w:val="24"/>
              </w:rPr>
            </w:pPr>
          </w:p>
        </w:tc>
        <w:tc>
          <w:tcPr>
            <w:tcW w:w="1080" w:type="dxa"/>
          </w:tcPr>
          <w:p w14:paraId="0E2A9DC4">
            <w:pPr>
              <w:rPr>
                <w:rFonts w:ascii="Times New Roman" w:hAnsi="Times New Roman"/>
                <w:sz w:val="24"/>
                <w:szCs w:val="24"/>
              </w:rPr>
            </w:pPr>
          </w:p>
          <w:p w14:paraId="30A53757">
            <w:pPr>
              <w:rPr>
                <w:rFonts w:ascii="Times New Roman" w:hAnsi="Times New Roman"/>
                <w:sz w:val="24"/>
                <w:szCs w:val="24"/>
              </w:rPr>
            </w:pPr>
          </w:p>
        </w:tc>
        <w:tc>
          <w:tcPr>
            <w:tcW w:w="990" w:type="dxa"/>
          </w:tcPr>
          <w:p w14:paraId="740ED37A">
            <w:pPr>
              <w:rPr>
                <w:rFonts w:ascii="Times New Roman" w:hAnsi="Times New Roman"/>
                <w:sz w:val="24"/>
                <w:szCs w:val="24"/>
              </w:rPr>
            </w:pPr>
          </w:p>
          <w:p w14:paraId="7A970EF2">
            <w:pPr>
              <w:rPr>
                <w:rFonts w:ascii="Times New Roman" w:hAnsi="Times New Roman"/>
                <w:sz w:val="24"/>
                <w:szCs w:val="24"/>
              </w:rPr>
            </w:pPr>
          </w:p>
        </w:tc>
        <w:tc>
          <w:tcPr>
            <w:tcW w:w="1260" w:type="dxa"/>
          </w:tcPr>
          <w:p w14:paraId="4407B599">
            <w:pPr>
              <w:spacing w:line="360" w:lineRule="auto"/>
              <w:ind w:left="180"/>
              <w:rPr>
                <w:rFonts w:ascii="Times New Roman" w:hAnsi="Times New Roman"/>
                <w:sz w:val="24"/>
                <w:szCs w:val="24"/>
              </w:rPr>
            </w:pPr>
          </w:p>
        </w:tc>
      </w:tr>
      <w:tr w14:paraId="7C04E56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145" w:type="dxa"/>
          </w:tcPr>
          <w:p w14:paraId="62C3FD15">
            <w:pPr>
              <w:spacing w:line="360" w:lineRule="auto"/>
              <w:ind w:left="180"/>
              <w:rPr>
                <w:rFonts w:ascii="Times New Roman" w:hAnsi="Times New Roman"/>
                <w:sz w:val="24"/>
                <w:szCs w:val="24"/>
              </w:rPr>
            </w:pPr>
            <w:r>
              <w:rPr>
                <w:rFonts w:ascii="Times New Roman" w:hAnsi="Times New Roman"/>
                <w:sz w:val="24"/>
                <w:szCs w:val="24"/>
              </w:rPr>
              <w:t>32</w:t>
            </w:r>
          </w:p>
        </w:tc>
        <w:tc>
          <w:tcPr>
            <w:tcW w:w="4093" w:type="dxa"/>
          </w:tcPr>
          <w:p w14:paraId="341D6437">
            <w:pPr>
              <w:spacing w:line="360" w:lineRule="auto"/>
              <w:ind w:left="180"/>
              <w:rPr>
                <w:rFonts w:ascii="Times New Roman" w:hAnsi="Times New Roman"/>
                <w:sz w:val="24"/>
                <w:szCs w:val="24"/>
              </w:rPr>
            </w:pPr>
            <w:r>
              <w:rPr>
                <w:rFonts w:ascii="Times New Roman" w:hAnsi="Times New Roman"/>
                <w:sz w:val="24"/>
                <w:szCs w:val="24"/>
              </w:rPr>
              <w:t xml:space="preserve">Anyone not immunized with the malaria vaccine should be avoided </w:t>
            </w:r>
          </w:p>
        </w:tc>
        <w:tc>
          <w:tcPr>
            <w:tcW w:w="1170" w:type="dxa"/>
          </w:tcPr>
          <w:p w14:paraId="043929E3">
            <w:pPr>
              <w:spacing w:line="360" w:lineRule="auto"/>
              <w:ind w:left="180"/>
              <w:rPr>
                <w:rFonts w:ascii="Times New Roman" w:hAnsi="Times New Roman"/>
                <w:sz w:val="24"/>
                <w:szCs w:val="24"/>
              </w:rPr>
            </w:pPr>
          </w:p>
        </w:tc>
        <w:tc>
          <w:tcPr>
            <w:tcW w:w="1080" w:type="dxa"/>
          </w:tcPr>
          <w:p w14:paraId="2DCD36EB">
            <w:pPr>
              <w:spacing w:line="360" w:lineRule="auto"/>
              <w:ind w:left="180"/>
              <w:rPr>
                <w:rFonts w:ascii="Times New Roman" w:hAnsi="Times New Roman"/>
                <w:sz w:val="24"/>
                <w:szCs w:val="24"/>
              </w:rPr>
            </w:pPr>
          </w:p>
        </w:tc>
        <w:tc>
          <w:tcPr>
            <w:tcW w:w="990" w:type="dxa"/>
          </w:tcPr>
          <w:p w14:paraId="575E8A14">
            <w:pPr>
              <w:spacing w:line="360" w:lineRule="auto"/>
              <w:ind w:left="180"/>
              <w:rPr>
                <w:rFonts w:ascii="Times New Roman" w:hAnsi="Times New Roman"/>
                <w:sz w:val="24"/>
                <w:szCs w:val="24"/>
              </w:rPr>
            </w:pPr>
          </w:p>
        </w:tc>
        <w:tc>
          <w:tcPr>
            <w:tcW w:w="1260" w:type="dxa"/>
          </w:tcPr>
          <w:p w14:paraId="2F71DAC6">
            <w:pPr>
              <w:spacing w:line="360" w:lineRule="auto"/>
              <w:ind w:left="180"/>
              <w:rPr>
                <w:rFonts w:ascii="Times New Roman" w:hAnsi="Times New Roman"/>
                <w:sz w:val="24"/>
                <w:szCs w:val="24"/>
              </w:rPr>
            </w:pPr>
          </w:p>
        </w:tc>
      </w:tr>
      <w:tr w14:paraId="3F5940B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145" w:type="dxa"/>
          </w:tcPr>
          <w:p w14:paraId="293CCC8C">
            <w:pPr>
              <w:spacing w:line="360" w:lineRule="auto"/>
              <w:ind w:left="180"/>
              <w:rPr>
                <w:rFonts w:ascii="Times New Roman" w:hAnsi="Times New Roman"/>
                <w:sz w:val="24"/>
                <w:szCs w:val="24"/>
              </w:rPr>
            </w:pPr>
            <w:r>
              <w:rPr>
                <w:rFonts w:ascii="Times New Roman" w:hAnsi="Times New Roman"/>
                <w:sz w:val="24"/>
                <w:szCs w:val="24"/>
              </w:rPr>
              <w:t>33</w:t>
            </w:r>
          </w:p>
        </w:tc>
        <w:tc>
          <w:tcPr>
            <w:tcW w:w="4093" w:type="dxa"/>
          </w:tcPr>
          <w:p w14:paraId="7C4E2137">
            <w:pPr>
              <w:ind w:left="180"/>
              <w:rPr>
                <w:rFonts w:ascii="Times New Roman" w:hAnsi="Times New Roman"/>
                <w:sz w:val="24"/>
                <w:szCs w:val="24"/>
              </w:rPr>
            </w:pPr>
            <w:r>
              <w:rPr>
                <w:rFonts w:ascii="Times New Roman" w:hAnsi="Times New Roman"/>
                <w:sz w:val="24"/>
                <w:szCs w:val="24"/>
              </w:rPr>
              <w:t>Immunization with malaria vaccine provides lifelong protection from malaria</w:t>
            </w:r>
          </w:p>
        </w:tc>
        <w:tc>
          <w:tcPr>
            <w:tcW w:w="1170" w:type="dxa"/>
          </w:tcPr>
          <w:p w14:paraId="09440191">
            <w:pPr>
              <w:spacing w:line="360" w:lineRule="auto"/>
              <w:rPr>
                <w:rFonts w:ascii="Times New Roman" w:hAnsi="Times New Roman"/>
                <w:sz w:val="24"/>
                <w:szCs w:val="24"/>
              </w:rPr>
            </w:pPr>
          </w:p>
          <w:p w14:paraId="565B9F1E">
            <w:pPr>
              <w:spacing w:line="360" w:lineRule="auto"/>
              <w:rPr>
                <w:rFonts w:ascii="Times New Roman" w:hAnsi="Times New Roman"/>
                <w:sz w:val="24"/>
                <w:szCs w:val="24"/>
              </w:rPr>
            </w:pPr>
          </w:p>
        </w:tc>
        <w:tc>
          <w:tcPr>
            <w:tcW w:w="1080" w:type="dxa"/>
          </w:tcPr>
          <w:p w14:paraId="14D486DC">
            <w:pPr>
              <w:spacing w:line="360" w:lineRule="auto"/>
              <w:ind w:left="312"/>
              <w:rPr>
                <w:rFonts w:ascii="Times New Roman" w:hAnsi="Times New Roman"/>
                <w:sz w:val="24"/>
                <w:szCs w:val="24"/>
              </w:rPr>
            </w:pPr>
          </w:p>
          <w:p w14:paraId="6FB6CBF6">
            <w:pPr>
              <w:spacing w:line="360" w:lineRule="auto"/>
              <w:rPr>
                <w:rFonts w:ascii="Times New Roman" w:hAnsi="Times New Roman"/>
                <w:sz w:val="24"/>
                <w:szCs w:val="24"/>
              </w:rPr>
            </w:pPr>
          </w:p>
        </w:tc>
        <w:tc>
          <w:tcPr>
            <w:tcW w:w="990" w:type="dxa"/>
          </w:tcPr>
          <w:p w14:paraId="1CE6E5A8">
            <w:pPr>
              <w:rPr>
                <w:rFonts w:ascii="Times New Roman" w:hAnsi="Times New Roman"/>
                <w:sz w:val="24"/>
                <w:szCs w:val="24"/>
              </w:rPr>
            </w:pPr>
          </w:p>
          <w:p w14:paraId="532D3FE8">
            <w:pPr>
              <w:spacing w:line="360" w:lineRule="auto"/>
              <w:rPr>
                <w:rFonts w:ascii="Times New Roman" w:hAnsi="Times New Roman"/>
                <w:sz w:val="24"/>
                <w:szCs w:val="24"/>
              </w:rPr>
            </w:pPr>
          </w:p>
        </w:tc>
        <w:tc>
          <w:tcPr>
            <w:tcW w:w="1260" w:type="dxa"/>
          </w:tcPr>
          <w:p w14:paraId="57AEA3D4">
            <w:pPr>
              <w:spacing w:line="360" w:lineRule="auto"/>
              <w:ind w:left="180"/>
              <w:rPr>
                <w:rFonts w:ascii="Times New Roman" w:hAnsi="Times New Roman"/>
                <w:sz w:val="24"/>
                <w:szCs w:val="24"/>
              </w:rPr>
            </w:pPr>
          </w:p>
        </w:tc>
      </w:tr>
    </w:tbl>
    <w:p w14:paraId="293BCBFD">
      <w:pPr>
        <w:rPr>
          <w:rFonts w:ascii="Times New Roman" w:hAnsi="Times New Roman" w:cs="Times New Roman"/>
          <w:sz w:val="24"/>
          <w:szCs w:val="24"/>
        </w:rPr>
      </w:pPr>
    </w:p>
    <w:p w14:paraId="074ED8D6">
      <w:pPr>
        <w:rPr>
          <w:rFonts w:ascii="Times New Roman" w:hAnsi="Times New Roman" w:cs="Times New Roman"/>
          <w:b/>
          <w:sz w:val="24"/>
          <w:szCs w:val="24"/>
        </w:rPr>
      </w:pPr>
      <w:r>
        <w:rPr>
          <w:rFonts w:ascii="Times New Roman" w:hAnsi="Times New Roman" w:cs="Times New Roman"/>
          <w:b/>
          <w:sz w:val="24"/>
          <w:szCs w:val="24"/>
        </w:rPr>
        <w:t>Parte V Mothers’/caregivers’ practices towards malaria prevention and willingness to accept vaccine.</w:t>
      </w:r>
    </w:p>
    <w:tbl>
      <w:tblPr>
        <w:tblStyle w:val="66"/>
        <w:tblW w:w="9738" w:type="dxa"/>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278"/>
        <w:gridCol w:w="4590"/>
        <w:gridCol w:w="2520"/>
        <w:gridCol w:w="1350"/>
      </w:tblGrid>
      <w:tr w14:paraId="4D0F880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278" w:type="dxa"/>
          </w:tcPr>
          <w:p w14:paraId="65FDDCAD">
            <w:pPr>
              <w:spacing w:line="360" w:lineRule="auto"/>
              <w:ind w:left="180"/>
              <w:rPr>
                <w:rFonts w:ascii="Times New Roman" w:hAnsi="Times New Roman"/>
                <w:sz w:val="24"/>
                <w:szCs w:val="24"/>
              </w:rPr>
            </w:pPr>
            <w:r>
              <w:rPr>
                <w:rFonts w:ascii="Times New Roman" w:hAnsi="Times New Roman"/>
                <w:sz w:val="24"/>
                <w:szCs w:val="24"/>
              </w:rPr>
              <w:t>Code</w:t>
            </w:r>
          </w:p>
        </w:tc>
        <w:tc>
          <w:tcPr>
            <w:tcW w:w="4590" w:type="dxa"/>
          </w:tcPr>
          <w:p w14:paraId="48437E2B">
            <w:pPr>
              <w:ind w:left="180"/>
              <w:rPr>
                <w:rFonts w:ascii="Times New Roman" w:hAnsi="Times New Roman"/>
                <w:sz w:val="24"/>
                <w:szCs w:val="24"/>
              </w:rPr>
            </w:pPr>
            <w:r>
              <w:rPr>
                <w:rFonts w:ascii="Times New Roman" w:hAnsi="Times New Roman"/>
                <w:sz w:val="24"/>
                <w:szCs w:val="24"/>
              </w:rPr>
              <w:t>Questions</w:t>
            </w:r>
          </w:p>
        </w:tc>
        <w:tc>
          <w:tcPr>
            <w:tcW w:w="2520" w:type="dxa"/>
          </w:tcPr>
          <w:p w14:paraId="38174A85">
            <w:pPr>
              <w:ind w:left="180"/>
              <w:rPr>
                <w:rFonts w:ascii="Times New Roman" w:hAnsi="Times New Roman"/>
                <w:sz w:val="24"/>
                <w:szCs w:val="24"/>
              </w:rPr>
            </w:pPr>
            <w:r>
              <w:rPr>
                <w:rFonts w:ascii="Times New Roman" w:hAnsi="Times New Roman"/>
                <w:sz w:val="24"/>
                <w:szCs w:val="24"/>
              </w:rPr>
              <w:t>Alternative response</w:t>
            </w:r>
          </w:p>
        </w:tc>
        <w:tc>
          <w:tcPr>
            <w:tcW w:w="1350" w:type="dxa"/>
          </w:tcPr>
          <w:p w14:paraId="417459C8">
            <w:pPr>
              <w:spacing w:line="360" w:lineRule="auto"/>
              <w:ind w:left="180"/>
              <w:rPr>
                <w:rFonts w:ascii="Times New Roman" w:hAnsi="Times New Roman"/>
                <w:sz w:val="24"/>
                <w:szCs w:val="24"/>
              </w:rPr>
            </w:pPr>
            <w:r>
              <w:rPr>
                <w:rFonts w:ascii="Times New Roman" w:hAnsi="Times New Roman"/>
                <w:sz w:val="24"/>
                <w:szCs w:val="24"/>
              </w:rPr>
              <w:t>Skip</w:t>
            </w:r>
          </w:p>
        </w:tc>
      </w:tr>
      <w:tr w14:paraId="007EC993">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278" w:type="dxa"/>
          </w:tcPr>
          <w:p w14:paraId="4BB69B56">
            <w:pPr>
              <w:spacing w:line="360" w:lineRule="auto"/>
              <w:ind w:left="180"/>
              <w:rPr>
                <w:rFonts w:ascii="Times New Roman" w:hAnsi="Times New Roman"/>
                <w:sz w:val="24"/>
                <w:szCs w:val="24"/>
              </w:rPr>
            </w:pPr>
            <w:r>
              <w:rPr>
                <w:rFonts w:ascii="Times New Roman" w:hAnsi="Times New Roman"/>
                <w:sz w:val="24"/>
                <w:szCs w:val="24"/>
              </w:rPr>
              <w:t>34</w:t>
            </w:r>
          </w:p>
        </w:tc>
        <w:tc>
          <w:tcPr>
            <w:tcW w:w="4590" w:type="dxa"/>
          </w:tcPr>
          <w:p w14:paraId="7BB69CAD">
            <w:pPr>
              <w:ind w:left="180"/>
              <w:rPr>
                <w:rFonts w:ascii="Times New Roman" w:hAnsi="Times New Roman"/>
                <w:sz w:val="24"/>
                <w:szCs w:val="24"/>
              </w:rPr>
            </w:pPr>
            <w:r>
              <w:rPr>
                <w:rFonts w:ascii="Times New Roman" w:hAnsi="Times New Roman"/>
                <w:sz w:val="24"/>
                <w:szCs w:val="24"/>
              </w:rPr>
              <w:t>Do you have any insecticide-treated nets in your household?</w:t>
            </w:r>
          </w:p>
        </w:tc>
        <w:tc>
          <w:tcPr>
            <w:tcW w:w="2520" w:type="dxa"/>
          </w:tcPr>
          <w:p w14:paraId="230DEAF2">
            <w:pPr>
              <w:pStyle w:val="51"/>
              <w:numPr>
                <w:ilvl w:val="0"/>
                <w:numId w:val="20"/>
              </w:numPr>
              <w:rPr>
                <w:rFonts w:ascii="Times New Roman" w:hAnsi="Times New Roman"/>
                <w:sz w:val="24"/>
                <w:szCs w:val="24"/>
              </w:rPr>
            </w:pPr>
            <w:r>
              <w:rPr>
                <w:rFonts w:ascii="Times New Roman" w:hAnsi="Times New Roman"/>
                <w:sz w:val="24"/>
                <w:szCs w:val="24"/>
              </w:rPr>
              <w:t>Yes    B. No</w:t>
            </w:r>
          </w:p>
        </w:tc>
        <w:tc>
          <w:tcPr>
            <w:tcW w:w="1350" w:type="dxa"/>
          </w:tcPr>
          <w:p w14:paraId="68CBD3C0">
            <w:pPr>
              <w:spacing w:line="360" w:lineRule="auto"/>
              <w:ind w:left="180"/>
              <w:rPr>
                <w:rFonts w:ascii="Times New Roman" w:hAnsi="Times New Roman"/>
                <w:sz w:val="24"/>
                <w:szCs w:val="24"/>
              </w:rPr>
            </w:pPr>
          </w:p>
        </w:tc>
      </w:tr>
      <w:tr w14:paraId="02ED9C4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278" w:type="dxa"/>
          </w:tcPr>
          <w:p w14:paraId="58472610">
            <w:pPr>
              <w:spacing w:line="360" w:lineRule="auto"/>
              <w:ind w:left="180"/>
              <w:rPr>
                <w:rFonts w:ascii="Times New Roman" w:hAnsi="Times New Roman"/>
                <w:sz w:val="24"/>
                <w:szCs w:val="24"/>
              </w:rPr>
            </w:pPr>
            <w:r>
              <w:rPr>
                <w:rFonts w:ascii="Times New Roman" w:hAnsi="Times New Roman"/>
                <w:sz w:val="24"/>
                <w:szCs w:val="24"/>
              </w:rPr>
              <w:t>35</w:t>
            </w:r>
          </w:p>
        </w:tc>
        <w:tc>
          <w:tcPr>
            <w:tcW w:w="4590" w:type="dxa"/>
          </w:tcPr>
          <w:p w14:paraId="48A021CB">
            <w:pPr>
              <w:ind w:left="180"/>
              <w:rPr>
                <w:rFonts w:ascii="Times New Roman" w:hAnsi="Times New Roman"/>
                <w:sz w:val="24"/>
                <w:szCs w:val="24"/>
              </w:rPr>
            </w:pPr>
            <w:r>
              <w:rPr>
                <w:rFonts w:ascii="Times New Roman" w:hAnsi="Times New Roman"/>
                <w:sz w:val="24"/>
                <w:szCs w:val="24"/>
              </w:rPr>
              <w:t>If yes, who sleeps inside the insecticide-treated net?</w:t>
            </w:r>
          </w:p>
        </w:tc>
        <w:tc>
          <w:tcPr>
            <w:tcW w:w="2520" w:type="dxa"/>
          </w:tcPr>
          <w:p w14:paraId="3806C4CA">
            <w:pPr>
              <w:pStyle w:val="51"/>
              <w:numPr>
                <w:ilvl w:val="0"/>
                <w:numId w:val="21"/>
              </w:numPr>
              <w:rPr>
                <w:rFonts w:ascii="Times New Roman" w:hAnsi="Times New Roman"/>
                <w:sz w:val="24"/>
                <w:szCs w:val="24"/>
              </w:rPr>
            </w:pPr>
            <w:r>
              <w:rPr>
                <w:rFonts w:ascii="Times New Roman" w:hAnsi="Times New Roman"/>
                <w:sz w:val="24"/>
                <w:szCs w:val="24"/>
              </w:rPr>
              <w:t xml:space="preserve">Father </w:t>
            </w:r>
          </w:p>
          <w:p w14:paraId="1F4E550C">
            <w:pPr>
              <w:pStyle w:val="51"/>
              <w:numPr>
                <w:ilvl w:val="0"/>
                <w:numId w:val="21"/>
              </w:numPr>
              <w:rPr>
                <w:rFonts w:ascii="Times New Roman" w:hAnsi="Times New Roman"/>
                <w:sz w:val="24"/>
                <w:szCs w:val="24"/>
              </w:rPr>
            </w:pPr>
            <w:r>
              <w:rPr>
                <w:rFonts w:ascii="Times New Roman" w:hAnsi="Times New Roman"/>
                <w:sz w:val="24"/>
                <w:szCs w:val="24"/>
              </w:rPr>
              <w:t xml:space="preserve"> Mother</w:t>
            </w:r>
          </w:p>
          <w:p w14:paraId="53C6A651">
            <w:pPr>
              <w:pStyle w:val="51"/>
              <w:numPr>
                <w:ilvl w:val="0"/>
                <w:numId w:val="21"/>
              </w:numPr>
              <w:rPr>
                <w:rFonts w:ascii="Times New Roman" w:hAnsi="Times New Roman"/>
                <w:sz w:val="24"/>
                <w:szCs w:val="24"/>
              </w:rPr>
            </w:pPr>
            <w:r>
              <w:rPr>
                <w:rFonts w:ascii="Times New Roman" w:hAnsi="Times New Roman"/>
                <w:sz w:val="24"/>
                <w:szCs w:val="24"/>
              </w:rPr>
              <w:t>Children underfive</w:t>
            </w:r>
          </w:p>
          <w:p w14:paraId="0ED42648">
            <w:pPr>
              <w:pStyle w:val="51"/>
              <w:numPr>
                <w:ilvl w:val="0"/>
                <w:numId w:val="21"/>
              </w:numPr>
              <w:rPr>
                <w:rFonts w:ascii="Times New Roman" w:hAnsi="Times New Roman"/>
                <w:sz w:val="24"/>
                <w:szCs w:val="24"/>
              </w:rPr>
            </w:pPr>
            <w:r>
              <w:rPr>
                <w:rFonts w:ascii="Times New Roman" w:hAnsi="Times New Roman"/>
                <w:sz w:val="24"/>
                <w:szCs w:val="24"/>
              </w:rPr>
              <w:t>Children over five</w:t>
            </w:r>
          </w:p>
          <w:p w14:paraId="450BDF3E">
            <w:pPr>
              <w:pStyle w:val="51"/>
              <w:numPr>
                <w:ilvl w:val="0"/>
                <w:numId w:val="21"/>
              </w:numPr>
              <w:rPr>
                <w:rFonts w:ascii="Times New Roman" w:hAnsi="Times New Roman"/>
                <w:sz w:val="24"/>
                <w:szCs w:val="24"/>
              </w:rPr>
            </w:pPr>
            <w:r>
              <w:rPr>
                <w:rFonts w:ascii="Times New Roman" w:hAnsi="Times New Roman"/>
                <w:sz w:val="24"/>
                <w:szCs w:val="24"/>
              </w:rPr>
              <w:t>Everyone</w:t>
            </w:r>
          </w:p>
        </w:tc>
        <w:tc>
          <w:tcPr>
            <w:tcW w:w="1350" w:type="dxa"/>
          </w:tcPr>
          <w:p w14:paraId="11528723">
            <w:pPr>
              <w:spacing w:line="360" w:lineRule="auto"/>
              <w:ind w:left="180"/>
              <w:rPr>
                <w:rFonts w:ascii="Times New Roman" w:hAnsi="Times New Roman"/>
                <w:sz w:val="24"/>
                <w:szCs w:val="24"/>
              </w:rPr>
            </w:pPr>
            <w:r>
              <w:rPr>
                <w:rFonts w:ascii="Times New Roman" w:hAnsi="Times New Roman"/>
                <w:sz w:val="24"/>
                <w:szCs w:val="24"/>
              </w:rPr>
              <w:t>If yes pass to29</w:t>
            </w:r>
          </w:p>
        </w:tc>
      </w:tr>
      <w:tr w14:paraId="510A1AE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278" w:type="dxa"/>
          </w:tcPr>
          <w:p w14:paraId="6978BB8F">
            <w:pPr>
              <w:spacing w:line="360" w:lineRule="auto"/>
              <w:ind w:left="180"/>
              <w:rPr>
                <w:rFonts w:ascii="Times New Roman" w:hAnsi="Times New Roman"/>
                <w:sz w:val="24"/>
                <w:szCs w:val="24"/>
              </w:rPr>
            </w:pPr>
            <w:r>
              <w:rPr>
                <w:rFonts w:ascii="Times New Roman" w:hAnsi="Times New Roman"/>
                <w:sz w:val="24"/>
                <w:szCs w:val="24"/>
              </w:rPr>
              <w:t>36</w:t>
            </w:r>
          </w:p>
        </w:tc>
        <w:tc>
          <w:tcPr>
            <w:tcW w:w="4590" w:type="dxa"/>
          </w:tcPr>
          <w:p w14:paraId="2C8A9A93">
            <w:pPr>
              <w:ind w:left="180"/>
              <w:rPr>
                <w:rFonts w:ascii="Times New Roman" w:hAnsi="Times New Roman"/>
                <w:sz w:val="24"/>
                <w:szCs w:val="24"/>
              </w:rPr>
            </w:pPr>
            <w:r>
              <w:rPr>
                <w:rFonts w:ascii="Times New Roman" w:hAnsi="Times New Roman"/>
                <w:sz w:val="24"/>
                <w:szCs w:val="24"/>
              </w:rPr>
              <w:t>Would you allow your child to be immunized with the malaria vaccine when available?</w:t>
            </w:r>
          </w:p>
        </w:tc>
        <w:tc>
          <w:tcPr>
            <w:tcW w:w="2520" w:type="dxa"/>
          </w:tcPr>
          <w:p w14:paraId="6C6C2908">
            <w:pPr>
              <w:pStyle w:val="51"/>
              <w:numPr>
                <w:ilvl w:val="0"/>
                <w:numId w:val="22"/>
              </w:numPr>
              <w:rPr>
                <w:rFonts w:ascii="Times New Roman" w:hAnsi="Times New Roman"/>
                <w:sz w:val="24"/>
                <w:szCs w:val="24"/>
              </w:rPr>
            </w:pPr>
            <w:r>
              <w:rPr>
                <w:rFonts w:ascii="Times New Roman" w:hAnsi="Times New Roman"/>
                <w:sz w:val="24"/>
                <w:szCs w:val="24"/>
              </w:rPr>
              <w:t>Yes    B. No</w:t>
            </w:r>
          </w:p>
        </w:tc>
        <w:tc>
          <w:tcPr>
            <w:tcW w:w="1350" w:type="dxa"/>
          </w:tcPr>
          <w:p w14:paraId="1A47FADF">
            <w:pPr>
              <w:spacing w:line="360" w:lineRule="auto"/>
              <w:ind w:left="180"/>
              <w:rPr>
                <w:rFonts w:ascii="Times New Roman" w:hAnsi="Times New Roman"/>
                <w:sz w:val="24"/>
                <w:szCs w:val="24"/>
              </w:rPr>
            </w:pPr>
          </w:p>
        </w:tc>
      </w:tr>
      <w:tr w14:paraId="46A6DD1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278" w:type="dxa"/>
          </w:tcPr>
          <w:p w14:paraId="6A77F235">
            <w:pPr>
              <w:spacing w:line="360" w:lineRule="auto"/>
              <w:ind w:left="180"/>
              <w:rPr>
                <w:rFonts w:ascii="Times New Roman" w:hAnsi="Times New Roman"/>
                <w:sz w:val="24"/>
                <w:szCs w:val="24"/>
              </w:rPr>
            </w:pPr>
            <w:r>
              <w:rPr>
                <w:rFonts w:ascii="Times New Roman" w:hAnsi="Times New Roman"/>
                <w:sz w:val="24"/>
                <w:szCs w:val="24"/>
              </w:rPr>
              <w:t>37</w:t>
            </w:r>
          </w:p>
        </w:tc>
        <w:tc>
          <w:tcPr>
            <w:tcW w:w="4590" w:type="dxa"/>
          </w:tcPr>
          <w:p w14:paraId="6EA11E4A">
            <w:pPr>
              <w:ind w:left="180"/>
              <w:rPr>
                <w:rFonts w:ascii="Times New Roman" w:hAnsi="Times New Roman"/>
                <w:sz w:val="24"/>
                <w:szCs w:val="24"/>
              </w:rPr>
            </w:pPr>
            <w:r>
              <w:rPr>
                <w:rFonts w:ascii="Times New Roman" w:hAnsi="Times New Roman"/>
                <w:sz w:val="24"/>
                <w:szCs w:val="24"/>
              </w:rPr>
              <w:t>Will you be willing to bring your child four (4) times to receive the vaccine?</w:t>
            </w:r>
          </w:p>
        </w:tc>
        <w:tc>
          <w:tcPr>
            <w:tcW w:w="2520" w:type="dxa"/>
          </w:tcPr>
          <w:p w14:paraId="20B8F2E6">
            <w:pPr>
              <w:pStyle w:val="51"/>
              <w:numPr>
                <w:ilvl w:val="0"/>
                <w:numId w:val="23"/>
              </w:numPr>
              <w:rPr>
                <w:rFonts w:ascii="Times New Roman" w:hAnsi="Times New Roman"/>
                <w:sz w:val="24"/>
                <w:szCs w:val="24"/>
              </w:rPr>
            </w:pPr>
            <w:r>
              <w:rPr>
                <w:rFonts w:ascii="Times New Roman" w:hAnsi="Times New Roman"/>
                <w:sz w:val="24"/>
                <w:szCs w:val="24"/>
              </w:rPr>
              <w:t>Yes    B. No</w:t>
            </w:r>
          </w:p>
        </w:tc>
        <w:tc>
          <w:tcPr>
            <w:tcW w:w="1350" w:type="dxa"/>
          </w:tcPr>
          <w:p w14:paraId="349E3A29">
            <w:pPr>
              <w:spacing w:line="360" w:lineRule="auto"/>
              <w:ind w:left="180"/>
              <w:rPr>
                <w:rFonts w:ascii="Times New Roman" w:hAnsi="Times New Roman"/>
                <w:sz w:val="24"/>
                <w:szCs w:val="24"/>
              </w:rPr>
            </w:pPr>
          </w:p>
        </w:tc>
      </w:tr>
      <w:tr w14:paraId="30E7170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278" w:type="dxa"/>
          </w:tcPr>
          <w:p w14:paraId="12773CDF">
            <w:pPr>
              <w:spacing w:line="360" w:lineRule="auto"/>
              <w:ind w:left="180"/>
              <w:rPr>
                <w:rFonts w:ascii="Times New Roman" w:hAnsi="Times New Roman"/>
                <w:sz w:val="24"/>
                <w:szCs w:val="24"/>
              </w:rPr>
            </w:pPr>
            <w:r>
              <w:rPr>
                <w:rFonts w:ascii="Times New Roman" w:hAnsi="Times New Roman"/>
                <w:sz w:val="24"/>
                <w:szCs w:val="24"/>
              </w:rPr>
              <w:t>38</w:t>
            </w:r>
          </w:p>
        </w:tc>
        <w:tc>
          <w:tcPr>
            <w:tcW w:w="4590" w:type="dxa"/>
          </w:tcPr>
          <w:p w14:paraId="17CDB47C">
            <w:pPr>
              <w:ind w:left="180"/>
              <w:rPr>
                <w:rFonts w:ascii="Times New Roman" w:hAnsi="Times New Roman"/>
                <w:sz w:val="24"/>
                <w:szCs w:val="24"/>
              </w:rPr>
            </w:pPr>
            <w:r>
              <w:rPr>
                <w:rFonts w:ascii="Times New Roman" w:hAnsi="Times New Roman"/>
                <w:sz w:val="24"/>
                <w:szCs w:val="24"/>
              </w:rPr>
              <w:t>Would you accept the vaccine if it is not given orally but by injection?</w:t>
            </w:r>
          </w:p>
        </w:tc>
        <w:tc>
          <w:tcPr>
            <w:tcW w:w="2520" w:type="dxa"/>
          </w:tcPr>
          <w:p w14:paraId="3CE79545">
            <w:pPr>
              <w:pStyle w:val="51"/>
              <w:numPr>
                <w:ilvl w:val="0"/>
                <w:numId w:val="24"/>
              </w:numPr>
              <w:rPr>
                <w:rFonts w:ascii="Times New Roman" w:hAnsi="Times New Roman"/>
                <w:sz w:val="24"/>
                <w:szCs w:val="24"/>
              </w:rPr>
            </w:pPr>
            <w:r>
              <w:rPr>
                <w:rFonts w:ascii="Times New Roman" w:hAnsi="Times New Roman"/>
                <w:sz w:val="24"/>
                <w:szCs w:val="24"/>
              </w:rPr>
              <w:t>Yes    B. No</w:t>
            </w:r>
          </w:p>
        </w:tc>
        <w:tc>
          <w:tcPr>
            <w:tcW w:w="1350" w:type="dxa"/>
          </w:tcPr>
          <w:p w14:paraId="574B542A">
            <w:pPr>
              <w:spacing w:line="360" w:lineRule="auto"/>
              <w:ind w:left="180"/>
              <w:rPr>
                <w:rFonts w:ascii="Times New Roman" w:hAnsi="Times New Roman"/>
                <w:sz w:val="24"/>
                <w:szCs w:val="24"/>
              </w:rPr>
            </w:pPr>
          </w:p>
        </w:tc>
      </w:tr>
      <w:tr w14:paraId="54C2357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278" w:type="dxa"/>
          </w:tcPr>
          <w:p w14:paraId="378CC6B4">
            <w:pPr>
              <w:spacing w:line="360" w:lineRule="auto"/>
              <w:ind w:left="180"/>
              <w:rPr>
                <w:rFonts w:ascii="Times New Roman" w:hAnsi="Times New Roman"/>
                <w:sz w:val="24"/>
                <w:szCs w:val="24"/>
              </w:rPr>
            </w:pPr>
            <w:r>
              <w:rPr>
                <w:rFonts w:ascii="Times New Roman" w:hAnsi="Times New Roman"/>
                <w:sz w:val="24"/>
                <w:szCs w:val="24"/>
              </w:rPr>
              <w:t>39</w:t>
            </w:r>
          </w:p>
        </w:tc>
        <w:tc>
          <w:tcPr>
            <w:tcW w:w="4590" w:type="dxa"/>
          </w:tcPr>
          <w:p w14:paraId="2EA66E49">
            <w:pPr>
              <w:ind w:left="180"/>
              <w:rPr>
                <w:rFonts w:ascii="Times New Roman" w:hAnsi="Times New Roman"/>
                <w:sz w:val="24"/>
                <w:szCs w:val="24"/>
              </w:rPr>
            </w:pPr>
            <w:r>
              <w:rPr>
                <w:rFonts w:ascii="Times New Roman" w:hAnsi="Times New Roman"/>
                <w:sz w:val="24"/>
                <w:szCs w:val="24"/>
              </w:rPr>
              <w:t>If you immunize your child with the malaria vaccine will you still use other preventive measures e.g., long-lasting insecticide treated nets?</w:t>
            </w:r>
          </w:p>
        </w:tc>
        <w:tc>
          <w:tcPr>
            <w:tcW w:w="2520" w:type="dxa"/>
          </w:tcPr>
          <w:p w14:paraId="73990710">
            <w:pPr>
              <w:pStyle w:val="51"/>
              <w:numPr>
                <w:ilvl w:val="0"/>
                <w:numId w:val="25"/>
              </w:numPr>
              <w:rPr>
                <w:rFonts w:ascii="Times New Roman" w:hAnsi="Times New Roman"/>
                <w:sz w:val="24"/>
                <w:szCs w:val="24"/>
              </w:rPr>
            </w:pPr>
            <w:r>
              <w:rPr>
                <w:rFonts w:ascii="Times New Roman" w:hAnsi="Times New Roman"/>
                <w:sz w:val="24"/>
                <w:szCs w:val="24"/>
              </w:rPr>
              <w:t>Yes    B. No</w:t>
            </w:r>
          </w:p>
        </w:tc>
        <w:tc>
          <w:tcPr>
            <w:tcW w:w="1350" w:type="dxa"/>
          </w:tcPr>
          <w:p w14:paraId="6DE79D4B">
            <w:pPr>
              <w:spacing w:line="360" w:lineRule="auto"/>
              <w:ind w:left="180"/>
              <w:rPr>
                <w:rFonts w:ascii="Times New Roman" w:hAnsi="Times New Roman"/>
                <w:sz w:val="24"/>
                <w:szCs w:val="24"/>
              </w:rPr>
            </w:pPr>
          </w:p>
        </w:tc>
      </w:tr>
    </w:tbl>
    <w:p w14:paraId="2EA864F5">
      <w:pPr>
        <w:spacing w:before="100" w:beforeAutospacing="1" w:after="100" w:afterAutospacing="1"/>
        <w:contextualSpacing/>
        <w:rPr>
          <w:rFonts w:ascii="Times New Roman" w:hAnsi="Times New Roman" w:cs="Times New Roman"/>
          <w:b/>
          <w:sz w:val="24"/>
          <w:szCs w:val="24"/>
        </w:rPr>
      </w:pPr>
    </w:p>
    <w:p w14:paraId="3DA77C19">
      <w:pPr>
        <w:spacing w:before="100" w:beforeAutospacing="1" w:after="100" w:afterAutospacing="1"/>
        <w:contextualSpacing/>
        <w:rPr>
          <w:rFonts w:ascii="Times New Roman" w:hAnsi="Times New Roman" w:eastAsia="Times New Roman" w:cs="Times New Roman"/>
          <w:b/>
          <w:bCs/>
          <w:sz w:val="24"/>
          <w:szCs w:val="24"/>
        </w:rPr>
      </w:pPr>
      <w:r>
        <w:rPr>
          <w:rFonts w:ascii="Times New Roman" w:hAnsi="Times New Roman" w:cs="Times New Roman"/>
          <w:b/>
          <w:sz w:val="24"/>
          <w:szCs w:val="24"/>
        </w:rPr>
        <w:t>ParteIX</w:t>
      </w:r>
      <w:r>
        <w:rPr>
          <w:rFonts w:ascii="Times New Roman" w:hAnsi="Times New Roman" w:cs="Times New Roman"/>
          <w:sz w:val="24"/>
          <w:szCs w:val="24"/>
        </w:rPr>
        <w:t xml:space="preserve"> </w:t>
      </w:r>
      <w:r>
        <w:rPr>
          <w:rFonts w:ascii="Times New Roman" w:hAnsi="Times New Roman" w:eastAsia="Times New Roman" w:cs="Times New Roman"/>
          <w:b/>
          <w:bCs/>
          <w:sz w:val="24"/>
          <w:szCs w:val="24"/>
        </w:rPr>
        <w:t>Healthcare System Factors</w:t>
      </w:r>
    </w:p>
    <w:p w14:paraId="4EB299EF">
      <w:pPr>
        <w:spacing w:before="100" w:beforeAutospacing="1" w:after="100" w:afterAutospacing="1"/>
        <w:contextualSpacing/>
        <w:rPr>
          <w:rFonts w:ascii="Times New Roman" w:hAnsi="Times New Roman" w:eastAsia="Times New Roman" w:cs="Times New Roman"/>
          <w:sz w:val="24"/>
          <w:szCs w:val="24"/>
        </w:rPr>
      </w:pPr>
    </w:p>
    <w:tbl>
      <w:tblPr>
        <w:tblStyle w:val="66"/>
        <w:tblW w:w="9738" w:type="dxa"/>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278"/>
        <w:gridCol w:w="4590"/>
        <w:gridCol w:w="2520"/>
        <w:gridCol w:w="1350"/>
      </w:tblGrid>
      <w:tr w14:paraId="37DFB3A3">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278" w:type="dxa"/>
          </w:tcPr>
          <w:p w14:paraId="0FBC2654">
            <w:pPr>
              <w:rPr>
                <w:rFonts w:ascii="Times New Roman" w:hAnsi="Times New Roman"/>
                <w:sz w:val="24"/>
                <w:szCs w:val="24"/>
              </w:rPr>
            </w:pPr>
            <w:r>
              <w:rPr>
                <w:rFonts w:ascii="Times New Roman" w:hAnsi="Times New Roman"/>
              </w:rPr>
              <w:t>40</w:t>
            </w:r>
          </w:p>
        </w:tc>
        <w:tc>
          <w:tcPr>
            <w:tcW w:w="4590" w:type="dxa"/>
          </w:tcPr>
          <w:p w14:paraId="10016FBA">
            <w:pPr>
              <w:rPr>
                <w:rFonts w:ascii="Times New Roman" w:hAnsi="Times New Roman"/>
              </w:rPr>
            </w:pPr>
            <w:r>
              <w:rPr>
                <w:rFonts w:ascii="Bookman Old Style" w:hAnsi="Bookman Old Style"/>
              </w:rPr>
              <w:t>How long does it take you to reach vaccination site?</w:t>
            </w:r>
          </w:p>
        </w:tc>
        <w:tc>
          <w:tcPr>
            <w:tcW w:w="2520" w:type="dxa"/>
          </w:tcPr>
          <w:p w14:paraId="7BF8D832">
            <w:pPr>
              <w:rPr>
                <w:rFonts w:ascii="Bookman Old Style" w:hAnsi="Bookman Old Style"/>
              </w:rPr>
            </w:pPr>
            <w:r>
              <w:rPr>
                <w:rFonts w:ascii="Bookman Old Style" w:hAnsi="Bookman Old Style"/>
              </w:rPr>
              <w:t xml:space="preserve">A.&lt; 15minutes </w:t>
            </w:r>
          </w:p>
          <w:p w14:paraId="6E0D3C94">
            <w:pPr>
              <w:rPr>
                <w:rFonts w:ascii="Bookman Old Style" w:hAnsi="Bookman Old Style"/>
              </w:rPr>
            </w:pPr>
            <w:r>
              <w:rPr>
                <w:rFonts w:ascii="Bookman Old Style" w:hAnsi="Bookman Old Style"/>
              </w:rPr>
              <w:t xml:space="preserve">B. </w:t>
            </w:r>
            <w:r>
              <w:rPr>
                <w:rFonts w:ascii="Maiandra GD" w:hAnsi="Maiandra GD"/>
              </w:rPr>
              <w:t xml:space="preserve">½ </w:t>
            </w:r>
            <w:r>
              <w:rPr>
                <w:rFonts w:ascii="Bookman Old Style" w:hAnsi="Bookman Old Style"/>
              </w:rPr>
              <w:t xml:space="preserve">to 1 hour </w:t>
            </w:r>
          </w:p>
          <w:p w14:paraId="4EBFC725">
            <w:pPr>
              <w:rPr>
                <w:rFonts w:ascii="Bookman Old Style" w:hAnsi="Bookman Old Style"/>
              </w:rPr>
            </w:pPr>
            <w:r>
              <w:rPr>
                <w:rFonts w:ascii="Bookman Old Style" w:hAnsi="Bookman Old Style"/>
              </w:rPr>
              <w:t xml:space="preserve">C. 15 – 30 minutes  </w:t>
            </w:r>
          </w:p>
          <w:p w14:paraId="567E77DB">
            <w:pPr>
              <w:rPr>
                <w:rFonts w:ascii="Times New Roman" w:hAnsi="Times New Roman"/>
              </w:rPr>
            </w:pPr>
            <w:r>
              <w:rPr>
                <w:rFonts w:ascii="Bookman Old Style" w:hAnsi="Bookman Old Style"/>
              </w:rPr>
              <w:t>D. &gt; 1 hour</w:t>
            </w:r>
          </w:p>
        </w:tc>
        <w:tc>
          <w:tcPr>
            <w:tcW w:w="1350" w:type="dxa"/>
          </w:tcPr>
          <w:p w14:paraId="76D7EE59">
            <w:pPr>
              <w:rPr>
                <w:rFonts w:ascii="Times New Roman" w:hAnsi="Times New Roman"/>
              </w:rPr>
            </w:pPr>
          </w:p>
        </w:tc>
      </w:tr>
      <w:tr w14:paraId="4F82075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278" w:type="dxa"/>
          </w:tcPr>
          <w:p w14:paraId="344A267B">
            <w:pPr>
              <w:rPr>
                <w:rFonts w:ascii="Times New Roman" w:hAnsi="Times New Roman"/>
              </w:rPr>
            </w:pPr>
            <w:r>
              <w:rPr>
                <w:rFonts w:ascii="Times New Roman" w:hAnsi="Times New Roman"/>
              </w:rPr>
              <w:t>41</w:t>
            </w:r>
          </w:p>
        </w:tc>
        <w:tc>
          <w:tcPr>
            <w:tcW w:w="4590" w:type="dxa"/>
          </w:tcPr>
          <w:p w14:paraId="0EC5F4BF">
            <w:pPr>
              <w:rPr>
                <w:rFonts w:ascii="Bookman Old Style" w:hAnsi="Bookman Old Style"/>
              </w:rPr>
            </w:pPr>
            <w:r>
              <w:rPr>
                <w:rFonts w:ascii="Bookman Old Style" w:hAnsi="Bookman Old Style"/>
              </w:rPr>
              <w:t>For how long would you stay at vaccination site to get your child vaccinated</w:t>
            </w:r>
          </w:p>
        </w:tc>
        <w:tc>
          <w:tcPr>
            <w:tcW w:w="2520" w:type="dxa"/>
          </w:tcPr>
          <w:p w14:paraId="4A944668">
            <w:pPr>
              <w:spacing w:after="200" w:line="276" w:lineRule="auto"/>
              <w:rPr>
                <w:rFonts w:ascii="Times New Roman" w:hAnsi="Times New Roman"/>
              </w:rPr>
            </w:pPr>
            <w:r>
              <w:rPr>
                <w:rFonts w:ascii="Times New Roman" w:hAnsi="Times New Roman"/>
              </w:rPr>
              <w:t xml:space="preserve">A. No queue </w:t>
            </w:r>
          </w:p>
          <w:p w14:paraId="38E035F6">
            <w:pPr>
              <w:spacing w:after="200" w:line="276" w:lineRule="auto"/>
              <w:rPr>
                <w:rFonts w:ascii="Times New Roman" w:hAnsi="Times New Roman"/>
              </w:rPr>
            </w:pPr>
            <w:r>
              <w:rPr>
                <w:rFonts w:ascii="Times New Roman" w:hAnsi="Times New Roman"/>
              </w:rPr>
              <w:t xml:space="preserve"> B. 30 minute to 1 hour </w:t>
            </w:r>
          </w:p>
          <w:p w14:paraId="2D5E343E">
            <w:pPr>
              <w:spacing w:after="200" w:line="276" w:lineRule="auto"/>
              <w:rPr>
                <w:rFonts w:ascii="Times New Roman" w:hAnsi="Times New Roman"/>
              </w:rPr>
            </w:pPr>
            <w:r>
              <w:rPr>
                <w:rFonts w:ascii="Times New Roman" w:hAnsi="Times New Roman"/>
              </w:rPr>
              <w:t xml:space="preserve"> C. less than 30 minute </w:t>
            </w:r>
          </w:p>
          <w:p w14:paraId="20E1E215">
            <w:pPr>
              <w:rPr>
                <w:rFonts w:ascii="Bookman Old Style" w:hAnsi="Bookman Old Style"/>
              </w:rPr>
            </w:pPr>
            <w:r>
              <w:rPr>
                <w:rFonts w:ascii="Times New Roman" w:hAnsi="Times New Roman"/>
              </w:rPr>
              <w:t xml:space="preserve"> D. &gt; 1 hour</w:t>
            </w:r>
          </w:p>
        </w:tc>
        <w:tc>
          <w:tcPr>
            <w:tcW w:w="1350" w:type="dxa"/>
          </w:tcPr>
          <w:p w14:paraId="12DCCC43">
            <w:pPr>
              <w:rPr>
                <w:rFonts w:ascii="Times New Roman" w:hAnsi="Times New Roman"/>
              </w:rPr>
            </w:pPr>
          </w:p>
        </w:tc>
      </w:tr>
      <w:tr w14:paraId="31D9097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278" w:type="dxa"/>
          </w:tcPr>
          <w:p w14:paraId="7632ADB1">
            <w:pPr>
              <w:rPr>
                <w:rFonts w:ascii="Times New Roman" w:hAnsi="Times New Roman"/>
              </w:rPr>
            </w:pPr>
            <w:r>
              <w:rPr>
                <w:rFonts w:ascii="Times New Roman" w:hAnsi="Times New Roman"/>
              </w:rPr>
              <w:t>42</w:t>
            </w:r>
          </w:p>
        </w:tc>
        <w:tc>
          <w:tcPr>
            <w:tcW w:w="4590" w:type="dxa"/>
          </w:tcPr>
          <w:p w14:paraId="3416680E">
            <w:pPr>
              <w:rPr>
                <w:rFonts w:ascii="Bookman Old Style" w:hAnsi="Bookman Old Style"/>
              </w:rPr>
            </w:pPr>
            <w:r>
              <w:rPr>
                <w:rFonts w:ascii="Bookman Old Style" w:hAnsi="Bookman Old Style"/>
              </w:rPr>
              <w:t>What is your attitude towards vaccinators?</w:t>
            </w:r>
          </w:p>
        </w:tc>
        <w:tc>
          <w:tcPr>
            <w:tcW w:w="2520" w:type="dxa"/>
          </w:tcPr>
          <w:p w14:paraId="304E9129">
            <w:pPr>
              <w:pStyle w:val="51"/>
              <w:numPr>
                <w:ilvl w:val="0"/>
                <w:numId w:val="26"/>
              </w:numPr>
              <w:rPr>
                <w:rFonts w:ascii="Times New Roman" w:hAnsi="Times New Roman"/>
              </w:rPr>
            </w:pPr>
            <w:r>
              <w:rPr>
                <w:rFonts w:ascii="Times New Roman" w:hAnsi="Times New Roman"/>
              </w:rPr>
              <w:t xml:space="preserve">Excellent </w:t>
            </w:r>
          </w:p>
          <w:p w14:paraId="341F2472">
            <w:pPr>
              <w:pStyle w:val="51"/>
              <w:numPr>
                <w:ilvl w:val="0"/>
                <w:numId w:val="26"/>
              </w:numPr>
              <w:spacing w:after="200" w:line="276" w:lineRule="auto"/>
              <w:rPr>
                <w:rFonts w:ascii="Times New Roman" w:hAnsi="Times New Roman"/>
              </w:rPr>
            </w:pPr>
            <w:r>
              <w:rPr>
                <w:rFonts w:ascii="Times New Roman" w:hAnsi="Times New Roman"/>
              </w:rPr>
              <w:t>Very good</w:t>
            </w:r>
          </w:p>
          <w:p w14:paraId="3766520C">
            <w:pPr>
              <w:pStyle w:val="51"/>
              <w:numPr>
                <w:ilvl w:val="0"/>
                <w:numId w:val="26"/>
              </w:numPr>
              <w:spacing w:after="200" w:line="276" w:lineRule="auto"/>
              <w:rPr>
                <w:rFonts w:ascii="Times New Roman" w:hAnsi="Times New Roman"/>
              </w:rPr>
            </w:pPr>
            <w:r>
              <w:rPr>
                <w:rFonts w:ascii="Times New Roman" w:hAnsi="Times New Roman"/>
              </w:rPr>
              <w:t xml:space="preserve"> God</w:t>
            </w:r>
          </w:p>
          <w:p w14:paraId="2944BFFF">
            <w:pPr>
              <w:pStyle w:val="51"/>
              <w:numPr>
                <w:ilvl w:val="0"/>
                <w:numId w:val="26"/>
              </w:numPr>
              <w:spacing w:after="200" w:line="276" w:lineRule="auto"/>
              <w:rPr>
                <w:rFonts w:ascii="Times New Roman" w:hAnsi="Times New Roman"/>
              </w:rPr>
            </w:pPr>
            <w:r>
              <w:rPr>
                <w:rFonts w:ascii="Times New Roman" w:hAnsi="Times New Roman"/>
              </w:rPr>
              <w:t>Not good</w:t>
            </w:r>
          </w:p>
          <w:p w14:paraId="68B28545">
            <w:pPr>
              <w:pStyle w:val="51"/>
              <w:numPr>
                <w:ilvl w:val="0"/>
                <w:numId w:val="26"/>
              </w:numPr>
              <w:spacing w:after="200" w:line="276" w:lineRule="auto"/>
              <w:rPr>
                <w:rFonts w:ascii="Times New Roman" w:hAnsi="Times New Roman"/>
              </w:rPr>
            </w:pPr>
            <w:r>
              <w:rPr>
                <w:rFonts w:ascii="Times New Roman" w:hAnsi="Times New Roman"/>
              </w:rPr>
              <w:t xml:space="preserve">Bad </w:t>
            </w:r>
          </w:p>
        </w:tc>
        <w:tc>
          <w:tcPr>
            <w:tcW w:w="1350" w:type="dxa"/>
          </w:tcPr>
          <w:p w14:paraId="018C3AAE">
            <w:pPr>
              <w:rPr>
                <w:rFonts w:ascii="Times New Roman" w:hAnsi="Times New Roman"/>
              </w:rPr>
            </w:pPr>
          </w:p>
        </w:tc>
      </w:tr>
      <w:tr w14:paraId="1565757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278" w:type="dxa"/>
          </w:tcPr>
          <w:p w14:paraId="29FCE483">
            <w:pPr>
              <w:rPr>
                <w:rFonts w:ascii="Times New Roman" w:hAnsi="Times New Roman"/>
              </w:rPr>
            </w:pPr>
            <w:r>
              <w:rPr>
                <w:rFonts w:ascii="Times New Roman" w:hAnsi="Times New Roman"/>
              </w:rPr>
              <w:t>43</w:t>
            </w:r>
          </w:p>
        </w:tc>
        <w:tc>
          <w:tcPr>
            <w:tcW w:w="4590" w:type="dxa"/>
          </w:tcPr>
          <w:p w14:paraId="4B5F8211">
            <w:pPr>
              <w:rPr>
                <w:rFonts w:ascii="Bookman Old Style" w:hAnsi="Bookman Old Style"/>
              </w:rPr>
            </w:pPr>
            <w:r>
              <w:rPr>
                <w:rFonts w:ascii="Bookman Old Style" w:hAnsi="Bookman Old Style"/>
              </w:rPr>
              <w:t>What is your attitude towards  health services</w:t>
            </w:r>
          </w:p>
        </w:tc>
        <w:tc>
          <w:tcPr>
            <w:tcW w:w="2520" w:type="dxa"/>
          </w:tcPr>
          <w:p w14:paraId="05CF1F6F">
            <w:pPr>
              <w:pStyle w:val="51"/>
              <w:numPr>
                <w:ilvl w:val="0"/>
                <w:numId w:val="27"/>
              </w:numPr>
              <w:rPr>
                <w:rFonts w:ascii="Times New Roman" w:hAnsi="Times New Roman"/>
              </w:rPr>
            </w:pPr>
            <w:r>
              <w:rPr>
                <w:rFonts w:ascii="Times New Roman" w:hAnsi="Times New Roman"/>
              </w:rPr>
              <w:t xml:space="preserve">Excellent </w:t>
            </w:r>
          </w:p>
          <w:p w14:paraId="52E712B9">
            <w:pPr>
              <w:pStyle w:val="51"/>
              <w:numPr>
                <w:ilvl w:val="0"/>
                <w:numId w:val="27"/>
              </w:numPr>
              <w:spacing w:after="200" w:line="276" w:lineRule="auto"/>
              <w:rPr>
                <w:rFonts w:ascii="Times New Roman" w:hAnsi="Times New Roman"/>
              </w:rPr>
            </w:pPr>
            <w:r>
              <w:rPr>
                <w:rFonts w:ascii="Times New Roman" w:hAnsi="Times New Roman"/>
              </w:rPr>
              <w:t>Very good</w:t>
            </w:r>
          </w:p>
          <w:p w14:paraId="7E46EF94">
            <w:pPr>
              <w:pStyle w:val="51"/>
              <w:numPr>
                <w:ilvl w:val="0"/>
                <w:numId w:val="27"/>
              </w:numPr>
              <w:spacing w:after="200" w:line="276" w:lineRule="auto"/>
              <w:rPr>
                <w:rFonts w:ascii="Times New Roman" w:hAnsi="Times New Roman"/>
              </w:rPr>
            </w:pPr>
            <w:r>
              <w:rPr>
                <w:rFonts w:ascii="Times New Roman" w:hAnsi="Times New Roman"/>
              </w:rPr>
              <w:t xml:space="preserve"> God</w:t>
            </w:r>
          </w:p>
          <w:p w14:paraId="377E1CBE">
            <w:pPr>
              <w:pStyle w:val="51"/>
              <w:numPr>
                <w:ilvl w:val="0"/>
                <w:numId w:val="27"/>
              </w:numPr>
              <w:spacing w:after="200" w:line="276" w:lineRule="auto"/>
              <w:rPr>
                <w:rFonts w:ascii="Times New Roman" w:hAnsi="Times New Roman"/>
              </w:rPr>
            </w:pPr>
            <w:r>
              <w:rPr>
                <w:rFonts w:ascii="Times New Roman" w:hAnsi="Times New Roman"/>
              </w:rPr>
              <w:t>Not good</w:t>
            </w:r>
          </w:p>
          <w:p w14:paraId="3EE6F499">
            <w:pPr>
              <w:pStyle w:val="51"/>
              <w:numPr>
                <w:ilvl w:val="0"/>
                <w:numId w:val="27"/>
              </w:numPr>
              <w:rPr>
                <w:rFonts w:ascii="Times New Roman" w:hAnsi="Times New Roman"/>
              </w:rPr>
            </w:pPr>
            <w:r>
              <w:rPr>
                <w:rFonts w:ascii="Times New Roman" w:hAnsi="Times New Roman"/>
              </w:rPr>
              <w:t>Bad</w:t>
            </w:r>
          </w:p>
        </w:tc>
        <w:tc>
          <w:tcPr>
            <w:tcW w:w="1350" w:type="dxa"/>
          </w:tcPr>
          <w:p w14:paraId="41206E9C">
            <w:pPr>
              <w:rPr>
                <w:rFonts w:ascii="Times New Roman" w:hAnsi="Times New Roman"/>
              </w:rPr>
            </w:pPr>
          </w:p>
        </w:tc>
      </w:tr>
    </w:tbl>
    <w:p w14:paraId="14AC981D">
      <w:pPr>
        <w:rPr>
          <w:rFonts w:ascii="Times New Roman" w:hAnsi="Times New Roman" w:cs="Times New Roman"/>
        </w:rPr>
      </w:pPr>
    </w:p>
    <w:p w14:paraId="101B2879">
      <w:pPr>
        <w:rPr>
          <w:rFonts w:ascii="Times New Roman" w:hAnsi="Times New Roman" w:cs="Times New Roman"/>
          <w:b/>
          <w:sz w:val="24"/>
          <w:szCs w:val="24"/>
        </w:rPr>
      </w:pPr>
    </w:p>
    <w:p w14:paraId="5EC29EE8">
      <w:pPr>
        <w:rPr>
          <w:rFonts w:ascii="Times New Roman" w:hAnsi="Times New Roman" w:cs="Times New Roman"/>
          <w:b/>
          <w:sz w:val="24"/>
          <w:szCs w:val="24"/>
        </w:rPr>
      </w:pPr>
    </w:p>
    <w:p w14:paraId="7E90A82D">
      <w:pPr>
        <w:rPr>
          <w:rFonts w:ascii="Times New Roman" w:hAnsi="Times New Roman" w:cs="Times New Roman"/>
          <w:b/>
          <w:sz w:val="24"/>
          <w:szCs w:val="24"/>
        </w:rPr>
      </w:pPr>
    </w:p>
    <w:p w14:paraId="4992DA3F">
      <w:pPr>
        <w:rPr>
          <w:rFonts w:ascii="Times New Roman" w:hAnsi="Times New Roman" w:cs="Times New Roman"/>
          <w:b/>
          <w:sz w:val="24"/>
          <w:szCs w:val="24"/>
        </w:rPr>
      </w:pPr>
    </w:p>
    <w:p w14:paraId="0703AE1D">
      <w:pPr>
        <w:rPr>
          <w:rFonts w:ascii="Times New Roman" w:hAnsi="Times New Roman" w:cs="Times New Roman"/>
          <w:b/>
          <w:sz w:val="24"/>
          <w:szCs w:val="24"/>
        </w:rPr>
      </w:pPr>
    </w:p>
    <w:p w14:paraId="11DE538D">
      <w:pPr>
        <w:rPr>
          <w:rFonts w:ascii="Times New Roman" w:hAnsi="Times New Roman" w:cs="Times New Roman"/>
          <w:b/>
          <w:sz w:val="24"/>
          <w:szCs w:val="24"/>
        </w:rPr>
      </w:pPr>
    </w:p>
    <w:p w14:paraId="6A86EA76">
      <w:pPr>
        <w:rPr>
          <w:rFonts w:ascii="Times New Roman" w:hAnsi="Times New Roman" w:cs="Times New Roman"/>
          <w:b/>
          <w:sz w:val="24"/>
          <w:szCs w:val="24"/>
        </w:rPr>
      </w:pPr>
    </w:p>
    <w:p w14:paraId="41B42527">
      <w:pPr>
        <w:rPr>
          <w:rFonts w:ascii="Times New Roman" w:hAnsi="Times New Roman" w:cs="Times New Roman"/>
          <w:b/>
          <w:sz w:val="24"/>
          <w:szCs w:val="24"/>
        </w:rPr>
      </w:pPr>
    </w:p>
    <w:p w14:paraId="1D37F413">
      <w:pPr>
        <w:rPr>
          <w:rFonts w:ascii="Times New Roman" w:hAnsi="Times New Roman" w:cs="Times New Roman"/>
          <w:b/>
          <w:sz w:val="24"/>
          <w:szCs w:val="24"/>
        </w:rPr>
      </w:pPr>
    </w:p>
    <w:p w14:paraId="64C9C02A">
      <w:pPr>
        <w:rPr>
          <w:rFonts w:ascii="Times New Roman" w:hAnsi="Times New Roman" w:cs="Times New Roman"/>
          <w:b/>
          <w:sz w:val="24"/>
          <w:szCs w:val="24"/>
        </w:rPr>
      </w:pPr>
    </w:p>
    <w:p w14:paraId="0F92F147">
      <w:pPr>
        <w:rPr>
          <w:rFonts w:ascii="Times New Roman" w:hAnsi="Times New Roman" w:cs="Times New Roman"/>
          <w:b/>
          <w:sz w:val="24"/>
          <w:szCs w:val="24"/>
        </w:rPr>
      </w:pPr>
    </w:p>
    <w:p w14:paraId="26B8522D">
      <w:pPr>
        <w:rPr>
          <w:rFonts w:ascii="Times New Roman" w:hAnsi="Times New Roman" w:cs="Times New Roman"/>
          <w:b/>
          <w:sz w:val="24"/>
          <w:szCs w:val="24"/>
        </w:rPr>
      </w:pPr>
    </w:p>
    <w:p w14:paraId="482E92F9">
      <w:pPr>
        <w:rPr>
          <w:rFonts w:ascii="Times New Roman" w:hAnsi="Times New Roman" w:cs="Times New Roman"/>
          <w:b/>
          <w:sz w:val="24"/>
          <w:szCs w:val="24"/>
        </w:rPr>
      </w:pPr>
    </w:p>
    <w:p w14:paraId="03A53108">
      <w:pPr>
        <w:rPr>
          <w:rFonts w:ascii="Times New Roman" w:hAnsi="Times New Roman" w:cs="Times New Roman"/>
          <w:b/>
          <w:sz w:val="24"/>
          <w:szCs w:val="24"/>
        </w:rPr>
      </w:pPr>
    </w:p>
    <w:p w14:paraId="6158ACCA">
      <w:pPr>
        <w:rPr>
          <w:rFonts w:ascii="Times New Roman" w:hAnsi="Times New Roman" w:cs="Times New Roman"/>
          <w:b/>
          <w:sz w:val="24"/>
          <w:szCs w:val="24"/>
        </w:rPr>
      </w:pPr>
    </w:p>
    <w:p w14:paraId="4AD779B5">
      <w:pPr>
        <w:rPr>
          <w:rFonts w:ascii="Times New Roman" w:hAnsi="Times New Roman" w:cs="Times New Roman"/>
          <w:b/>
          <w:sz w:val="24"/>
          <w:szCs w:val="24"/>
        </w:rPr>
      </w:pPr>
    </w:p>
    <w:p w14:paraId="2101513E">
      <w:pPr>
        <w:rPr>
          <w:rFonts w:ascii="Times New Roman" w:hAnsi="Times New Roman" w:cs="Times New Roman"/>
          <w:b/>
          <w:sz w:val="24"/>
          <w:szCs w:val="24"/>
        </w:rPr>
      </w:pPr>
    </w:p>
    <w:p w14:paraId="6B3F25F5">
      <w:pPr>
        <w:spacing w:after="200" w:line="276" w:lineRule="auto"/>
        <w:rPr>
          <w:rFonts w:ascii="Times New Roman" w:hAnsi="Times New Roman" w:cs="Times New Roman"/>
          <w:b/>
          <w:sz w:val="24"/>
          <w:szCs w:val="24"/>
        </w:rPr>
      </w:pPr>
      <w:r>
        <w:rPr>
          <w:rFonts w:ascii="Times New Roman" w:hAnsi="Times New Roman" w:cs="Times New Roman"/>
          <w:b/>
          <w:sz w:val="24"/>
          <w:szCs w:val="24"/>
        </w:rPr>
        <w:br w:type="page"/>
      </w:r>
    </w:p>
    <w:p w14:paraId="580736C2">
      <w:pPr>
        <w:rPr>
          <w:rFonts w:ascii="Times New Roman" w:hAnsi="Times New Roman" w:cs="Times New Roman"/>
          <w:b/>
          <w:sz w:val="24"/>
          <w:szCs w:val="24"/>
        </w:rPr>
      </w:pPr>
    </w:p>
    <w:p w14:paraId="4559CFEA">
      <w:pPr>
        <w:pStyle w:val="51"/>
        <w:numPr>
          <w:ilvl w:val="0"/>
          <w:numId w:val="28"/>
        </w:numPr>
        <w:spacing w:line="360" w:lineRule="auto"/>
        <w:rPr>
          <w:rFonts w:ascii="Times New Roman" w:hAnsi="Times New Roman" w:cs="Times New Roman"/>
          <w:b/>
          <w:sz w:val="24"/>
          <w:szCs w:val="24"/>
        </w:rPr>
      </w:pPr>
      <w:r>
        <w:rPr>
          <w:rFonts w:ascii="Times New Roman" w:hAnsi="Times New Roman" w:cs="Times New Roman"/>
          <w:b/>
          <w:sz w:val="24"/>
          <w:szCs w:val="24"/>
        </w:rPr>
        <w:t>Unka hayyamaawalligaltee</w:t>
      </w:r>
    </w:p>
    <w:p w14:paraId="17B12BBE">
      <w:pPr>
        <w:spacing w:line="360" w:lineRule="auto"/>
        <w:rPr>
          <w:rFonts w:ascii="Times New Roman" w:hAnsi="Times New Roman" w:cs="Times New Roman"/>
          <w:b/>
          <w:sz w:val="24"/>
          <w:szCs w:val="24"/>
        </w:rPr>
      </w:pPr>
    </w:p>
    <w:p w14:paraId="47EC4F22">
      <w:pPr>
        <w:spacing w:line="360" w:lineRule="auto"/>
        <w:rPr>
          <w:rFonts w:ascii="Times New Roman" w:hAnsi="Times New Roman" w:cs="Times New Roman"/>
          <w:sz w:val="24"/>
          <w:szCs w:val="24"/>
        </w:rPr>
      </w:pPr>
      <w:r>
        <w:rPr>
          <w:rFonts w:ascii="Times New Roman" w:hAnsi="Times New Roman" w:cs="Times New Roman"/>
          <w:sz w:val="24"/>
          <w:szCs w:val="24"/>
        </w:rPr>
        <w:t>Nagaa bultanii/ooltani, ani barataa uivarsitii wallaggaa inistiitute fayyaa muummee public health sagantaa MPH baradha. Amma  haadholii  tajaajila  talaallii  irratti  hirmaatan biratt daa’imman issanii talaallii  busaa talaalsisisuuf fedhii  qaban ilaalchisee odeeffannoo  walitti  qabuufi deema.  Dhaabbata  fayyaa  kana  keessatti  odeeffannoo isin kennuufi  adeemtan dhoksaan akka  qabamu malee  maqqan  keessan akka  hinbarbaachifne siif  mirkaneessa. Kanaafi  gaaffilee  deebisufs ta’e deebii  kennuu  dhiisuufi bilisa nitaata. Deggersiifi  fedhiin  keessan gaaffilee  deebisuufi  qabdan milkaa’ina  qorannoo  kanaafi baayyee  barbaachisaa  waan  ta’eefi gaaffilee  isin  gaafachuufi  deemu deebisuufi  tumsa  keessan  na barbaachisa.</w:t>
      </w:r>
    </w:p>
    <w:p w14:paraId="0E075FF0">
      <w:pPr>
        <w:spacing w:line="360" w:lineRule="auto"/>
        <w:rPr>
          <w:rFonts w:ascii="Times New Roman" w:hAnsi="Times New Roman" w:cs="Times New Roman"/>
          <w:sz w:val="24"/>
          <w:szCs w:val="24"/>
        </w:rPr>
      </w:pPr>
    </w:p>
    <w:p w14:paraId="00478BEC">
      <w:pPr>
        <w:pStyle w:val="51"/>
        <w:numPr>
          <w:ilvl w:val="0"/>
          <w:numId w:val="28"/>
        </w:numPr>
        <w:spacing w:line="360" w:lineRule="auto"/>
        <w:rPr>
          <w:rFonts w:ascii="Times New Roman" w:hAnsi="Times New Roman" w:cs="Times New Roman"/>
          <w:b/>
          <w:sz w:val="24"/>
          <w:szCs w:val="24"/>
        </w:rPr>
      </w:pPr>
      <w:r>
        <w:rPr>
          <w:rFonts w:ascii="Times New Roman" w:hAnsi="Times New Roman" w:cs="Times New Roman"/>
          <w:b/>
          <w:sz w:val="24"/>
          <w:szCs w:val="24"/>
        </w:rPr>
        <w:t>Gaaffii</w:t>
      </w:r>
    </w:p>
    <w:p w14:paraId="71AC856A">
      <w:pPr>
        <w:spacing w:line="360" w:lineRule="auto"/>
        <w:ind w:left="60"/>
        <w:rPr>
          <w:rFonts w:ascii="Times New Roman" w:hAnsi="Times New Roman" w:cs="Times New Roman"/>
          <w:b/>
          <w:sz w:val="24"/>
          <w:szCs w:val="24"/>
        </w:rPr>
      </w:pPr>
      <w:r>
        <w:rPr>
          <w:rFonts w:ascii="Times New Roman" w:hAnsi="Times New Roman" w:cs="Times New Roman"/>
          <w:b/>
          <w:sz w:val="24"/>
          <w:szCs w:val="24"/>
        </w:rPr>
        <w:t>Kutaa I Gaaffii hawummaa</w:t>
      </w:r>
    </w:p>
    <w:tbl>
      <w:tblPr>
        <w:tblStyle w:val="66"/>
        <w:tblW w:w="10255" w:type="dxa"/>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827"/>
        <w:gridCol w:w="3668"/>
        <w:gridCol w:w="4230"/>
        <w:gridCol w:w="1530"/>
      </w:tblGrid>
      <w:tr w14:paraId="1150000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7" w:type="dxa"/>
          </w:tcPr>
          <w:p w14:paraId="7D3329FA">
            <w:pPr>
              <w:spacing w:line="360" w:lineRule="auto"/>
              <w:rPr>
                <w:rFonts w:ascii="Times New Roman" w:hAnsi="Times New Roman"/>
                <w:sz w:val="24"/>
                <w:szCs w:val="24"/>
              </w:rPr>
            </w:pPr>
            <w:r>
              <w:rPr>
                <w:rFonts w:ascii="Times New Roman" w:hAnsi="Times New Roman"/>
                <w:sz w:val="24"/>
                <w:szCs w:val="24"/>
              </w:rPr>
              <w:t>koodi</w:t>
            </w:r>
          </w:p>
        </w:tc>
        <w:tc>
          <w:tcPr>
            <w:tcW w:w="3668" w:type="dxa"/>
          </w:tcPr>
          <w:p w14:paraId="41B82209">
            <w:pPr>
              <w:spacing w:line="360" w:lineRule="auto"/>
              <w:rPr>
                <w:rFonts w:ascii="Times New Roman" w:hAnsi="Times New Roman"/>
                <w:sz w:val="24"/>
                <w:szCs w:val="24"/>
              </w:rPr>
            </w:pPr>
            <w:r>
              <w:rPr>
                <w:rFonts w:ascii="Times New Roman" w:hAnsi="Times New Roman"/>
                <w:sz w:val="24"/>
                <w:szCs w:val="24"/>
              </w:rPr>
              <w:t>Gaaffii</w:t>
            </w:r>
          </w:p>
        </w:tc>
        <w:tc>
          <w:tcPr>
            <w:tcW w:w="4230" w:type="dxa"/>
          </w:tcPr>
          <w:p w14:paraId="46147258">
            <w:pPr>
              <w:spacing w:line="360" w:lineRule="auto"/>
              <w:rPr>
                <w:rFonts w:ascii="Times New Roman" w:hAnsi="Times New Roman"/>
                <w:sz w:val="24"/>
                <w:szCs w:val="24"/>
              </w:rPr>
            </w:pPr>
            <w:r>
              <w:rPr>
                <w:rFonts w:ascii="Times New Roman" w:hAnsi="Times New Roman"/>
                <w:sz w:val="24"/>
                <w:szCs w:val="24"/>
              </w:rPr>
              <w:t>Deebii</w:t>
            </w:r>
          </w:p>
        </w:tc>
        <w:tc>
          <w:tcPr>
            <w:tcW w:w="1530" w:type="dxa"/>
          </w:tcPr>
          <w:p w14:paraId="5E4776D9">
            <w:pPr>
              <w:spacing w:line="360" w:lineRule="auto"/>
              <w:rPr>
                <w:rFonts w:ascii="Times New Roman" w:hAnsi="Times New Roman"/>
                <w:sz w:val="24"/>
                <w:szCs w:val="24"/>
              </w:rPr>
            </w:pPr>
            <w:r>
              <w:rPr>
                <w:rFonts w:ascii="Times New Roman" w:hAnsi="Times New Roman"/>
                <w:sz w:val="24"/>
                <w:szCs w:val="24"/>
              </w:rPr>
              <w:t>Darbi</w:t>
            </w:r>
          </w:p>
        </w:tc>
      </w:tr>
      <w:tr w14:paraId="7818105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7" w:type="dxa"/>
          </w:tcPr>
          <w:p w14:paraId="23D360FC">
            <w:pPr>
              <w:spacing w:line="360" w:lineRule="auto"/>
              <w:rPr>
                <w:rFonts w:ascii="Times New Roman" w:hAnsi="Times New Roman"/>
                <w:sz w:val="24"/>
                <w:szCs w:val="24"/>
              </w:rPr>
            </w:pPr>
            <w:r>
              <w:rPr>
                <w:rFonts w:ascii="Times New Roman" w:hAnsi="Times New Roman"/>
                <w:sz w:val="24"/>
                <w:szCs w:val="24"/>
              </w:rPr>
              <w:br w:type="page"/>
            </w:r>
            <w:r>
              <w:rPr>
                <w:rFonts w:ascii="Times New Roman" w:hAnsi="Times New Roman"/>
                <w:sz w:val="24"/>
                <w:szCs w:val="24"/>
              </w:rPr>
              <w:t>01</w:t>
            </w:r>
          </w:p>
        </w:tc>
        <w:tc>
          <w:tcPr>
            <w:tcW w:w="3668" w:type="dxa"/>
          </w:tcPr>
          <w:p w14:paraId="040F5234">
            <w:pPr>
              <w:spacing w:line="360" w:lineRule="auto"/>
              <w:rPr>
                <w:rFonts w:ascii="Times New Roman" w:hAnsi="Times New Roman"/>
                <w:sz w:val="24"/>
                <w:szCs w:val="24"/>
              </w:rPr>
            </w:pPr>
            <w:r>
              <w:rPr>
                <w:rFonts w:ascii="Times New Roman" w:hAnsi="Times New Roman"/>
                <w:sz w:val="24"/>
                <w:szCs w:val="24"/>
              </w:rPr>
              <w:t>Saala mucaa</w:t>
            </w:r>
          </w:p>
        </w:tc>
        <w:tc>
          <w:tcPr>
            <w:tcW w:w="4230" w:type="dxa"/>
          </w:tcPr>
          <w:p w14:paraId="6D70D3F7">
            <w:pPr>
              <w:pStyle w:val="51"/>
              <w:numPr>
                <w:ilvl w:val="0"/>
                <w:numId w:val="29"/>
              </w:numPr>
              <w:spacing w:line="360" w:lineRule="auto"/>
              <w:rPr>
                <w:rFonts w:ascii="Times New Roman" w:hAnsi="Times New Roman"/>
                <w:sz w:val="24"/>
                <w:szCs w:val="24"/>
              </w:rPr>
            </w:pPr>
            <w:r>
              <w:rPr>
                <w:rFonts w:ascii="Times New Roman" w:hAnsi="Times New Roman"/>
                <w:sz w:val="24"/>
                <w:szCs w:val="24"/>
              </w:rPr>
              <w:t>Dhi    B,Dur</w:t>
            </w:r>
          </w:p>
        </w:tc>
        <w:tc>
          <w:tcPr>
            <w:tcW w:w="1530" w:type="dxa"/>
          </w:tcPr>
          <w:p w14:paraId="088C9C87">
            <w:pPr>
              <w:spacing w:line="360" w:lineRule="auto"/>
              <w:rPr>
                <w:rFonts w:ascii="Times New Roman" w:hAnsi="Times New Roman"/>
                <w:sz w:val="24"/>
                <w:szCs w:val="24"/>
              </w:rPr>
            </w:pPr>
          </w:p>
        </w:tc>
      </w:tr>
      <w:tr w14:paraId="55D9463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7" w:type="dxa"/>
          </w:tcPr>
          <w:p w14:paraId="3A21E9DE">
            <w:pPr>
              <w:spacing w:line="360" w:lineRule="auto"/>
              <w:rPr>
                <w:rFonts w:ascii="Times New Roman" w:hAnsi="Times New Roman"/>
                <w:sz w:val="24"/>
                <w:szCs w:val="24"/>
              </w:rPr>
            </w:pPr>
            <w:r>
              <w:rPr>
                <w:rFonts w:ascii="Times New Roman" w:hAnsi="Times New Roman"/>
                <w:sz w:val="24"/>
                <w:szCs w:val="24"/>
              </w:rPr>
              <w:t>02</w:t>
            </w:r>
          </w:p>
        </w:tc>
        <w:tc>
          <w:tcPr>
            <w:tcW w:w="3668" w:type="dxa"/>
          </w:tcPr>
          <w:p w14:paraId="5E2B8E8B">
            <w:pPr>
              <w:spacing w:line="360" w:lineRule="auto"/>
              <w:rPr>
                <w:rFonts w:ascii="Times New Roman" w:hAnsi="Times New Roman"/>
                <w:sz w:val="24"/>
                <w:szCs w:val="24"/>
              </w:rPr>
            </w:pPr>
            <w:r>
              <w:rPr>
                <w:rFonts w:ascii="Times New Roman" w:hAnsi="Times New Roman"/>
                <w:sz w:val="24"/>
                <w:szCs w:val="24"/>
              </w:rPr>
              <w:t>Umurii  haadhaa</w:t>
            </w:r>
          </w:p>
        </w:tc>
        <w:tc>
          <w:tcPr>
            <w:tcW w:w="4230" w:type="dxa"/>
          </w:tcPr>
          <w:p w14:paraId="0CB15C6B">
            <w:pPr>
              <w:pStyle w:val="51"/>
              <w:numPr>
                <w:ilvl w:val="0"/>
                <w:numId w:val="30"/>
              </w:numPr>
              <w:spacing w:line="360" w:lineRule="auto"/>
              <w:rPr>
                <w:rFonts w:ascii="Times New Roman" w:hAnsi="Times New Roman"/>
                <w:sz w:val="24"/>
                <w:szCs w:val="24"/>
              </w:rPr>
            </w:pPr>
            <w:r>
              <w:rPr>
                <w:rFonts w:ascii="Times New Roman" w:hAnsi="Times New Roman"/>
                <w:sz w:val="24"/>
                <w:szCs w:val="24"/>
              </w:rPr>
              <w:t xml:space="preserve">18-28    C.29-39   </w:t>
            </w:r>
          </w:p>
          <w:p w14:paraId="40EBBBAA">
            <w:pPr>
              <w:pStyle w:val="51"/>
              <w:numPr>
                <w:ilvl w:val="0"/>
                <w:numId w:val="30"/>
              </w:numPr>
              <w:spacing w:line="360" w:lineRule="auto"/>
              <w:rPr>
                <w:rFonts w:ascii="Times New Roman" w:hAnsi="Times New Roman"/>
                <w:sz w:val="24"/>
                <w:szCs w:val="24"/>
              </w:rPr>
            </w:pPr>
            <w:r>
              <w:rPr>
                <w:rFonts w:ascii="Times New Roman" w:hAnsi="Times New Roman"/>
                <w:sz w:val="24"/>
                <w:szCs w:val="24"/>
              </w:rPr>
              <w:t>40-49   D. &gt;50</w:t>
            </w:r>
          </w:p>
        </w:tc>
        <w:tc>
          <w:tcPr>
            <w:tcW w:w="1530" w:type="dxa"/>
          </w:tcPr>
          <w:p w14:paraId="714B70FA">
            <w:pPr>
              <w:spacing w:line="360" w:lineRule="auto"/>
              <w:rPr>
                <w:rFonts w:ascii="Times New Roman" w:hAnsi="Times New Roman"/>
                <w:sz w:val="24"/>
                <w:szCs w:val="24"/>
              </w:rPr>
            </w:pPr>
          </w:p>
        </w:tc>
      </w:tr>
      <w:tr w14:paraId="7D2763D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7" w:type="dxa"/>
          </w:tcPr>
          <w:p w14:paraId="4F05F090">
            <w:pPr>
              <w:spacing w:line="360" w:lineRule="auto"/>
              <w:rPr>
                <w:rFonts w:ascii="Times New Roman" w:hAnsi="Times New Roman"/>
                <w:sz w:val="24"/>
                <w:szCs w:val="24"/>
              </w:rPr>
            </w:pPr>
            <w:r>
              <w:rPr>
                <w:rFonts w:ascii="Times New Roman" w:hAnsi="Times New Roman"/>
                <w:sz w:val="24"/>
                <w:szCs w:val="24"/>
              </w:rPr>
              <w:t>03</w:t>
            </w:r>
          </w:p>
        </w:tc>
        <w:tc>
          <w:tcPr>
            <w:tcW w:w="3668" w:type="dxa"/>
          </w:tcPr>
          <w:p w14:paraId="22D176B6">
            <w:pPr>
              <w:spacing w:line="360" w:lineRule="auto"/>
              <w:rPr>
                <w:rFonts w:ascii="Times New Roman" w:hAnsi="Times New Roman"/>
                <w:sz w:val="24"/>
                <w:szCs w:val="24"/>
              </w:rPr>
            </w:pPr>
            <w:r>
              <w:rPr>
                <w:rFonts w:ascii="Times New Roman" w:hAnsi="Times New Roman"/>
                <w:sz w:val="24"/>
                <w:szCs w:val="24"/>
              </w:rPr>
              <w:t>Umurii  mucaa</w:t>
            </w:r>
          </w:p>
        </w:tc>
        <w:tc>
          <w:tcPr>
            <w:tcW w:w="4230" w:type="dxa"/>
          </w:tcPr>
          <w:p w14:paraId="6390B5C0">
            <w:pPr>
              <w:pStyle w:val="51"/>
              <w:numPr>
                <w:ilvl w:val="0"/>
                <w:numId w:val="31"/>
              </w:numPr>
              <w:spacing w:line="360" w:lineRule="auto"/>
              <w:rPr>
                <w:rFonts w:ascii="Times New Roman" w:hAnsi="Times New Roman"/>
                <w:sz w:val="24"/>
                <w:szCs w:val="24"/>
              </w:rPr>
            </w:pPr>
            <w:r>
              <w:rPr>
                <w:rFonts w:ascii="Times New Roman" w:hAnsi="Times New Roman"/>
                <w:sz w:val="24"/>
                <w:szCs w:val="24"/>
              </w:rPr>
              <w:t>JI’a 1-5   c. ji’a10-15</w:t>
            </w:r>
          </w:p>
          <w:p w14:paraId="16BCFC0B">
            <w:pPr>
              <w:pStyle w:val="51"/>
              <w:numPr>
                <w:ilvl w:val="0"/>
                <w:numId w:val="31"/>
              </w:numPr>
              <w:spacing w:line="360" w:lineRule="auto"/>
              <w:rPr>
                <w:rFonts w:ascii="Times New Roman" w:hAnsi="Times New Roman"/>
                <w:sz w:val="24"/>
                <w:szCs w:val="24"/>
              </w:rPr>
            </w:pPr>
            <w:r>
              <w:rPr>
                <w:rFonts w:ascii="Times New Roman" w:hAnsi="Times New Roman"/>
                <w:sz w:val="24"/>
                <w:szCs w:val="24"/>
              </w:rPr>
              <w:t xml:space="preserve">Ji’a6-9    D.ji’a16-18 </w:t>
            </w:r>
          </w:p>
        </w:tc>
        <w:tc>
          <w:tcPr>
            <w:tcW w:w="1530" w:type="dxa"/>
          </w:tcPr>
          <w:p w14:paraId="79AF680E">
            <w:pPr>
              <w:spacing w:line="360" w:lineRule="auto"/>
              <w:rPr>
                <w:rFonts w:ascii="Times New Roman" w:hAnsi="Times New Roman"/>
                <w:sz w:val="24"/>
                <w:szCs w:val="24"/>
              </w:rPr>
            </w:pPr>
          </w:p>
        </w:tc>
      </w:tr>
      <w:tr w14:paraId="221772F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7" w:type="dxa"/>
          </w:tcPr>
          <w:p w14:paraId="1CD8B033">
            <w:pPr>
              <w:spacing w:line="360" w:lineRule="auto"/>
              <w:rPr>
                <w:rFonts w:ascii="Times New Roman" w:hAnsi="Times New Roman"/>
                <w:sz w:val="24"/>
                <w:szCs w:val="24"/>
              </w:rPr>
            </w:pPr>
            <w:r>
              <w:rPr>
                <w:rFonts w:ascii="Times New Roman" w:hAnsi="Times New Roman"/>
                <w:sz w:val="24"/>
                <w:szCs w:val="24"/>
              </w:rPr>
              <w:t>04</w:t>
            </w:r>
          </w:p>
        </w:tc>
        <w:tc>
          <w:tcPr>
            <w:tcW w:w="3668" w:type="dxa"/>
          </w:tcPr>
          <w:p w14:paraId="210DBDBD">
            <w:pPr>
              <w:spacing w:line="360" w:lineRule="auto"/>
              <w:rPr>
                <w:rFonts w:ascii="Times New Roman" w:hAnsi="Times New Roman"/>
                <w:sz w:val="24"/>
                <w:szCs w:val="24"/>
              </w:rPr>
            </w:pPr>
            <w:r>
              <w:rPr>
                <w:rFonts w:ascii="Times New Roman" w:hAnsi="Times New Roman"/>
                <w:sz w:val="24"/>
                <w:szCs w:val="24"/>
              </w:rPr>
              <w:t>Bakka jieenyaa</w:t>
            </w:r>
          </w:p>
        </w:tc>
        <w:tc>
          <w:tcPr>
            <w:tcW w:w="4230" w:type="dxa"/>
          </w:tcPr>
          <w:p w14:paraId="49B6B642">
            <w:pPr>
              <w:pStyle w:val="51"/>
              <w:numPr>
                <w:ilvl w:val="0"/>
                <w:numId w:val="32"/>
              </w:numPr>
              <w:spacing w:line="360" w:lineRule="auto"/>
              <w:rPr>
                <w:rFonts w:ascii="Times New Roman" w:hAnsi="Times New Roman"/>
                <w:sz w:val="24"/>
                <w:szCs w:val="24"/>
              </w:rPr>
            </w:pPr>
            <w:r>
              <w:rPr>
                <w:rFonts w:ascii="Times New Roman" w:hAnsi="Times New Roman"/>
                <w:sz w:val="24"/>
                <w:szCs w:val="24"/>
              </w:rPr>
              <w:t>Magaalaa      B.baadiyyaa</w:t>
            </w:r>
          </w:p>
        </w:tc>
        <w:tc>
          <w:tcPr>
            <w:tcW w:w="1530" w:type="dxa"/>
          </w:tcPr>
          <w:p w14:paraId="32903798">
            <w:pPr>
              <w:spacing w:line="360" w:lineRule="auto"/>
              <w:rPr>
                <w:rFonts w:ascii="Times New Roman" w:hAnsi="Times New Roman"/>
                <w:sz w:val="24"/>
                <w:szCs w:val="24"/>
              </w:rPr>
            </w:pPr>
          </w:p>
        </w:tc>
      </w:tr>
      <w:tr w14:paraId="04833C9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7" w:type="dxa"/>
          </w:tcPr>
          <w:p w14:paraId="6C2AE3F6">
            <w:pPr>
              <w:spacing w:line="360" w:lineRule="auto"/>
              <w:rPr>
                <w:rFonts w:ascii="Times New Roman" w:hAnsi="Times New Roman"/>
                <w:sz w:val="24"/>
                <w:szCs w:val="24"/>
              </w:rPr>
            </w:pPr>
            <w:r>
              <w:rPr>
                <w:rFonts w:ascii="Times New Roman" w:hAnsi="Times New Roman"/>
                <w:sz w:val="24"/>
                <w:szCs w:val="24"/>
              </w:rPr>
              <w:t>05</w:t>
            </w:r>
          </w:p>
        </w:tc>
        <w:tc>
          <w:tcPr>
            <w:tcW w:w="3668" w:type="dxa"/>
          </w:tcPr>
          <w:p w14:paraId="01A858E3">
            <w:pPr>
              <w:spacing w:line="360" w:lineRule="auto"/>
              <w:rPr>
                <w:rFonts w:ascii="Times New Roman" w:hAnsi="Times New Roman"/>
                <w:sz w:val="24"/>
                <w:szCs w:val="24"/>
              </w:rPr>
            </w:pPr>
            <w:r>
              <w:rPr>
                <w:rFonts w:ascii="Times New Roman" w:hAnsi="Times New Roman"/>
                <w:sz w:val="24"/>
                <w:szCs w:val="24"/>
              </w:rPr>
              <w:t>Amantaa</w:t>
            </w:r>
          </w:p>
        </w:tc>
        <w:tc>
          <w:tcPr>
            <w:tcW w:w="4230" w:type="dxa"/>
          </w:tcPr>
          <w:p w14:paraId="3B415585">
            <w:pPr>
              <w:pStyle w:val="51"/>
              <w:numPr>
                <w:ilvl w:val="0"/>
                <w:numId w:val="33"/>
              </w:numPr>
              <w:spacing w:line="360" w:lineRule="auto"/>
              <w:rPr>
                <w:rFonts w:ascii="Times New Roman" w:hAnsi="Times New Roman"/>
                <w:sz w:val="24"/>
                <w:szCs w:val="24"/>
              </w:rPr>
            </w:pPr>
            <w:r>
              <w:rPr>
                <w:rFonts w:ascii="Times New Roman" w:hAnsi="Times New Roman"/>
                <w:sz w:val="24"/>
                <w:szCs w:val="24"/>
              </w:rPr>
              <w:t>Ortodaksii      c. prptemtaastii</w:t>
            </w:r>
          </w:p>
          <w:p w14:paraId="73AE9884">
            <w:pPr>
              <w:pStyle w:val="51"/>
              <w:numPr>
                <w:ilvl w:val="0"/>
                <w:numId w:val="33"/>
              </w:numPr>
              <w:spacing w:line="360" w:lineRule="auto"/>
              <w:rPr>
                <w:rFonts w:ascii="Times New Roman" w:hAnsi="Times New Roman"/>
                <w:sz w:val="24"/>
                <w:szCs w:val="24"/>
              </w:rPr>
            </w:pPr>
            <w:r>
              <w:rPr>
                <w:rFonts w:ascii="Times New Roman" w:hAnsi="Times New Roman"/>
                <w:sz w:val="24"/>
                <w:szCs w:val="24"/>
              </w:rPr>
              <w:t>Musliima    D. kanbiroo</w:t>
            </w:r>
          </w:p>
        </w:tc>
        <w:tc>
          <w:tcPr>
            <w:tcW w:w="1530" w:type="dxa"/>
          </w:tcPr>
          <w:p w14:paraId="5784A93F">
            <w:pPr>
              <w:spacing w:line="360" w:lineRule="auto"/>
              <w:rPr>
                <w:rFonts w:ascii="Times New Roman" w:hAnsi="Times New Roman"/>
                <w:sz w:val="24"/>
                <w:szCs w:val="24"/>
              </w:rPr>
            </w:pPr>
          </w:p>
        </w:tc>
      </w:tr>
      <w:tr w14:paraId="1B28A55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7" w:type="dxa"/>
          </w:tcPr>
          <w:p w14:paraId="05EE7156">
            <w:pPr>
              <w:spacing w:line="360" w:lineRule="auto"/>
              <w:rPr>
                <w:rFonts w:ascii="Times New Roman" w:hAnsi="Times New Roman"/>
                <w:sz w:val="24"/>
                <w:szCs w:val="24"/>
              </w:rPr>
            </w:pPr>
            <w:r>
              <w:rPr>
                <w:rFonts w:ascii="Times New Roman" w:hAnsi="Times New Roman"/>
                <w:sz w:val="24"/>
                <w:szCs w:val="24"/>
              </w:rPr>
              <w:t>06</w:t>
            </w:r>
          </w:p>
        </w:tc>
        <w:tc>
          <w:tcPr>
            <w:tcW w:w="3668" w:type="dxa"/>
          </w:tcPr>
          <w:p w14:paraId="3D1CF292">
            <w:pPr>
              <w:spacing w:line="360" w:lineRule="auto"/>
              <w:rPr>
                <w:rFonts w:ascii="Times New Roman" w:hAnsi="Times New Roman"/>
                <w:sz w:val="24"/>
                <w:szCs w:val="24"/>
              </w:rPr>
            </w:pPr>
            <w:r>
              <w:rPr>
                <w:rFonts w:ascii="Times New Roman" w:hAnsi="Times New Roman"/>
                <w:sz w:val="24"/>
                <w:szCs w:val="24"/>
              </w:rPr>
              <w:t>Sabummaa</w:t>
            </w:r>
          </w:p>
        </w:tc>
        <w:tc>
          <w:tcPr>
            <w:tcW w:w="4230" w:type="dxa"/>
          </w:tcPr>
          <w:p w14:paraId="2FEAEBB6">
            <w:pPr>
              <w:pStyle w:val="51"/>
              <w:numPr>
                <w:ilvl w:val="0"/>
                <w:numId w:val="34"/>
              </w:numPr>
              <w:spacing w:line="360" w:lineRule="auto"/>
              <w:rPr>
                <w:rFonts w:ascii="Times New Roman" w:hAnsi="Times New Roman"/>
                <w:sz w:val="24"/>
                <w:szCs w:val="24"/>
              </w:rPr>
            </w:pPr>
            <w:r>
              <w:rPr>
                <w:rFonts w:ascii="Times New Roman" w:hAnsi="Times New Roman"/>
                <w:sz w:val="24"/>
                <w:szCs w:val="24"/>
              </w:rPr>
              <w:t>Oromoo     c. tigiree</w:t>
            </w:r>
          </w:p>
          <w:p w14:paraId="32327196">
            <w:pPr>
              <w:pStyle w:val="51"/>
              <w:numPr>
                <w:ilvl w:val="0"/>
                <w:numId w:val="34"/>
              </w:numPr>
              <w:spacing w:line="360" w:lineRule="auto"/>
              <w:rPr>
                <w:rFonts w:ascii="Times New Roman" w:hAnsi="Times New Roman"/>
                <w:sz w:val="24"/>
                <w:szCs w:val="24"/>
              </w:rPr>
            </w:pPr>
            <w:r>
              <w:rPr>
                <w:rFonts w:ascii="Times New Roman" w:hAnsi="Times New Roman"/>
                <w:sz w:val="24"/>
                <w:szCs w:val="24"/>
              </w:rPr>
              <w:t>Amaara    D. Guraage   E. kanbiroo</w:t>
            </w:r>
          </w:p>
        </w:tc>
        <w:tc>
          <w:tcPr>
            <w:tcW w:w="1530" w:type="dxa"/>
          </w:tcPr>
          <w:p w14:paraId="31F3347C">
            <w:pPr>
              <w:spacing w:line="360" w:lineRule="auto"/>
              <w:rPr>
                <w:rFonts w:ascii="Times New Roman" w:hAnsi="Times New Roman"/>
                <w:sz w:val="24"/>
                <w:szCs w:val="24"/>
              </w:rPr>
            </w:pPr>
          </w:p>
        </w:tc>
      </w:tr>
      <w:tr w14:paraId="4EFD1CB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7" w:type="dxa"/>
          </w:tcPr>
          <w:p w14:paraId="3569EE22">
            <w:pPr>
              <w:spacing w:line="360" w:lineRule="auto"/>
              <w:rPr>
                <w:rFonts w:ascii="Times New Roman" w:hAnsi="Times New Roman"/>
                <w:sz w:val="24"/>
                <w:szCs w:val="24"/>
              </w:rPr>
            </w:pPr>
            <w:r>
              <w:rPr>
                <w:rFonts w:ascii="Times New Roman" w:hAnsi="Times New Roman"/>
                <w:sz w:val="24"/>
                <w:szCs w:val="24"/>
              </w:rPr>
              <w:t>07</w:t>
            </w:r>
          </w:p>
        </w:tc>
        <w:tc>
          <w:tcPr>
            <w:tcW w:w="3668" w:type="dxa"/>
          </w:tcPr>
          <w:p w14:paraId="043410C6">
            <w:pPr>
              <w:spacing w:line="360" w:lineRule="auto"/>
              <w:rPr>
                <w:rFonts w:ascii="Times New Roman" w:hAnsi="Times New Roman"/>
                <w:sz w:val="24"/>
                <w:szCs w:val="24"/>
              </w:rPr>
            </w:pPr>
            <w:r>
              <w:rPr>
                <w:rFonts w:ascii="Times New Roman" w:hAnsi="Times New Roman"/>
                <w:sz w:val="24"/>
                <w:szCs w:val="24"/>
              </w:rPr>
              <w:t>Sadarkaa barumsaa</w:t>
            </w:r>
          </w:p>
        </w:tc>
        <w:tc>
          <w:tcPr>
            <w:tcW w:w="4230" w:type="dxa"/>
          </w:tcPr>
          <w:p w14:paraId="4AF3CCF6">
            <w:pPr>
              <w:pStyle w:val="51"/>
              <w:numPr>
                <w:ilvl w:val="0"/>
                <w:numId w:val="35"/>
              </w:numPr>
              <w:spacing w:line="360" w:lineRule="auto"/>
              <w:rPr>
                <w:rFonts w:ascii="Times New Roman" w:hAnsi="Times New Roman"/>
                <w:sz w:val="24"/>
                <w:szCs w:val="24"/>
              </w:rPr>
            </w:pPr>
            <w:r>
              <w:rPr>
                <w:rFonts w:ascii="Times New Roman" w:hAnsi="Times New Roman"/>
                <w:sz w:val="24"/>
                <w:szCs w:val="24"/>
              </w:rPr>
              <w:t>Kanhinbaranne   c.sadarkaa 2ffa</w:t>
            </w:r>
          </w:p>
          <w:p w14:paraId="12BA3804">
            <w:pPr>
              <w:pStyle w:val="51"/>
              <w:numPr>
                <w:ilvl w:val="0"/>
                <w:numId w:val="35"/>
              </w:numPr>
              <w:spacing w:line="360" w:lineRule="auto"/>
              <w:rPr>
                <w:rFonts w:ascii="Times New Roman" w:hAnsi="Times New Roman"/>
                <w:sz w:val="24"/>
                <w:szCs w:val="24"/>
              </w:rPr>
            </w:pPr>
            <w:r>
              <w:rPr>
                <w:rFonts w:ascii="Times New Roman" w:hAnsi="Times New Roman"/>
                <w:sz w:val="24"/>
                <w:szCs w:val="24"/>
              </w:rPr>
              <w:t>Sadarkaa 1ffaa  D.koolejifi ia oli</w:t>
            </w:r>
          </w:p>
        </w:tc>
        <w:tc>
          <w:tcPr>
            <w:tcW w:w="1530" w:type="dxa"/>
          </w:tcPr>
          <w:p w14:paraId="11D42C51">
            <w:pPr>
              <w:spacing w:line="360" w:lineRule="auto"/>
              <w:rPr>
                <w:rFonts w:ascii="Times New Roman" w:hAnsi="Times New Roman"/>
                <w:sz w:val="24"/>
                <w:szCs w:val="24"/>
              </w:rPr>
            </w:pPr>
          </w:p>
        </w:tc>
      </w:tr>
      <w:tr w14:paraId="5965D12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7" w:type="dxa"/>
          </w:tcPr>
          <w:p w14:paraId="3202F896">
            <w:pPr>
              <w:spacing w:line="360" w:lineRule="auto"/>
              <w:rPr>
                <w:rFonts w:ascii="Times New Roman" w:hAnsi="Times New Roman"/>
                <w:sz w:val="24"/>
                <w:szCs w:val="24"/>
              </w:rPr>
            </w:pPr>
            <w:r>
              <w:rPr>
                <w:rFonts w:ascii="Times New Roman" w:hAnsi="Times New Roman"/>
                <w:sz w:val="24"/>
                <w:szCs w:val="24"/>
              </w:rPr>
              <w:t>08</w:t>
            </w:r>
          </w:p>
        </w:tc>
        <w:tc>
          <w:tcPr>
            <w:tcW w:w="3668" w:type="dxa"/>
          </w:tcPr>
          <w:p w14:paraId="069FE917">
            <w:pPr>
              <w:spacing w:line="360" w:lineRule="auto"/>
              <w:rPr>
                <w:rFonts w:ascii="Times New Roman" w:hAnsi="Times New Roman"/>
                <w:sz w:val="24"/>
                <w:szCs w:val="24"/>
              </w:rPr>
            </w:pPr>
            <w:r>
              <w:rPr>
                <w:rFonts w:ascii="Times New Roman" w:hAnsi="Times New Roman"/>
                <w:sz w:val="24"/>
                <w:szCs w:val="24"/>
              </w:rPr>
              <w:t>Haala hojii</w:t>
            </w:r>
          </w:p>
        </w:tc>
        <w:tc>
          <w:tcPr>
            <w:tcW w:w="4230" w:type="dxa"/>
          </w:tcPr>
          <w:p w14:paraId="3B55479C">
            <w:pPr>
              <w:spacing w:line="360" w:lineRule="auto"/>
              <w:rPr>
                <w:rFonts w:ascii="Times New Roman" w:hAnsi="Times New Roman"/>
                <w:sz w:val="24"/>
                <w:szCs w:val="24"/>
              </w:rPr>
            </w:pPr>
            <w:r>
              <w:rPr>
                <w:rFonts w:ascii="Times New Roman" w:hAnsi="Times New Roman"/>
                <w:sz w:val="24"/>
                <w:szCs w:val="24"/>
              </w:rPr>
              <w:t>A, haadha warra          D. hojii  guyyaa</w:t>
            </w:r>
          </w:p>
          <w:p w14:paraId="34A216A4">
            <w:pPr>
              <w:spacing w:line="360" w:lineRule="auto"/>
              <w:rPr>
                <w:rFonts w:ascii="Times New Roman" w:hAnsi="Times New Roman"/>
                <w:sz w:val="24"/>
                <w:szCs w:val="24"/>
              </w:rPr>
            </w:pPr>
            <w:r>
              <w:rPr>
                <w:rFonts w:ascii="Times New Roman" w:hAnsi="Times New Roman"/>
                <w:sz w:val="24"/>
                <w:szCs w:val="24"/>
              </w:rPr>
              <w:t>B.daldalaa           E. H.mootummaa</w:t>
            </w:r>
          </w:p>
          <w:p w14:paraId="7A8361EB">
            <w:pPr>
              <w:spacing w:line="360" w:lineRule="auto"/>
              <w:rPr>
                <w:rFonts w:ascii="Times New Roman" w:hAnsi="Times New Roman"/>
                <w:sz w:val="24"/>
                <w:szCs w:val="24"/>
              </w:rPr>
            </w:pPr>
            <w:r>
              <w:rPr>
                <w:rFonts w:ascii="Times New Roman" w:hAnsi="Times New Roman"/>
                <w:sz w:val="24"/>
                <w:szCs w:val="24"/>
              </w:rPr>
              <w:t>c. hojii  dhuunfaa       F. kanbiroo</w:t>
            </w:r>
          </w:p>
        </w:tc>
        <w:tc>
          <w:tcPr>
            <w:tcW w:w="1530" w:type="dxa"/>
          </w:tcPr>
          <w:p w14:paraId="40BC041F">
            <w:pPr>
              <w:spacing w:line="360" w:lineRule="auto"/>
              <w:rPr>
                <w:rFonts w:ascii="Times New Roman" w:hAnsi="Times New Roman"/>
                <w:sz w:val="24"/>
                <w:szCs w:val="24"/>
              </w:rPr>
            </w:pPr>
          </w:p>
        </w:tc>
      </w:tr>
      <w:tr w14:paraId="70EF681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7" w:type="dxa"/>
          </w:tcPr>
          <w:p w14:paraId="49BC0068">
            <w:pPr>
              <w:spacing w:line="360" w:lineRule="auto"/>
              <w:rPr>
                <w:rFonts w:ascii="Times New Roman" w:hAnsi="Times New Roman"/>
                <w:sz w:val="24"/>
                <w:szCs w:val="24"/>
              </w:rPr>
            </w:pPr>
            <w:r>
              <w:rPr>
                <w:rFonts w:ascii="Times New Roman" w:hAnsi="Times New Roman"/>
                <w:sz w:val="24"/>
                <w:szCs w:val="24"/>
              </w:rPr>
              <w:t>09</w:t>
            </w:r>
          </w:p>
        </w:tc>
        <w:tc>
          <w:tcPr>
            <w:tcW w:w="3668" w:type="dxa"/>
          </w:tcPr>
          <w:p w14:paraId="28D54794">
            <w:pPr>
              <w:spacing w:line="360" w:lineRule="auto"/>
              <w:rPr>
                <w:rFonts w:ascii="Times New Roman" w:hAnsi="Times New Roman"/>
                <w:sz w:val="24"/>
                <w:szCs w:val="24"/>
              </w:rPr>
            </w:pPr>
            <w:r>
              <w:rPr>
                <w:rFonts w:ascii="Times New Roman" w:hAnsi="Times New Roman"/>
                <w:sz w:val="24"/>
                <w:szCs w:val="24"/>
              </w:rPr>
              <w:t>Daa’ima  meeqa  qabdu</w:t>
            </w:r>
          </w:p>
        </w:tc>
        <w:tc>
          <w:tcPr>
            <w:tcW w:w="4230" w:type="dxa"/>
          </w:tcPr>
          <w:p w14:paraId="0564B35D">
            <w:pPr>
              <w:spacing w:line="360" w:lineRule="auto"/>
              <w:rPr>
                <w:rFonts w:ascii="Times New Roman" w:hAnsi="Times New Roman"/>
                <w:sz w:val="24"/>
                <w:szCs w:val="24"/>
              </w:rPr>
            </w:pPr>
            <w:r>
              <w:rPr>
                <w:rFonts w:ascii="Times New Roman" w:hAnsi="Times New Roman"/>
                <w:sz w:val="24"/>
                <w:szCs w:val="24"/>
              </w:rPr>
              <w:t>------</w:t>
            </w:r>
          </w:p>
        </w:tc>
        <w:tc>
          <w:tcPr>
            <w:tcW w:w="1530" w:type="dxa"/>
          </w:tcPr>
          <w:p w14:paraId="46DB0E94">
            <w:pPr>
              <w:spacing w:line="360" w:lineRule="auto"/>
              <w:rPr>
                <w:rFonts w:ascii="Times New Roman" w:hAnsi="Times New Roman"/>
                <w:sz w:val="24"/>
                <w:szCs w:val="24"/>
              </w:rPr>
            </w:pPr>
          </w:p>
        </w:tc>
      </w:tr>
      <w:tr w14:paraId="0C0A62F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7" w:type="dxa"/>
          </w:tcPr>
          <w:p w14:paraId="7E8C14D6">
            <w:pPr>
              <w:spacing w:line="360" w:lineRule="auto"/>
              <w:rPr>
                <w:rFonts w:ascii="Times New Roman" w:hAnsi="Times New Roman"/>
                <w:sz w:val="24"/>
                <w:szCs w:val="24"/>
              </w:rPr>
            </w:pPr>
            <w:r>
              <w:rPr>
                <w:rFonts w:ascii="Times New Roman" w:hAnsi="Times New Roman"/>
                <w:sz w:val="24"/>
                <w:szCs w:val="24"/>
              </w:rPr>
              <w:t>10</w:t>
            </w:r>
          </w:p>
        </w:tc>
        <w:tc>
          <w:tcPr>
            <w:tcW w:w="3668" w:type="dxa"/>
          </w:tcPr>
          <w:p w14:paraId="5F249306">
            <w:pPr>
              <w:spacing w:line="360" w:lineRule="auto"/>
              <w:rPr>
                <w:rFonts w:ascii="Times New Roman" w:hAnsi="Times New Roman"/>
                <w:sz w:val="24"/>
                <w:szCs w:val="24"/>
              </w:rPr>
            </w:pPr>
            <w:r>
              <w:rPr>
                <w:rFonts w:ascii="Times New Roman" w:hAnsi="Times New Roman"/>
                <w:sz w:val="24"/>
                <w:szCs w:val="24"/>
              </w:rPr>
              <w:t>Haala gaa’ela</w:t>
            </w:r>
          </w:p>
        </w:tc>
        <w:tc>
          <w:tcPr>
            <w:tcW w:w="4230" w:type="dxa"/>
          </w:tcPr>
          <w:p w14:paraId="5B2F214B">
            <w:pPr>
              <w:pStyle w:val="51"/>
              <w:numPr>
                <w:ilvl w:val="0"/>
                <w:numId w:val="36"/>
              </w:numPr>
              <w:spacing w:line="360" w:lineRule="auto"/>
              <w:rPr>
                <w:rFonts w:ascii="Times New Roman" w:hAnsi="Times New Roman"/>
                <w:sz w:val="24"/>
                <w:szCs w:val="24"/>
              </w:rPr>
            </w:pPr>
            <w:r>
              <w:rPr>
                <w:rFonts w:ascii="Times New Roman" w:hAnsi="Times New Roman"/>
                <w:sz w:val="24"/>
                <w:szCs w:val="24"/>
              </w:rPr>
              <w:t>Kan hi’eerumne</w:t>
            </w:r>
          </w:p>
          <w:p w14:paraId="73D9ED45">
            <w:pPr>
              <w:pStyle w:val="51"/>
              <w:numPr>
                <w:ilvl w:val="0"/>
                <w:numId w:val="36"/>
              </w:numPr>
              <w:spacing w:line="360" w:lineRule="auto"/>
              <w:rPr>
                <w:rFonts w:ascii="Times New Roman" w:hAnsi="Times New Roman"/>
                <w:sz w:val="24"/>
                <w:szCs w:val="24"/>
              </w:rPr>
            </w:pPr>
            <w:r>
              <w:rPr>
                <w:rFonts w:ascii="Times New Roman" w:hAnsi="Times New Roman"/>
                <w:sz w:val="24"/>
                <w:szCs w:val="24"/>
              </w:rPr>
              <w:t>Kan eerumte</w:t>
            </w:r>
          </w:p>
          <w:p w14:paraId="5A5DA1E7">
            <w:pPr>
              <w:pStyle w:val="51"/>
              <w:numPr>
                <w:ilvl w:val="0"/>
                <w:numId w:val="36"/>
              </w:numPr>
              <w:spacing w:line="360" w:lineRule="auto"/>
              <w:rPr>
                <w:rFonts w:ascii="Times New Roman" w:hAnsi="Times New Roman"/>
                <w:sz w:val="24"/>
                <w:szCs w:val="24"/>
              </w:rPr>
            </w:pPr>
            <w:r>
              <w:rPr>
                <w:rFonts w:ascii="Times New Roman" w:hAnsi="Times New Roman"/>
                <w:sz w:val="24"/>
                <w:szCs w:val="24"/>
              </w:rPr>
              <w:t>Ka hiikte</w:t>
            </w:r>
          </w:p>
          <w:p w14:paraId="50FBF5DB">
            <w:pPr>
              <w:pStyle w:val="51"/>
              <w:numPr>
                <w:ilvl w:val="0"/>
                <w:numId w:val="36"/>
              </w:numPr>
              <w:spacing w:line="360" w:lineRule="auto"/>
              <w:rPr>
                <w:rFonts w:ascii="Times New Roman" w:hAnsi="Times New Roman"/>
                <w:sz w:val="24"/>
                <w:szCs w:val="24"/>
              </w:rPr>
            </w:pPr>
            <w:r>
              <w:rPr>
                <w:rFonts w:ascii="Times New Roman" w:hAnsi="Times New Roman"/>
                <w:sz w:val="24"/>
                <w:szCs w:val="24"/>
              </w:rPr>
              <w:t>Kan abba manaa du’e</w:t>
            </w:r>
          </w:p>
          <w:p w14:paraId="2D233B44">
            <w:pPr>
              <w:pStyle w:val="51"/>
              <w:numPr>
                <w:ilvl w:val="0"/>
                <w:numId w:val="36"/>
              </w:numPr>
              <w:spacing w:line="360" w:lineRule="auto"/>
              <w:rPr>
                <w:rFonts w:ascii="Times New Roman" w:hAnsi="Times New Roman"/>
                <w:sz w:val="24"/>
                <w:szCs w:val="24"/>
              </w:rPr>
            </w:pPr>
            <w:r>
              <w:rPr>
                <w:rFonts w:ascii="Times New Roman" w:hAnsi="Times New Roman"/>
                <w:sz w:val="24"/>
                <w:szCs w:val="24"/>
              </w:rPr>
              <w:t>Kan addan ba’an</w:t>
            </w:r>
          </w:p>
        </w:tc>
        <w:tc>
          <w:tcPr>
            <w:tcW w:w="1530" w:type="dxa"/>
          </w:tcPr>
          <w:p w14:paraId="53EB4710">
            <w:pPr>
              <w:spacing w:line="360" w:lineRule="auto"/>
              <w:rPr>
                <w:rFonts w:ascii="Times New Roman" w:hAnsi="Times New Roman"/>
                <w:sz w:val="24"/>
                <w:szCs w:val="24"/>
              </w:rPr>
            </w:pPr>
          </w:p>
        </w:tc>
      </w:tr>
      <w:tr w14:paraId="32EBFE0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7" w:type="dxa"/>
          </w:tcPr>
          <w:p w14:paraId="280A269A">
            <w:pPr>
              <w:spacing w:line="360" w:lineRule="auto"/>
              <w:rPr>
                <w:rFonts w:ascii="Times New Roman" w:hAnsi="Times New Roman"/>
                <w:sz w:val="24"/>
                <w:szCs w:val="24"/>
              </w:rPr>
            </w:pPr>
            <w:r>
              <w:rPr>
                <w:rFonts w:ascii="Times New Roman" w:hAnsi="Times New Roman"/>
                <w:sz w:val="24"/>
                <w:szCs w:val="24"/>
              </w:rPr>
              <w:t>11</w:t>
            </w:r>
          </w:p>
        </w:tc>
        <w:tc>
          <w:tcPr>
            <w:tcW w:w="3668" w:type="dxa"/>
          </w:tcPr>
          <w:p w14:paraId="37AF8091">
            <w:pPr>
              <w:spacing w:line="360" w:lineRule="auto"/>
              <w:rPr>
                <w:rFonts w:ascii="Times New Roman" w:hAnsi="Times New Roman"/>
                <w:sz w:val="24"/>
                <w:szCs w:val="24"/>
              </w:rPr>
            </w:pPr>
            <w:r>
              <w:rPr>
                <w:rFonts w:ascii="Times New Roman" w:hAnsi="Times New Roman"/>
                <w:sz w:val="24"/>
                <w:szCs w:val="24"/>
              </w:rPr>
              <w:t>Giddugaleessaan galii ji’aa/waggaa maatii</w:t>
            </w:r>
          </w:p>
        </w:tc>
        <w:tc>
          <w:tcPr>
            <w:tcW w:w="4230" w:type="dxa"/>
          </w:tcPr>
          <w:p w14:paraId="7FE8923E">
            <w:pPr>
              <w:spacing w:line="360" w:lineRule="auto"/>
              <w:rPr>
                <w:rFonts w:ascii="Times New Roman" w:hAnsi="Times New Roman"/>
                <w:sz w:val="24"/>
                <w:szCs w:val="24"/>
              </w:rPr>
            </w:pPr>
            <w:r>
              <w:rPr>
                <w:rFonts w:ascii="Times New Roman" w:hAnsi="Times New Roman"/>
                <w:sz w:val="24"/>
                <w:szCs w:val="24"/>
              </w:rPr>
              <w:t>Qarshii-----------</w:t>
            </w:r>
          </w:p>
        </w:tc>
        <w:tc>
          <w:tcPr>
            <w:tcW w:w="1530" w:type="dxa"/>
          </w:tcPr>
          <w:p w14:paraId="741B9269">
            <w:pPr>
              <w:spacing w:line="360" w:lineRule="auto"/>
              <w:rPr>
                <w:rFonts w:ascii="Times New Roman" w:hAnsi="Times New Roman"/>
                <w:sz w:val="24"/>
                <w:szCs w:val="24"/>
              </w:rPr>
            </w:pPr>
          </w:p>
        </w:tc>
      </w:tr>
    </w:tbl>
    <w:p w14:paraId="451FED28">
      <w:pPr>
        <w:spacing w:line="360" w:lineRule="auto"/>
        <w:rPr>
          <w:rFonts w:ascii="Times New Roman" w:hAnsi="Times New Roman" w:cs="Times New Roman"/>
          <w:sz w:val="24"/>
          <w:szCs w:val="24"/>
        </w:rPr>
      </w:pPr>
    </w:p>
    <w:p w14:paraId="4208948C">
      <w:pPr>
        <w:spacing w:line="360" w:lineRule="auto"/>
        <w:rPr>
          <w:rFonts w:ascii="Times New Roman" w:hAnsi="Times New Roman" w:cs="Times New Roman"/>
          <w:sz w:val="24"/>
          <w:szCs w:val="24"/>
        </w:rPr>
      </w:pPr>
      <w:r>
        <w:rPr>
          <w:rFonts w:ascii="Times New Roman" w:hAnsi="Times New Roman" w:cs="Times New Roman"/>
          <w:b/>
          <w:sz w:val="24"/>
          <w:szCs w:val="24"/>
        </w:rPr>
        <w:t>Kutaa II</w:t>
      </w:r>
      <w:r>
        <w:rPr>
          <w:rFonts w:ascii="Times New Roman" w:hAnsi="Times New Roman" w:cs="Times New Roman"/>
          <w:sz w:val="24"/>
          <w:szCs w:val="24"/>
        </w:rPr>
        <w:t xml:space="preserve"> madaallii  beekumsa haadholii  waa’ee  talall</w:t>
      </w:r>
    </w:p>
    <w:p w14:paraId="75A8CE60">
      <w:pPr>
        <w:spacing w:line="360" w:lineRule="auto"/>
        <w:rPr>
          <w:rFonts w:ascii="Times New Roman" w:hAnsi="Times New Roman"/>
          <w:sz w:val="24"/>
          <w:szCs w:val="24"/>
        </w:rPr>
      </w:pPr>
    </w:p>
    <w:tbl>
      <w:tblPr>
        <w:tblStyle w:val="66"/>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828"/>
        <w:gridCol w:w="3240"/>
        <w:gridCol w:w="4230"/>
        <w:gridCol w:w="1278"/>
      </w:tblGrid>
      <w:tr w14:paraId="5795F76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8" w:type="dxa"/>
          </w:tcPr>
          <w:p w14:paraId="5AF7B0D5">
            <w:pPr>
              <w:spacing w:line="360" w:lineRule="auto"/>
              <w:rPr>
                <w:rFonts w:ascii="Times New Roman" w:hAnsi="Times New Roman"/>
                <w:sz w:val="24"/>
                <w:szCs w:val="24"/>
              </w:rPr>
            </w:pPr>
            <w:r>
              <w:rPr>
                <w:rFonts w:ascii="Times New Roman" w:hAnsi="Times New Roman"/>
                <w:sz w:val="24"/>
                <w:szCs w:val="24"/>
              </w:rPr>
              <w:t>12</w:t>
            </w:r>
          </w:p>
        </w:tc>
        <w:tc>
          <w:tcPr>
            <w:tcW w:w="3240" w:type="dxa"/>
          </w:tcPr>
          <w:p w14:paraId="077AD756">
            <w:pPr>
              <w:spacing w:line="360" w:lineRule="auto"/>
              <w:rPr>
                <w:rFonts w:ascii="Times New Roman" w:hAnsi="Times New Roman"/>
                <w:sz w:val="24"/>
                <w:szCs w:val="24"/>
              </w:rPr>
            </w:pPr>
            <w:r>
              <w:rPr>
                <w:rFonts w:ascii="Times New Roman" w:hAnsi="Times New Roman"/>
                <w:sz w:val="24"/>
                <w:szCs w:val="24"/>
              </w:rPr>
              <w:t>Waa’ee talalli  nibeekuu?</w:t>
            </w:r>
          </w:p>
        </w:tc>
        <w:tc>
          <w:tcPr>
            <w:tcW w:w="4230" w:type="dxa"/>
          </w:tcPr>
          <w:p w14:paraId="2726FF0F">
            <w:pPr>
              <w:spacing w:line="360" w:lineRule="auto"/>
              <w:rPr>
                <w:rFonts w:ascii="Times New Roman" w:hAnsi="Times New Roman"/>
                <w:sz w:val="24"/>
                <w:szCs w:val="24"/>
              </w:rPr>
            </w:pPr>
            <w:r>
              <w:rPr>
                <w:rFonts w:ascii="Times New Roman" w:hAnsi="Times New Roman"/>
                <w:sz w:val="24"/>
                <w:szCs w:val="24"/>
              </w:rPr>
              <w:t>Eeyee           B. lakki</w:t>
            </w:r>
          </w:p>
        </w:tc>
        <w:tc>
          <w:tcPr>
            <w:tcW w:w="1278" w:type="dxa"/>
          </w:tcPr>
          <w:p w14:paraId="6786E72A">
            <w:pPr>
              <w:spacing w:line="360" w:lineRule="auto"/>
              <w:rPr>
                <w:rFonts w:ascii="Times New Roman" w:hAnsi="Times New Roman"/>
                <w:sz w:val="24"/>
                <w:szCs w:val="24"/>
              </w:rPr>
            </w:pPr>
          </w:p>
        </w:tc>
      </w:tr>
      <w:tr w14:paraId="63B9386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8" w:type="dxa"/>
          </w:tcPr>
          <w:p w14:paraId="6009D9AB">
            <w:pPr>
              <w:spacing w:line="360" w:lineRule="auto"/>
              <w:rPr>
                <w:rFonts w:ascii="Times New Roman" w:hAnsi="Times New Roman"/>
                <w:sz w:val="24"/>
                <w:szCs w:val="24"/>
              </w:rPr>
            </w:pPr>
            <w:r>
              <w:rPr>
                <w:rFonts w:ascii="Times New Roman" w:hAnsi="Times New Roman"/>
                <w:sz w:val="24"/>
                <w:szCs w:val="24"/>
              </w:rPr>
              <w:t>13</w:t>
            </w:r>
          </w:p>
        </w:tc>
        <w:tc>
          <w:tcPr>
            <w:tcW w:w="3240" w:type="dxa"/>
          </w:tcPr>
          <w:p w14:paraId="321D9915">
            <w:pPr>
              <w:spacing w:line="360" w:lineRule="auto"/>
              <w:rPr>
                <w:rFonts w:ascii="Times New Roman" w:hAnsi="Times New Roman"/>
                <w:sz w:val="24"/>
                <w:szCs w:val="24"/>
              </w:rPr>
            </w:pPr>
            <w:r>
              <w:rPr>
                <w:rFonts w:ascii="Times New Roman" w:hAnsi="Times New Roman"/>
                <w:sz w:val="24"/>
                <w:szCs w:val="24"/>
              </w:rPr>
              <w:t>Gaffi 12ffa eeyee yoo ta’e  maddi odeeffanno kee maali?</w:t>
            </w:r>
          </w:p>
        </w:tc>
        <w:tc>
          <w:tcPr>
            <w:tcW w:w="4230" w:type="dxa"/>
          </w:tcPr>
          <w:p w14:paraId="4D121668">
            <w:pPr>
              <w:spacing w:line="360" w:lineRule="auto"/>
              <w:rPr>
                <w:rFonts w:ascii="Times New Roman" w:hAnsi="Times New Roman"/>
                <w:sz w:val="24"/>
                <w:szCs w:val="24"/>
              </w:rPr>
            </w:pPr>
            <w:r>
              <w:rPr>
                <w:rFonts w:ascii="Times New Roman" w:hAnsi="Times New Roman"/>
                <w:sz w:val="24"/>
                <w:szCs w:val="24"/>
              </w:rPr>
              <w:t>Ogeessa fayyaa</w:t>
            </w:r>
          </w:p>
          <w:p w14:paraId="4751FAB3">
            <w:pPr>
              <w:spacing w:line="360" w:lineRule="auto"/>
              <w:rPr>
                <w:rFonts w:ascii="Times New Roman" w:hAnsi="Times New Roman"/>
                <w:sz w:val="24"/>
                <w:szCs w:val="24"/>
              </w:rPr>
            </w:pPr>
            <w:r>
              <w:rPr>
                <w:rFonts w:ascii="Times New Roman" w:hAnsi="Times New Roman"/>
                <w:sz w:val="24"/>
                <w:szCs w:val="24"/>
              </w:rPr>
              <w:t>Olla</w:t>
            </w:r>
          </w:p>
          <w:p w14:paraId="5D595F61">
            <w:pPr>
              <w:spacing w:line="360" w:lineRule="auto"/>
              <w:rPr>
                <w:rFonts w:ascii="Times New Roman" w:hAnsi="Times New Roman"/>
                <w:sz w:val="24"/>
                <w:szCs w:val="24"/>
              </w:rPr>
            </w:pPr>
            <w:r>
              <w:rPr>
                <w:rFonts w:ascii="Times New Roman" w:hAnsi="Times New Roman"/>
                <w:sz w:val="24"/>
                <w:szCs w:val="24"/>
              </w:rPr>
              <w:t>Raadiyoo/TV</w:t>
            </w:r>
          </w:p>
          <w:p w14:paraId="528A8B04">
            <w:pPr>
              <w:spacing w:line="360" w:lineRule="auto"/>
              <w:rPr>
                <w:rFonts w:ascii="Times New Roman" w:hAnsi="Times New Roman"/>
                <w:sz w:val="24"/>
                <w:szCs w:val="24"/>
              </w:rPr>
            </w:pPr>
            <w:r>
              <w:rPr>
                <w:rFonts w:ascii="Times New Roman" w:hAnsi="Times New Roman"/>
                <w:sz w:val="24"/>
                <w:szCs w:val="24"/>
              </w:rPr>
              <w:t>Kan biro</w:t>
            </w:r>
          </w:p>
        </w:tc>
        <w:tc>
          <w:tcPr>
            <w:tcW w:w="1278" w:type="dxa"/>
          </w:tcPr>
          <w:p w14:paraId="79548084">
            <w:pPr>
              <w:spacing w:line="360" w:lineRule="auto"/>
              <w:rPr>
                <w:rFonts w:ascii="Times New Roman" w:hAnsi="Times New Roman"/>
                <w:sz w:val="24"/>
                <w:szCs w:val="24"/>
              </w:rPr>
            </w:pPr>
          </w:p>
        </w:tc>
      </w:tr>
      <w:tr w14:paraId="0C39FDB3">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8" w:type="dxa"/>
          </w:tcPr>
          <w:p w14:paraId="28213FD7">
            <w:pPr>
              <w:spacing w:line="360" w:lineRule="auto"/>
              <w:rPr>
                <w:rFonts w:ascii="Times New Roman" w:hAnsi="Times New Roman"/>
                <w:sz w:val="24"/>
                <w:szCs w:val="24"/>
              </w:rPr>
            </w:pPr>
            <w:r>
              <w:rPr>
                <w:rFonts w:ascii="Times New Roman" w:hAnsi="Times New Roman"/>
                <w:sz w:val="24"/>
                <w:szCs w:val="24"/>
              </w:rPr>
              <w:t>14</w:t>
            </w:r>
          </w:p>
        </w:tc>
        <w:tc>
          <w:tcPr>
            <w:tcW w:w="3240" w:type="dxa"/>
          </w:tcPr>
          <w:p w14:paraId="5F2D2853">
            <w:pPr>
              <w:spacing w:line="360" w:lineRule="auto"/>
              <w:rPr>
                <w:rFonts w:ascii="Times New Roman" w:hAnsi="Times New Roman"/>
                <w:sz w:val="24"/>
                <w:szCs w:val="24"/>
              </w:rPr>
            </w:pPr>
            <w:r>
              <w:rPr>
                <w:rFonts w:ascii="Times New Roman" w:hAnsi="Times New Roman"/>
                <w:sz w:val="24"/>
                <w:szCs w:val="24"/>
              </w:rPr>
              <w:t>Talaallii  irratti  ilaalchi  kessan maali?</w:t>
            </w:r>
          </w:p>
        </w:tc>
        <w:tc>
          <w:tcPr>
            <w:tcW w:w="4230" w:type="dxa"/>
          </w:tcPr>
          <w:p w14:paraId="69FFC650">
            <w:pPr>
              <w:spacing w:line="360" w:lineRule="auto"/>
              <w:rPr>
                <w:rFonts w:ascii="Times New Roman" w:hAnsi="Times New Roman"/>
                <w:sz w:val="24"/>
                <w:szCs w:val="24"/>
              </w:rPr>
            </w:pPr>
            <w:r>
              <w:rPr>
                <w:rFonts w:ascii="Times New Roman" w:hAnsi="Times New Roman"/>
                <w:sz w:val="24"/>
                <w:szCs w:val="24"/>
              </w:rPr>
              <w:t>A. Baayyee barbaachisa</w:t>
            </w:r>
          </w:p>
          <w:p w14:paraId="08DA0C6D">
            <w:pPr>
              <w:spacing w:line="360" w:lineRule="auto"/>
              <w:rPr>
                <w:rFonts w:ascii="Times New Roman" w:hAnsi="Times New Roman"/>
                <w:sz w:val="24"/>
                <w:szCs w:val="24"/>
              </w:rPr>
            </w:pPr>
            <w:r>
              <w:rPr>
                <w:rFonts w:ascii="Times New Roman" w:hAnsi="Times New Roman"/>
                <w:sz w:val="24"/>
                <w:szCs w:val="24"/>
              </w:rPr>
              <w:t xml:space="preserve"> B. Barbaachisaa </w:t>
            </w:r>
          </w:p>
          <w:p w14:paraId="2CCEF766">
            <w:pPr>
              <w:spacing w:line="360" w:lineRule="auto"/>
              <w:rPr>
                <w:rFonts w:ascii="Times New Roman" w:hAnsi="Times New Roman"/>
                <w:sz w:val="24"/>
                <w:szCs w:val="24"/>
              </w:rPr>
            </w:pPr>
            <w:r>
              <w:rPr>
                <w:rFonts w:ascii="Times New Roman" w:hAnsi="Times New Roman"/>
                <w:sz w:val="24"/>
                <w:szCs w:val="24"/>
              </w:rPr>
              <w:t xml:space="preserve">C. Hamaa </w:t>
            </w:r>
          </w:p>
          <w:p w14:paraId="00BF2CEB">
            <w:pPr>
              <w:spacing w:line="360" w:lineRule="auto"/>
              <w:rPr>
                <w:rFonts w:ascii="Times New Roman" w:hAnsi="Times New Roman"/>
                <w:sz w:val="24"/>
                <w:szCs w:val="24"/>
              </w:rPr>
            </w:pPr>
            <w:r>
              <w:rPr>
                <w:rFonts w:ascii="Times New Roman" w:hAnsi="Times New Roman"/>
                <w:sz w:val="24"/>
                <w:szCs w:val="24"/>
              </w:rPr>
              <w:t xml:space="preserve">D. Baayyee hamaa. </w:t>
            </w:r>
          </w:p>
          <w:p w14:paraId="7DE871E0">
            <w:pPr>
              <w:spacing w:line="360" w:lineRule="auto"/>
              <w:rPr>
                <w:rFonts w:ascii="Times New Roman" w:hAnsi="Times New Roman"/>
                <w:sz w:val="24"/>
                <w:szCs w:val="24"/>
              </w:rPr>
            </w:pPr>
            <w:r>
              <w:rPr>
                <w:rFonts w:ascii="Times New Roman" w:hAnsi="Times New Roman"/>
                <w:sz w:val="24"/>
                <w:szCs w:val="24"/>
              </w:rPr>
              <w:t>E. Kan biroo (ibsi)------------------------------</w:t>
            </w:r>
          </w:p>
          <w:p w14:paraId="7D37FA2F">
            <w:pPr>
              <w:spacing w:line="360" w:lineRule="auto"/>
              <w:rPr>
                <w:rFonts w:ascii="Times New Roman" w:hAnsi="Times New Roman"/>
                <w:sz w:val="24"/>
                <w:szCs w:val="24"/>
              </w:rPr>
            </w:pPr>
            <w:r>
              <w:rPr>
                <w:rFonts w:ascii="Times New Roman" w:hAnsi="Times New Roman"/>
                <w:sz w:val="24"/>
                <w:szCs w:val="24"/>
              </w:rPr>
              <w:t xml:space="preserve"> F. Yaada hin qabu_________</w:t>
            </w:r>
          </w:p>
        </w:tc>
        <w:tc>
          <w:tcPr>
            <w:tcW w:w="1278" w:type="dxa"/>
          </w:tcPr>
          <w:p w14:paraId="70C5E2BE">
            <w:pPr>
              <w:spacing w:line="360" w:lineRule="auto"/>
              <w:rPr>
                <w:rFonts w:ascii="Times New Roman" w:hAnsi="Times New Roman"/>
                <w:sz w:val="24"/>
                <w:szCs w:val="24"/>
              </w:rPr>
            </w:pPr>
          </w:p>
        </w:tc>
      </w:tr>
      <w:tr w14:paraId="316E283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8" w:type="dxa"/>
          </w:tcPr>
          <w:p w14:paraId="746081F8">
            <w:pPr>
              <w:spacing w:line="360" w:lineRule="auto"/>
              <w:rPr>
                <w:rFonts w:ascii="Times New Roman" w:hAnsi="Times New Roman"/>
                <w:sz w:val="24"/>
                <w:szCs w:val="24"/>
              </w:rPr>
            </w:pPr>
            <w:r>
              <w:rPr>
                <w:rFonts w:ascii="Times New Roman" w:hAnsi="Times New Roman"/>
                <w:sz w:val="24"/>
                <w:szCs w:val="24"/>
              </w:rPr>
              <w:t>15</w:t>
            </w:r>
          </w:p>
        </w:tc>
        <w:tc>
          <w:tcPr>
            <w:tcW w:w="3240" w:type="dxa"/>
          </w:tcPr>
          <w:p w14:paraId="063A050F">
            <w:pPr>
              <w:spacing w:line="360" w:lineRule="auto"/>
              <w:rPr>
                <w:rFonts w:ascii="Times New Roman" w:hAnsi="Times New Roman"/>
                <w:sz w:val="24"/>
                <w:szCs w:val="24"/>
              </w:rPr>
            </w:pPr>
            <w:r>
              <w:rPr>
                <w:rFonts w:ascii="Times New Roman" w:hAnsi="Times New Roman"/>
                <w:sz w:val="24"/>
                <w:szCs w:val="24"/>
              </w:rPr>
              <w:t xml:space="preserve">Mucaa  keessan gara dhaabbata fayyaa dhiyoo bakka  talaalliin   jirutti fudhattanii beektuu </w:t>
            </w:r>
          </w:p>
        </w:tc>
        <w:tc>
          <w:tcPr>
            <w:tcW w:w="4230" w:type="dxa"/>
          </w:tcPr>
          <w:p w14:paraId="6CDB7A5E">
            <w:pPr>
              <w:spacing w:line="360" w:lineRule="auto"/>
              <w:rPr>
                <w:rFonts w:ascii="Times New Roman" w:hAnsi="Times New Roman"/>
                <w:sz w:val="24"/>
                <w:szCs w:val="24"/>
              </w:rPr>
            </w:pPr>
            <w:r>
              <w:rPr>
                <w:rFonts w:ascii="Times New Roman" w:hAnsi="Times New Roman"/>
                <w:sz w:val="24"/>
                <w:szCs w:val="24"/>
              </w:rPr>
              <w:t>Eeyye</w:t>
            </w:r>
          </w:p>
          <w:p w14:paraId="14D2795C">
            <w:pPr>
              <w:spacing w:line="360" w:lineRule="auto"/>
              <w:rPr>
                <w:rFonts w:ascii="Times New Roman" w:hAnsi="Times New Roman"/>
                <w:sz w:val="24"/>
                <w:szCs w:val="24"/>
              </w:rPr>
            </w:pPr>
            <w:r>
              <w:rPr>
                <w:rFonts w:ascii="Times New Roman" w:hAnsi="Times New Roman"/>
                <w:sz w:val="24"/>
                <w:szCs w:val="24"/>
              </w:rPr>
              <w:t>Lakki</w:t>
            </w:r>
          </w:p>
        </w:tc>
        <w:tc>
          <w:tcPr>
            <w:tcW w:w="1278" w:type="dxa"/>
          </w:tcPr>
          <w:p w14:paraId="7A74555D">
            <w:pPr>
              <w:spacing w:line="360" w:lineRule="auto"/>
              <w:rPr>
                <w:rFonts w:ascii="Times New Roman" w:hAnsi="Times New Roman"/>
                <w:sz w:val="24"/>
                <w:szCs w:val="24"/>
              </w:rPr>
            </w:pPr>
          </w:p>
        </w:tc>
      </w:tr>
      <w:tr w14:paraId="4A37CFE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8" w:type="dxa"/>
          </w:tcPr>
          <w:p w14:paraId="38FE9C41">
            <w:pPr>
              <w:spacing w:line="360" w:lineRule="auto"/>
              <w:rPr>
                <w:rFonts w:ascii="Times New Roman" w:hAnsi="Times New Roman"/>
                <w:sz w:val="24"/>
                <w:szCs w:val="24"/>
              </w:rPr>
            </w:pPr>
            <w:r>
              <w:rPr>
                <w:rFonts w:ascii="Times New Roman" w:hAnsi="Times New Roman"/>
                <w:sz w:val="24"/>
                <w:szCs w:val="24"/>
              </w:rPr>
              <w:t>16</w:t>
            </w:r>
          </w:p>
        </w:tc>
        <w:tc>
          <w:tcPr>
            <w:tcW w:w="3240" w:type="dxa"/>
          </w:tcPr>
          <w:p w14:paraId="5F2B4D46">
            <w:pPr>
              <w:spacing w:line="360" w:lineRule="auto"/>
              <w:rPr>
                <w:rFonts w:ascii="Times New Roman" w:hAnsi="Times New Roman"/>
                <w:sz w:val="24"/>
                <w:szCs w:val="24"/>
              </w:rPr>
            </w:pPr>
            <w:r>
              <w:rPr>
                <w:rFonts w:ascii="Times New Roman" w:hAnsi="Times New Roman"/>
                <w:sz w:val="24"/>
                <w:szCs w:val="24"/>
              </w:rPr>
              <w:t>Gaffi 15ffa eeyee yoo ta’e  talaallii fudhteera</w:t>
            </w:r>
          </w:p>
        </w:tc>
        <w:tc>
          <w:tcPr>
            <w:tcW w:w="4230" w:type="dxa"/>
          </w:tcPr>
          <w:p w14:paraId="65991B14">
            <w:pPr>
              <w:spacing w:line="360" w:lineRule="auto"/>
              <w:rPr>
                <w:rFonts w:ascii="Times New Roman" w:hAnsi="Times New Roman"/>
                <w:sz w:val="24"/>
                <w:szCs w:val="24"/>
              </w:rPr>
            </w:pPr>
            <w:r>
              <w:rPr>
                <w:rFonts w:ascii="Times New Roman" w:hAnsi="Times New Roman"/>
                <w:sz w:val="24"/>
                <w:szCs w:val="24"/>
              </w:rPr>
              <w:t>Eeyye</w:t>
            </w:r>
          </w:p>
          <w:p w14:paraId="0AC2CBB5">
            <w:pPr>
              <w:spacing w:line="360" w:lineRule="auto"/>
              <w:rPr>
                <w:rFonts w:ascii="Times New Roman" w:hAnsi="Times New Roman"/>
                <w:sz w:val="24"/>
                <w:szCs w:val="24"/>
              </w:rPr>
            </w:pPr>
            <w:r>
              <w:rPr>
                <w:rFonts w:ascii="Times New Roman" w:hAnsi="Times New Roman"/>
                <w:sz w:val="24"/>
                <w:szCs w:val="24"/>
              </w:rPr>
              <w:t>B. lakki</w:t>
            </w:r>
          </w:p>
        </w:tc>
        <w:tc>
          <w:tcPr>
            <w:tcW w:w="1278" w:type="dxa"/>
          </w:tcPr>
          <w:p w14:paraId="4BA99FDE">
            <w:pPr>
              <w:spacing w:line="360" w:lineRule="auto"/>
              <w:rPr>
                <w:rFonts w:ascii="Times New Roman" w:hAnsi="Times New Roman"/>
                <w:sz w:val="24"/>
                <w:szCs w:val="24"/>
              </w:rPr>
            </w:pPr>
          </w:p>
        </w:tc>
      </w:tr>
      <w:tr w14:paraId="4D9459B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8" w:type="dxa"/>
          </w:tcPr>
          <w:p w14:paraId="0AD60E2F">
            <w:pPr>
              <w:spacing w:line="360" w:lineRule="auto"/>
              <w:rPr>
                <w:rFonts w:ascii="Times New Roman" w:hAnsi="Times New Roman"/>
                <w:sz w:val="24"/>
                <w:szCs w:val="24"/>
              </w:rPr>
            </w:pPr>
            <w:r>
              <w:rPr>
                <w:rFonts w:ascii="Times New Roman" w:hAnsi="Times New Roman"/>
                <w:sz w:val="24"/>
                <w:szCs w:val="24"/>
              </w:rPr>
              <w:t>17</w:t>
            </w:r>
          </w:p>
        </w:tc>
        <w:tc>
          <w:tcPr>
            <w:tcW w:w="3240" w:type="dxa"/>
          </w:tcPr>
          <w:p w14:paraId="5DA87ADA">
            <w:pPr>
              <w:spacing w:line="360" w:lineRule="auto"/>
              <w:rPr>
                <w:rFonts w:ascii="Times New Roman" w:hAnsi="Times New Roman"/>
                <w:sz w:val="24"/>
                <w:szCs w:val="24"/>
              </w:rPr>
            </w:pPr>
            <w:r>
              <w:rPr>
                <w:rFonts w:ascii="Times New Roman" w:hAnsi="Times New Roman"/>
                <w:sz w:val="24"/>
                <w:szCs w:val="24"/>
              </w:rPr>
              <w:t>Mucaa keessaniif talaallii yoom akka jalqabdan fi yoom akka xumurtan beektu?</w:t>
            </w:r>
          </w:p>
        </w:tc>
        <w:tc>
          <w:tcPr>
            <w:tcW w:w="4230" w:type="dxa"/>
          </w:tcPr>
          <w:p w14:paraId="70A9F46A">
            <w:pPr>
              <w:spacing w:line="360" w:lineRule="auto"/>
              <w:rPr>
                <w:rFonts w:ascii="Times New Roman" w:hAnsi="Times New Roman"/>
                <w:sz w:val="24"/>
                <w:szCs w:val="24"/>
              </w:rPr>
            </w:pPr>
            <w:r>
              <w:rPr>
                <w:rFonts w:ascii="Times New Roman" w:hAnsi="Times New Roman"/>
                <w:sz w:val="24"/>
                <w:szCs w:val="24"/>
              </w:rPr>
              <w:t>Eeyye</w:t>
            </w:r>
          </w:p>
          <w:p w14:paraId="4B217A06">
            <w:pPr>
              <w:spacing w:line="360" w:lineRule="auto"/>
              <w:rPr>
                <w:rFonts w:ascii="Times New Roman" w:hAnsi="Times New Roman"/>
                <w:sz w:val="24"/>
                <w:szCs w:val="24"/>
              </w:rPr>
            </w:pPr>
            <w:r>
              <w:rPr>
                <w:rFonts w:ascii="Times New Roman" w:hAnsi="Times New Roman"/>
                <w:sz w:val="24"/>
                <w:szCs w:val="24"/>
              </w:rPr>
              <w:t>B. Lakki</w:t>
            </w:r>
          </w:p>
        </w:tc>
        <w:tc>
          <w:tcPr>
            <w:tcW w:w="1278" w:type="dxa"/>
          </w:tcPr>
          <w:p w14:paraId="5410F7EE">
            <w:pPr>
              <w:spacing w:line="360" w:lineRule="auto"/>
              <w:rPr>
                <w:rFonts w:ascii="Times New Roman" w:hAnsi="Times New Roman"/>
                <w:sz w:val="24"/>
                <w:szCs w:val="24"/>
              </w:rPr>
            </w:pPr>
          </w:p>
        </w:tc>
      </w:tr>
      <w:tr w14:paraId="0B7C432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8" w:type="dxa"/>
          </w:tcPr>
          <w:p w14:paraId="61CD86FA">
            <w:pPr>
              <w:spacing w:line="360" w:lineRule="auto"/>
              <w:rPr>
                <w:rFonts w:ascii="Times New Roman" w:hAnsi="Times New Roman"/>
                <w:sz w:val="24"/>
                <w:szCs w:val="24"/>
              </w:rPr>
            </w:pPr>
            <w:r>
              <w:rPr>
                <w:rFonts w:ascii="Times New Roman" w:hAnsi="Times New Roman"/>
                <w:sz w:val="24"/>
                <w:szCs w:val="24"/>
              </w:rPr>
              <w:t>18</w:t>
            </w:r>
          </w:p>
        </w:tc>
        <w:tc>
          <w:tcPr>
            <w:tcW w:w="3240" w:type="dxa"/>
          </w:tcPr>
          <w:p w14:paraId="24115BBB">
            <w:pPr>
              <w:spacing w:line="360" w:lineRule="auto"/>
              <w:rPr>
                <w:rFonts w:ascii="Times New Roman" w:hAnsi="Times New Roman"/>
                <w:sz w:val="24"/>
                <w:szCs w:val="24"/>
              </w:rPr>
            </w:pPr>
            <w:r>
              <w:rPr>
                <w:rFonts w:ascii="Times New Roman" w:hAnsi="Times New Roman"/>
                <w:sz w:val="24"/>
                <w:szCs w:val="24"/>
              </w:rPr>
              <w:t>Faayidaan talaallii walumaa galatti maal jettu?</w:t>
            </w:r>
          </w:p>
        </w:tc>
        <w:tc>
          <w:tcPr>
            <w:tcW w:w="4230" w:type="dxa"/>
          </w:tcPr>
          <w:p w14:paraId="54140706">
            <w:pPr>
              <w:spacing w:line="360" w:lineRule="auto"/>
              <w:rPr>
                <w:rFonts w:ascii="Times New Roman" w:hAnsi="Times New Roman"/>
                <w:sz w:val="24"/>
                <w:szCs w:val="24"/>
              </w:rPr>
            </w:pPr>
            <w:r>
              <w:rPr>
                <w:rFonts w:ascii="Times New Roman" w:hAnsi="Times New Roman"/>
                <w:sz w:val="24"/>
                <w:szCs w:val="24"/>
              </w:rPr>
              <w:t>A. Dhukkuboota duraan  turan fayyisuuf</w:t>
            </w:r>
          </w:p>
          <w:p w14:paraId="79F3BDD9">
            <w:pPr>
              <w:spacing w:line="360" w:lineRule="auto"/>
              <w:rPr>
                <w:rFonts w:ascii="Times New Roman" w:hAnsi="Times New Roman"/>
                <w:sz w:val="24"/>
                <w:szCs w:val="24"/>
              </w:rPr>
            </w:pPr>
            <w:r>
              <w:rPr>
                <w:rFonts w:ascii="Times New Roman" w:hAnsi="Times New Roman"/>
                <w:sz w:val="24"/>
                <w:szCs w:val="24"/>
              </w:rPr>
              <w:t xml:space="preserve">B. Dhukkuba haaraa ittisuufi </w:t>
            </w:r>
          </w:p>
          <w:p w14:paraId="6D40C804">
            <w:pPr>
              <w:spacing w:line="360" w:lineRule="auto"/>
              <w:rPr>
                <w:rFonts w:ascii="Times New Roman" w:hAnsi="Times New Roman"/>
                <w:sz w:val="24"/>
                <w:szCs w:val="24"/>
              </w:rPr>
            </w:pPr>
            <w:r>
              <w:rPr>
                <w:rFonts w:ascii="Times New Roman" w:hAnsi="Times New Roman"/>
                <w:sz w:val="24"/>
                <w:szCs w:val="24"/>
              </w:rPr>
              <w:t>C. Hin beeku</w:t>
            </w:r>
          </w:p>
        </w:tc>
        <w:tc>
          <w:tcPr>
            <w:tcW w:w="1278" w:type="dxa"/>
          </w:tcPr>
          <w:p w14:paraId="1D1AE559">
            <w:pPr>
              <w:spacing w:line="360" w:lineRule="auto"/>
              <w:rPr>
                <w:rFonts w:ascii="Times New Roman" w:hAnsi="Times New Roman"/>
                <w:sz w:val="24"/>
                <w:szCs w:val="24"/>
              </w:rPr>
            </w:pPr>
          </w:p>
        </w:tc>
      </w:tr>
      <w:tr w14:paraId="73BAB79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8" w:type="dxa"/>
          </w:tcPr>
          <w:p w14:paraId="42D5FCC9">
            <w:pPr>
              <w:spacing w:line="360" w:lineRule="auto"/>
              <w:rPr>
                <w:rFonts w:ascii="Times New Roman" w:hAnsi="Times New Roman"/>
                <w:sz w:val="24"/>
                <w:szCs w:val="24"/>
              </w:rPr>
            </w:pPr>
            <w:r>
              <w:rPr>
                <w:rFonts w:ascii="Times New Roman" w:hAnsi="Times New Roman"/>
                <w:sz w:val="24"/>
                <w:szCs w:val="24"/>
              </w:rPr>
              <w:t>19</w:t>
            </w:r>
          </w:p>
        </w:tc>
        <w:tc>
          <w:tcPr>
            <w:tcW w:w="3240" w:type="dxa"/>
          </w:tcPr>
          <w:p w14:paraId="751F5396">
            <w:pPr>
              <w:spacing w:line="360" w:lineRule="auto"/>
              <w:rPr>
                <w:rFonts w:ascii="Times New Roman" w:hAnsi="Times New Roman"/>
                <w:sz w:val="24"/>
                <w:szCs w:val="24"/>
              </w:rPr>
            </w:pPr>
            <w:r>
              <w:rPr>
                <w:rFonts w:ascii="Times New Roman" w:hAnsi="Times New Roman"/>
                <w:sz w:val="24"/>
                <w:szCs w:val="24"/>
              </w:rPr>
              <w:t>Waa'ee dhukkuba busaa dhageessaniittu</w:t>
            </w:r>
          </w:p>
        </w:tc>
        <w:tc>
          <w:tcPr>
            <w:tcW w:w="4230" w:type="dxa"/>
          </w:tcPr>
          <w:p w14:paraId="34A9642F">
            <w:pPr>
              <w:spacing w:line="360" w:lineRule="auto"/>
              <w:rPr>
                <w:rFonts w:ascii="Times New Roman" w:hAnsi="Times New Roman"/>
                <w:sz w:val="24"/>
                <w:szCs w:val="24"/>
              </w:rPr>
            </w:pPr>
            <w:r>
              <w:rPr>
                <w:rFonts w:ascii="Times New Roman" w:hAnsi="Times New Roman"/>
                <w:sz w:val="24"/>
                <w:szCs w:val="24"/>
              </w:rPr>
              <w:t>.eeyee</w:t>
            </w:r>
          </w:p>
          <w:p w14:paraId="0A6EA87F">
            <w:pPr>
              <w:spacing w:line="360" w:lineRule="auto"/>
              <w:rPr>
                <w:rFonts w:ascii="Times New Roman" w:hAnsi="Times New Roman"/>
                <w:sz w:val="24"/>
                <w:szCs w:val="24"/>
              </w:rPr>
            </w:pPr>
            <w:r>
              <w:rPr>
                <w:rFonts w:ascii="Times New Roman" w:hAnsi="Times New Roman"/>
                <w:sz w:val="24"/>
                <w:szCs w:val="24"/>
              </w:rPr>
              <w:t>lakki</w:t>
            </w:r>
          </w:p>
          <w:p w14:paraId="1D33A58F">
            <w:pPr>
              <w:spacing w:line="360" w:lineRule="auto"/>
              <w:rPr>
                <w:rFonts w:ascii="Times New Roman" w:hAnsi="Times New Roman"/>
                <w:sz w:val="24"/>
                <w:szCs w:val="24"/>
              </w:rPr>
            </w:pPr>
          </w:p>
        </w:tc>
        <w:tc>
          <w:tcPr>
            <w:tcW w:w="1278" w:type="dxa"/>
          </w:tcPr>
          <w:p w14:paraId="218083CB">
            <w:pPr>
              <w:spacing w:line="360" w:lineRule="auto"/>
              <w:rPr>
                <w:rFonts w:ascii="Times New Roman" w:hAnsi="Times New Roman"/>
                <w:sz w:val="24"/>
                <w:szCs w:val="24"/>
              </w:rPr>
            </w:pPr>
          </w:p>
        </w:tc>
      </w:tr>
      <w:tr w14:paraId="60D88EC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8" w:type="dxa"/>
          </w:tcPr>
          <w:p w14:paraId="15FA8857">
            <w:pPr>
              <w:spacing w:line="360" w:lineRule="auto"/>
              <w:rPr>
                <w:rFonts w:ascii="Times New Roman" w:hAnsi="Times New Roman"/>
                <w:sz w:val="24"/>
                <w:szCs w:val="24"/>
              </w:rPr>
            </w:pPr>
            <w:r>
              <w:rPr>
                <w:rFonts w:ascii="Times New Roman" w:hAnsi="Times New Roman"/>
                <w:sz w:val="24"/>
                <w:szCs w:val="24"/>
              </w:rPr>
              <w:t>20</w:t>
            </w:r>
          </w:p>
        </w:tc>
        <w:tc>
          <w:tcPr>
            <w:tcW w:w="3240" w:type="dxa"/>
          </w:tcPr>
          <w:p w14:paraId="385400A2">
            <w:pPr>
              <w:spacing w:line="360" w:lineRule="auto"/>
              <w:rPr>
                <w:rFonts w:ascii="Times New Roman" w:hAnsi="Times New Roman"/>
                <w:sz w:val="24"/>
                <w:szCs w:val="24"/>
              </w:rPr>
            </w:pPr>
            <w:r>
              <w:rPr>
                <w:rFonts w:ascii="Times New Roman" w:hAnsi="Times New Roman"/>
                <w:sz w:val="24"/>
                <w:szCs w:val="24"/>
              </w:rPr>
              <w:t xml:space="preserve"> Sababni Dhukkuba  busaa  maali</w:t>
            </w:r>
          </w:p>
        </w:tc>
        <w:tc>
          <w:tcPr>
            <w:tcW w:w="4230" w:type="dxa"/>
          </w:tcPr>
          <w:p w14:paraId="6E1FDB24">
            <w:pPr>
              <w:spacing w:line="360" w:lineRule="auto"/>
              <w:rPr>
                <w:rFonts w:ascii="Times New Roman" w:hAnsi="Times New Roman"/>
                <w:sz w:val="24"/>
                <w:szCs w:val="24"/>
              </w:rPr>
            </w:pPr>
            <w:r>
              <w:rPr>
                <w:rFonts w:ascii="Times New Roman" w:hAnsi="Times New Roman"/>
                <w:sz w:val="24"/>
                <w:szCs w:val="24"/>
              </w:rPr>
              <w:t>A. Bishaan Xuraa’aa Dhugaa</w:t>
            </w:r>
          </w:p>
          <w:p w14:paraId="460A86BB">
            <w:pPr>
              <w:spacing w:line="360" w:lineRule="auto"/>
              <w:rPr>
                <w:rFonts w:ascii="Times New Roman" w:hAnsi="Times New Roman"/>
                <w:sz w:val="24"/>
                <w:szCs w:val="24"/>
              </w:rPr>
            </w:pPr>
            <w:r>
              <w:rPr>
                <w:rFonts w:ascii="Times New Roman" w:hAnsi="Times New Roman"/>
                <w:sz w:val="24"/>
                <w:szCs w:val="24"/>
              </w:rPr>
              <w:t>B. Ciniinnaa Tisiisa</w:t>
            </w:r>
          </w:p>
          <w:p w14:paraId="2A05C2C8">
            <w:pPr>
              <w:spacing w:line="360" w:lineRule="auto"/>
              <w:rPr>
                <w:rFonts w:ascii="Times New Roman" w:hAnsi="Times New Roman"/>
                <w:sz w:val="24"/>
                <w:szCs w:val="24"/>
              </w:rPr>
            </w:pPr>
            <w:r>
              <w:rPr>
                <w:rFonts w:ascii="Times New Roman" w:hAnsi="Times New Roman"/>
                <w:sz w:val="24"/>
                <w:szCs w:val="24"/>
              </w:rPr>
              <w:t>C.  Ciniinnaa bookee busaa</w:t>
            </w:r>
          </w:p>
          <w:p w14:paraId="019DE55F">
            <w:pPr>
              <w:spacing w:line="360" w:lineRule="auto"/>
              <w:rPr>
                <w:rFonts w:ascii="Times New Roman" w:hAnsi="Times New Roman"/>
                <w:sz w:val="24"/>
                <w:szCs w:val="24"/>
              </w:rPr>
            </w:pPr>
            <w:r>
              <w:rPr>
                <w:rFonts w:ascii="Times New Roman" w:hAnsi="Times New Roman"/>
                <w:sz w:val="24"/>
                <w:szCs w:val="24"/>
              </w:rPr>
              <w:t>D. Nyaata Zayitii Qabu Nyaachuu</w:t>
            </w:r>
          </w:p>
        </w:tc>
        <w:tc>
          <w:tcPr>
            <w:tcW w:w="1278" w:type="dxa"/>
          </w:tcPr>
          <w:p w14:paraId="0582FF3D">
            <w:pPr>
              <w:spacing w:line="360" w:lineRule="auto"/>
              <w:rPr>
                <w:rFonts w:ascii="Times New Roman" w:hAnsi="Times New Roman"/>
                <w:sz w:val="24"/>
                <w:szCs w:val="24"/>
              </w:rPr>
            </w:pPr>
          </w:p>
        </w:tc>
      </w:tr>
      <w:tr w14:paraId="5F4EDB7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8" w:type="dxa"/>
          </w:tcPr>
          <w:p w14:paraId="1BD22621">
            <w:pPr>
              <w:spacing w:line="360" w:lineRule="auto"/>
              <w:rPr>
                <w:rFonts w:ascii="Times New Roman" w:hAnsi="Times New Roman"/>
                <w:sz w:val="24"/>
                <w:szCs w:val="24"/>
              </w:rPr>
            </w:pPr>
            <w:r>
              <w:rPr>
                <w:rFonts w:ascii="Times New Roman" w:hAnsi="Times New Roman"/>
                <w:sz w:val="24"/>
                <w:szCs w:val="24"/>
              </w:rPr>
              <w:t>21</w:t>
            </w:r>
          </w:p>
        </w:tc>
        <w:tc>
          <w:tcPr>
            <w:tcW w:w="3240" w:type="dxa"/>
          </w:tcPr>
          <w:p w14:paraId="25576819">
            <w:pPr>
              <w:spacing w:line="360" w:lineRule="auto"/>
              <w:rPr>
                <w:rFonts w:ascii="Times New Roman" w:hAnsi="Times New Roman"/>
                <w:sz w:val="24"/>
                <w:szCs w:val="24"/>
              </w:rPr>
            </w:pPr>
            <w:r>
              <w:rPr>
                <w:rFonts w:ascii="Times New Roman" w:hAnsi="Times New Roman"/>
                <w:sz w:val="24"/>
                <w:szCs w:val="24"/>
              </w:rPr>
              <w:t>Dhukkubni busaa  maaliin ittisama</w:t>
            </w:r>
          </w:p>
        </w:tc>
        <w:tc>
          <w:tcPr>
            <w:tcW w:w="4230" w:type="dxa"/>
          </w:tcPr>
          <w:p w14:paraId="1DBD539F">
            <w:pPr>
              <w:spacing w:line="360" w:lineRule="auto"/>
              <w:rPr>
                <w:rFonts w:ascii="Times New Roman" w:hAnsi="Times New Roman"/>
                <w:sz w:val="24"/>
                <w:szCs w:val="24"/>
              </w:rPr>
            </w:pPr>
            <w:r>
              <w:rPr>
                <w:rFonts w:ascii="Times New Roman" w:hAnsi="Times New Roman"/>
                <w:sz w:val="24"/>
                <w:szCs w:val="24"/>
              </w:rPr>
              <w:t>A. Uffata Harka Dheeraa Uffachuun</w:t>
            </w:r>
          </w:p>
          <w:p w14:paraId="37421D98">
            <w:pPr>
              <w:spacing w:line="360" w:lineRule="auto"/>
              <w:rPr>
                <w:rFonts w:ascii="Times New Roman" w:hAnsi="Times New Roman"/>
                <w:sz w:val="24"/>
                <w:szCs w:val="24"/>
              </w:rPr>
            </w:pPr>
            <w:r>
              <w:rPr>
                <w:rFonts w:ascii="Times New Roman" w:hAnsi="Times New Roman"/>
                <w:sz w:val="24"/>
                <w:szCs w:val="24"/>
              </w:rPr>
              <w:t>B. Agoobara hidhachhdhaan</w:t>
            </w:r>
          </w:p>
          <w:p w14:paraId="380A377C">
            <w:pPr>
              <w:spacing w:line="360" w:lineRule="auto"/>
              <w:rPr>
                <w:rFonts w:ascii="Times New Roman" w:hAnsi="Times New Roman"/>
                <w:sz w:val="24"/>
                <w:szCs w:val="24"/>
              </w:rPr>
            </w:pPr>
            <w:r>
              <w:rPr>
                <w:rFonts w:ascii="Times New Roman" w:hAnsi="Times New Roman"/>
                <w:sz w:val="24"/>
                <w:szCs w:val="24"/>
              </w:rPr>
              <w:t>C. Qoricha Ilbiisota Biifachuu</w:t>
            </w:r>
          </w:p>
          <w:p w14:paraId="75D4E058">
            <w:pPr>
              <w:spacing w:line="360" w:lineRule="auto"/>
              <w:rPr>
                <w:rFonts w:ascii="Times New Roman" w:hAnsi="Times New Roman"/>
                <w:sz w:val="24"/>
                <w:szCs w:val="24"/>
              </w:rPr>
            </w:pPr>
            <w:r>
              <w:rPr>
                <w:rFonts w:ascii="Times New Roman" w:hAnsi="Times New Roman"/>
                <w:sz w:val="24"/>
                <w:szCs w:val="24"/>
              </w:rPr>
              <w:t>D. Naannoo Qulqulleessuu</w:t>
            </w:r>
          </w:p>
          <w:p w14:paraId="4EA775C4">
            <w:pPr>
              <w:spacing w:line="360" w:lineRule="auto"/>
              <w:rPr>
                <w:rFonts w:ascii="Times New Roman" w:hAnsi="Times New Roman"/>
                <w:sz w:val="24"/>
                <w:szCs w:val="24"/>
              </w:rPr>
            </w:pPr>
            <w:r>
              <w:rPr>
                <w:rFonts w:ascii="Times New Roman" w:hAnsi="Times New Roman"/>
                <w:sz w:val="24"/>
                <w:szCs w:val="24"/>
              </w:rPr>
              <w:t>E. Talaallii Busaa Fudhachuu</w:t>
            </w:r>
          </w:p>
          <w:p w14:paraId="583EFCC8">
            <w:pPr>
              <w:spacing w:line="360" w:lineRule="auto"/>
              <w:rPr>
                <w:rFonts w:ascii="Times New Roman" w:hAnsi="Times New Roman"/>
                <w:sz w:val="24"/>
                <w:szCs w:val="24"/>
              </w:rPr>
            </w:pPr>
            <w:r>
              <w:rPr>
                <w:rFonts w:ascii="Times New Roman" w:hAnsi="Times New Roman"/>
                <w:sz w:val="24"/>
                <w:szCs w:val="24"/>
              </w:rPr>
              <w:t>F. Kan Gubbaa Hundaa</w:t>
            </w:r>
          </w:p>
        </w:tc>
        <w:tc>
          <w:tcPr>
            <w:tcW w:w="1278" w:type="dxa"/>
          </w:tcPr>
          <w:p w14:paraId="54F8FD20">
            <w:pPr>
              <w:spacing w:line="360" w:lineRule="auto"/>
              <w:rPr>
                <w:rFonts w:ascii="Times New Roman" w:hAnsi="Times New Roman"/>
                <w:sz w:val="24"/>
                <w:szCs w:val="24"/>
              </w:rPr>
            </w:pPr>
          </w:p>
        </w:tc>
      </w:tr>
      <w:tr w14:paraId="004160C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8" w:type="dxa"/>
          </w:tcPr>
          <w:p w14:paraId="269CB73E">
            <w:pPr>
              <w:spacing w:line="360" w:lineRule="auto"/>
              <w:rPr>
                <w:rFonts w:ascii="Times New Roman" w:hAnsi="Times New Roman"/>
                <w:sz w:val="24"/>
                <w:szCs w:val="24"/>
              </w:rPr>
            </w:pPr>
            <w:r>
              <w:rPr>
                <w:rFonts w:ascii="Times New Roman" w:hAnsi="Times New Roman"/>
                <w:sz w:val="24"/>
                <w:szCs w:val="24"/>
              </w:rPr>
              <w:t>22</w:t>
            </w:r>
          </w:p>
        </w:tc>
        <w:tc>
          <w:tcPr>
            <w:tcW w:w="3240" w:type="dxa"/>
          </w:tcPr>
          <w:p w14:paraId="48FC8FFA">
            <w:pPr>
              <w:spacing w:line="360" w:lineRule="auto"/>
              <w:rPr>
                <w:rFonts w:ascii="Times New Roman" w:hAnsi="Times New Roman"/>
                <w:sz w:val="24"/>
                <w:szCs w:val="24"/>
              </w:rPr>
            </w:pPr>
            <w:r>
              <w:rPr>
                <w:rFonts w:ascii="Times New Roman" w:hAnsi="Times New Roman"/>
                <w:sz w:val="24"/>
                <w:szCs w:val="24"/>
              </w:rPr>
              <w:t>Namni hundinuu dhukkuba busaan dhukkubsachuuf saaxilamaadhaa?</w:t>
            </w:r>
          </w:p>
        </w:tc>
        <w:tc>
          <w:tcPr>
            <w:tcW w:w="4230" w:type="dxa"/>
          </w:tcPr>
          <w:p w14:paraId="431D8DD5">
            <w:pPr>
              <w:spacing w:line="360" w:lineRule="auto"/>
              <w:rPr>
                <w:rFonts w:ascii="Times New Roman" w:hAnsi="Times New Roman"/>
                <w:sz w:val="24"/>
                <w:szCs w:val="24"/>
              </w:rPr>
            </w:pPr>
            <w:r>
              <w:rPr>
                <w:rFonts w:ascii="Times New Roman" w:hAnsi="Times New Roman"/>
                <w:sz w:val="24"/>
                <w:szCs w:val="24"/>
              </w:rPr>
              <w:t>.eeyye</w:t>
            </w:r>
          </w:p>
          <w:p w14:paraId="0DCF28A8">
            <w:pPr>
              <w:spacing w:line="360" w:lineRule="auto"/>
              <w:rPr>
                <w:rFonts w:ascii="Times New Roman" w:hAnsi="Times New Roman"/>
                <w:sz w:val="24"/>
                <w:szCs w:val="24"/>
              </w:rPr>
            </w:pPr>
            <w:r>
              <w:rPr>
                <w:rFonts w:ascii="Times New Roman" w:hAnsi="Times New Roman"/>
                <w:sz w:val="24"/>
                <w:szCs w:val="24"/>
              </w:rPr>
              <w:t>Lakki</w:t>
            </w:r>
          </w:p>
          <w:p w14:paraId="288EB976">
            <w:pPr>
              <w:spacing w:line="360" w:lineRule="auto"/>
              <w:rPr>
                <w:rFonts w:ascii="Times New Roman" w:hAnsi="Times New Roman"/>
                <w:sz w:val="24"/>
                <w:szCs w:val="24"/>
              </w:rPr>
            </w:pPr>
          </w:p>
        </w:tc>
        <w:tc>
          <w:tcPr>
            <w:tcW w:w="1278" w:type="dxa"/>
          </w:tcPr>
          <w:p w14:paraId="54790F23">
            <w:pPr>
              <w:spacing w:line="360" w:lineRule="auto"/>
              <w:rPr>
                <w:rFonts w:ascii="Times New Roman" w:hAnsi="Times New Roman"/>
                <w:sz w:val="24"/>
                <w:szCs w:val="24"/>
              </w:rPr>
            </w:pPr>
          </w:p>
        </w:tc>
      </w:tr>
      <w:tr w14:paraId="6D0E301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8" w:type="dxa"/>
          </w:tcPr>
          <w:p w14:paraId="29F30178">
            <w:pPr>
              <w:spacing w:line="360" w:lineRule="auto"/>
              <w:rPr>
                <w:rFonts w:ascii="Times New Roman" w:hAnsi="Times New Roman"/>
                <w:sz w:val="24"/>
                <w:szCs w:val="24"/>
              </w:rPr>
            </w:pPr>
            <w:r>
              <w:rPr>
                <w:rFonts w:ascii="Times New Roman" w:hAnsi="Times New Roman"/>
                <w:sz w:val="24"/>
                <w:szCs w:val="24"/>
              </w:rPr>
              <w:t>23</w:t>
            </w:r>
          </w:p>
        </w:tc>
        <w:tc>
          <w:tcPr>
            <w:tcW w:w="3240" w:type="dxa"/>
          </w:tcPr>
          <w:p w14:paraId="482383B9">
            <w:pPr>
              <w:spacing w:line="360" w:lineRule="auto"/>
              <w:rPr>
                <w:rFonts w:ascii="Times New Roman" w:hAnsi="Times New Roman"/>
                <w:sz w:val="24"/>
                <w:szCs w:val="24"/>
              </w:rPr>
            </w:pPr>
            <w:r>
              <w:rPr>
                <w:rFonts w:ascii="Times New Roman" w:hAnsi="Times New Roman"/>
                <w:sz w:val="24"/>
                <w:szCs w:val="24"/>
              </w:rPr>
              <w:t>Dhukkubni busaa yoo hin yaalamne nama ajjeesuu danda'aa?</w:t>
            </w:r>
          </w:p>
        </w:tc>
        <w:tc>
          <w:tcPr>
            <w:tcW w:w="4230" w:type="dxa"/>
          </w:tcPr>
          <w:p w14:paraId="2CBBF2D6">
            <w:pPr>
              <w:spacing w:line="360" w:lineRule="auto"/>
              <w:rPr>
                <w:rFonts w:ascii="Times New Roman" w:hAnsi="Times New Roman"/>
                <w:sz w:val="24"/>
                <w:szCs w:val="24"/>
              </w:rPr>
            </w:pPr>
            <w:r>
              <w:rPr>
                <w:rFonts w:ascii="Times New Roman" w:hAnsi="Times New Roman"/>
                <w:sz w:val="24"/>
                <w:szCs w:val="24"/>
              </w:rPr>
              <w:t>Eeyye</w:t>
            </w:r>
          </w:p>
          <w:p w14:paraId="2C1DA6BE">
            <w:pPr>
              <w:spacing w:line="360" w:lineRule="auto"/>
              <w:rPr>
                <w:rFonts w:ascii="Times New Roman" w:hAnsi="Times New Roman"/>
                <w:sz w:val="24"/>
                <w:szCs w:val="24"/>
              </w:rPr>
            </w:pPr>
            <w:r>
              <w:rPr>
                <w:rFonts w:ascii="Times New Roman" w:hAnsi="Times New Roman"/>
                <w:sz w:val="24"/>
                <w:szCs w:val="24"/>
              </w:rPr>
              <w:t>Lakki</w:t>
            </w:r>
          </w:p>
        </w:tc>
        <w:tc>
          <w:tcPr>
            <w:tcW w:w="1278" w:type="dxa"/>
          </w:tcPr>
          <w:p w14:paraId="627F5E64">
            <w:pPr>
              <w:spacing w:line="360" w:lineRule="auto"/>
              <w:rPr>
                <w:rFonts w:ascii="Times New Roman" w:hAnsi="Times New Roman"/>
                <w:sz w:val="24"/>
                <w:szCs w:val="24"/>
              </w:rPr>
            </w:pPr>
          </w:p>
          <w:p w14:paraId="6FF8EA76">
            <w:pPr>
              <w:spacing w:line="360" w:lineRule="auto"/>
              <w:rPr>
                <w:rFonts w:ascii="Times New Roman" w:hAnsi="Times New Roman"/>
                <w:sz w:val="24"/>
                <w:szCs w:val="24"/>
              </w:rPr>
            </w:pPr>
          </w:p>
        </w:tc>
      </w:tr>
      <w:tr w14:paraId="2E30315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8" w:type="dxa"/>
          </w:tcPr>
          <w:p w14:paraId="3D7EF97D">
            <w:pPr>
              <w:spacing w:line="360" w:lineRule="auto"/>
              <w:rPr>
                <w:rFonts w:ascii="Times New Roman" w:hAnsi="Times New Roman"/>
                <w:sz w:val="24"/>
                <w:szCs w:val="24"/>
              </w:rPr>
            </w:pPr>
            <w:r>
              <w:rPr>
                <w:rFonts w:ascii="Times New Roman" w:hAnsi="Times New Roman"/>
                <w:sz w:val="24"/>
                <w:szCs w:val="24"/>
              </w:rPr>
              <w:t>24</w:t>
            </w:r>
          </w:p>
        </w:tc>
        <w:tc>
          <w:tcPr>
            <w:tcW w:w="3240" w:type="dxa"/>
          </w:tcPr>
          <w:p w14:paraId="3C635646">
            <w:pPr>
              <w:spacing w:line="360" w:lineRule="auto"/>
              <w:rPr>
                <w:rFonts w:ascii="Times New Roman" w:hAnsi="Times New Roman"/>
                <w:sz w:val="24"/>
                <w:szCs w:val="24"/>
              </w:rPr>
            </w:pPr>
            <w:r>
              <w:rPr>
                <w:rFonts w:ascii="Times New Roman" w:hAnsi="Times New Roman"/>
                <w:sz w:val="24"/>
                <w:szCs w:val="24"/>
              </w:rPr>
              <w:t>Talaalliin busaa ni jiraa?</w:t>
            </w:r>
          </w:p>
        </w:tc>
        <w:tc>
          <w:tcPr>
            <w:tcW w:w="4230" w:type="dxa"/>
          </w:tcPr>
          <w:p w14:paraId="62440306">
            <w:pPr>
              <w:spacing w:line="360" w:lineRule="auto"/>
              <w:rPr>
                <w:rFonts w:ascii="Times New Roman" w:hAnsi="Times New Roman"/>
                <w:sz w:val="24"/>
                <w:szCs w:val="24"/>
              </w:rPr>
            </w:pPr>
            <w:r>
              <w:rPr>
                <w:rFonts w:ascii="Times New Roman" w:hAnsi="Times New Roman"/>
                <w:sz w:val="24"/>
                <w:szCs w:val="24"/>
              </w:rPr>
              <w:t>Eeyee</w:t>
            </w:r>
          </w:p>
          <w:p w14:paraId="0171F4DD">
            <w:pPr>
              <w:spacing w:line="360" w:lineRule="auto"/>
              <w:rPr>
                <w:rFonts w:ascii="Times New Roman" w:hAnsi="Times New Roman"/>
                <w:sz w:val="24"/>
                <w:szCs w:val="24"/>
              </w:rPr>
            </w:pPr>
            <w:r>
              <w:rPr>
                <w:rFonts w:ascii="Times New Roman" w:hAnsi="Times New Roman"/>
                <w:sz w:val="24"/>
                <w:szCs w:val="24"/>
              </w:rPr>
              <w:t>B. Lakki</w:t>
            </w:r>
          </w:p>
        </w:tc>
        <w:tc>
          <w:tcPr>
            <w:tcW w:w="1278" w:type="dxa"/>
          </w:tcPr>
          <w:p w14:paraId="24650FE2">
            <w:pPr>
              <w:spacing w:line="360" w:lineRule="auto"/>
              <w:rPr>
                <w:rFonts w:ascii="Times New Roman" w:hAnsi="Times New Roman"/>
                <w:sz w:val="24"/>
                <w:szCs w:val="24"/>
              </w:rPr>
            </w:pPr>
          </w:p>
          <w:p w14:paraId="4C44AA66">
            <w:pPr>
              <w:spacing w:line="360" w:lineRule="auto"/>
              <w:rPr>
                <w:rFonts w:ascii="Times New Roman" w:hAnsi="Times New Roman"/>
                <w:sz w:val="24"/>
                <w:szCs w:val="24"/>
              </w:rPr>
            </w:pPr>
          </w:p>
        </w:tc>
      </w:tr>
      <w:tr w14:paraId="524BD35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8" w:type="dxa"/>
          </w:tcPr>
          <w:p w14:paraId="774AEA26">
            <w:pPr>
              <w:spacing w:line="360" w:lineRule="auto"/>
              <w:rPr>
                <w:rFonts w:ascii="Times New Roman" w:hAnsi="Times New Roman"/>
                <w:sz w:val="24"/>
                <w:szCs w:val="24"/>
              </w:rPr>
            </w:pPr>
            <w:r>
              <w:rPr>
                <w:rFonts w:ascii="Times New Roman" w:hAnsi="Times New Roman"/>
                <w:sz w:val="24"/>
                <w:szCs w:val="24"/>
              </w:rPr>
              <w:t>25</w:t>
            </w:r>
          </w:p>
        </w:tc>
        <w:tc>
          <w:tcPr>
            <w:tcW w:w="3240" w:type="dxa"/>
          </w:tcPr>
          <w:p w14:paraId="3164DD33">
            <w:pPr>
              <w:spacing w:line="360" w:lineRule="auto"/>
              <w:rPr>
                <w:rFonts w:ascii="Times New Roman" w:hAnsi="Times New Roman"/>
                <w:sz w:val="24"/>
                <w:szCs w:val="24"/>
              </w:rPr>
            </w:pPr>
            <w:r>
              <w:rPr>
                <w:rFonts w:ascii="Times New Roman" w:hAnsi="Times New Roman"/>
                <w:sz w:val="24"/>
                <w:szCs w:val="24"/>
              </w:rPr>
              <w:t>Gaaffi 24ffa Eeyyee yoo ta’e, maaliif fayyada?</w:t>
            </w:r>
          </w:p>
        </w:tc>
        <w:tc>
          <w:tcPr>
            <w:tcW w:w="4230" w:type="dxa"/>
          </w:tcPr>
          <w:p w14:paraId="50A77293">
            <w:pPr>
              <w:spacing w:line="360" w:lineRule="auto"/>
              <w:rPr>
                <w:rFonts w:ascii="Times New Roman" w:hAnsi="Times New Roman"/>
                <w:sz w:val="24"/>
                <w:szCs w:val="24"/>
              </w:rPr>
            </w:pPr>
            <w:r>
              <w:rPr>
                <w:rFonts w:ascii="Times New Roman" w:hAnsi="Times New Roman"/>
                <w:sz w:val="24"/>
                <w:szCs w:val="24"/>
              </w:rPr>
              <w:t xml:space="preserve">A. Dhukkuba Busaa Wal'aanuu Fi Fayyisaa </w:t>
            </w:r>
          </w:p>
          <w:p w14:paraId="2BB2980E">
            <w:pPr>
              <w:spacing w:line="360" w:lineRule="auto"/>
              <w:rPr>
                <w:rFonts w:ascii="Times New Roman" w:hAnsi="Times New Roman"/>
                <w:sz w:val="24"/>
                <w:szCs w:val="24"/>
              </w:rPr>
            </w:pPr>
            <w:r>
              <w:rPr>
                <w:rFonts w:ascii="Times New Roman" w:hAnsi="Times New Roman"/>
                <w:sz w:val="24"/>
                <w:szCs w:val="24"/>
              </w:rPr>
              <w:t xml:space="preserve">B. Cimina Dhukkuba Busaa fi Rakkoolee Mudatan Hir’isuu </w:t>
            </w:r>
          </w:p>
          <w:p w14:paraId="3D06C4BA">
            <w:pPr>
              <w:spacing w:line="360" w:lineRule="auto"/>
              <w:rPr>
                <w:rFonts w:ascii="Times New Roman" w:hAnsi="Times New Roman"/>
                <w:sz w:val="24"/>
                <w:szCs w:val="24"/>
              </w:rPr>
            </w:pPr>
            <w:r>
              <w:rPr>
                <w:rFonts w:ascii="Times New Roman" w:hAnsi="Times New Roman"/>
                <w:sz w:val="24"/>
                <w:szCs w:val="24"/>
              </w:rPr>
              <w:t>C. Dhukkuba Busaan Du'a Ittisuu</w:t>
            </w:r>
          </w:p>
        </w:tc>
        <w:tc>
          <w:tcPr>
            <w:tcW w:w="1278" w:type="dxa"/>
          </w:tcPr>
          <w:p w14:paraId="52365893">
            <w:pPr>
              <w:spacing w:line="360" w:lineRule="auto"/>
              <w:rPr>
                <w:rFonts w:ascii="Times New Roman" w:hAnsi="Times New Roman"/>
                <w:sz w:val="24"/>
                <w:szCs w:val="24"/>
              </w:rPr>
            </w:pPr>
          </w:p>
        </w:tc>
      </w:tr>
      <w:tr w14:paraId="3B6DE3B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8" w:type="dxa"/>
          </w:tcPr>
          <w:p w14:paraId="7C23389A">
            <w:pPr>
              <w:spacing w:line="360" w:lineRule="auto"/>
              <w:rPr>
                <w:rFonts w:ascii="Times New Roman" w:hAnsi="Times New Roman"/>
                <w:sz w:val="24"/>
                <w:szCs w:val="24"/>
              </w:rPr>
            </w:pPr>
            <w:r>
              <w:rPr>
                <w:rFonts w:ascii="Times New Roman" w:hAnsi="Times New Roman"/>
                <w:sz w:val="24"/>
                <w:szCs w:val="24"/>
              </w:rPr>
              <w:t>26</w:t>
            </w:r>
          </w:p>
        </w:tc>
        <w:tc>
          <w:tcPr>
            <w:tcW w:w="3240" w:type="dxa"/>
          </w:tcPr>
          <w:p w14:paraId="3624442B">
            <w:pPr>
              <w:spacing w:line="360" w:lineRule="auto"/>
              <w:rPr>
                <w:rFonts w:ascii="Times New Roman" w:hAnsi="Times New Roman"/>
                <w:sz w:val="24"/>
                <w:szCs w:val="24"/>
              </w:rPr>
            </w:pPr>
            <w:r>
              <w:rPr>
                <w:rFonts w:ascii="Times New Roman" w:hAnsi="Times New Roman"/>
                <w:sz w:val="24"/>
                <w:szCs w:val="24"/>
              </w:rPr>
              <w:t>Talaallii kana eenyutu  argachuu danda'a  jettanii yaaddu?</w:t>
            </w:r>
          </w:p>
        </w:tc>
        <w:tc>
          <w:tcPr>
            <w:tcW w:w="4230" w:type="dxa"/>
          </w:tcPr>
          <w:p w14:paraId="0856E486">
            <w:pPr>
              <w:spacing w:line="360" w:lineRule="auto"/>
              <w:rPr>
                <w:rFonts w:ascii="Times New Roman" w:hAnsi="Times New Roman"/>
                <w:sz w:val="24"/>
                <w:szCs w:val="24"/>
              </w:rPr>
            </w:pPr>
            <w:r>
              <w:rPr>
                <w:rFonts w:ascii="Times New Roman" w:hAnsi="Times New Roman"/>
                <w:sz w:val="24"/>
                <w:szCs w:val="24"/>
              </w:rPr>
              <w:t xml:space="preserve">A. Nama hunda </w:t>
            </w:r>
          </w:p>
          <w:p w14:paraId="105EC8D7">
            <w:pPr>
              <w:spacing w:line="360" w:lineRule="auto"/>
              <w:rPr>
                <w:rFonts w:ascii="Times New Roman" w:hAnsi="Times New Roman"/>
                <w:sz w:val="24"/>
                <w:szCs w:val="24"/>
              </w:rPr>
            </w:pPr>
            <w:r>
              <w:rPr>
                <w:rFonts w:ascii="Times New Roman" w:hAnsi="Times New Roman"/>
                <w:sz w:val="24"/>
                <w:szCs w:val="24"/>
              </w:rPr>
              <w:t>B. Ijoollee waggaa 5 gadii</w:t>
            </w:r>
          </w:p>
          <w:p w14:paraId="24285A67">
            <w:pPr>
              <w:spacing w:line="360" w:lineRule="auto"/>
              <w:rPr>
                <w:rFonts w:ascii="Times New Roman" w:hAnsi="Times New Roman"/>
                <w:sz w:val="24"/>
                <w:szCs w:val="24"/>
              </w:rPr>
            </w:pPr>
            <w:r>
              <w:rPr>
                <w:rFonts w:ascii="Times New Roman" w:hAnsi="Times New Roman"/>
                <w:sz w:val="24"/>
                <w:szCs w:val="24"/>
              </w:rPr>
              <w:t>C. Dubartoota Ulfaa</w:t>
            </w:r>
          </w:p>
        </w:tc>
        <w:tc>
          <w:tcPr>
            <w:tcW w:w="1278" w:type="dxa"/>
          </w:tcPr>
          <w:p w14:paraId="64F5ECB4">
            <w:pPr>
              <w:spacing w:line="360" w:lineRule="auto"/>
              <w:rPr>
                <w:rFonts w:ascii="Times New Roman" w:hAnsi="Times New Roman"/>
                <w:sz w:val="24"/>
                <w:szCs w:val="24"/>
              </w:rPr>
            </w:pPr>
          </w:p>
        </w:tc>
      </w:tr>
      <w:tr w14:paraId="4B1E361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8" w:type="dxa"/>
          </w:tcPr>
          <w:p w14:paraId="06308BB6">
            <w:pPr>
              <w:spacing w:line="360" w:lineRule="auto"/>
              <w:rPr>
                <w:rFonts w:ascii="Times New Roman" w:hAnsi="Times New Roman"/>
                <w:sz w:val="24"/>
                <w:szCs w:val="24"/>
              </w:rPr>
            </w:pPr>
            <w:r>
              <w:rPr>
                <w:rFonts w:ascii="Times New Roman" w:hAnsi="Times New Roman"/>
                <w:sz w:val="24"/>
                <w:szCs w:val="24"/>
              </w:rPr>
              <w:t>27</w:t>
            </w:r>
          </w:p>
        </w:tc>
        <w:tc>
          <w:tcPr>
            <w:tcW w:w="3240" w:type="dxa"/>
          </w:tcPr>
          <w:p w14:paraId="0BB5EB86">
            <w:pPr>
              <w:spacing w:line="360" w:lineRule="auto"/>
              <w:rPr>
                <w:rFonts w:ascii="Times New Roman" w:hAnsi="Times New Roman"/>
                <w:sz w:val="24"/>
                <w:szCs w:val="24"/>
              </w:rPr>
            </w:pPr>
            <w:r>
              <w:rPr>
                <w:rFonts w:ascii="Times New Roman" w:hAnsi="Times New Roman"/>
                <w:sz w:val="24"/>
                <w:szCs w:val="24"/>
              </w:rPr>
              <w:t>Waa’ee   busaa irratti ergaa  argitee ykn leenjii fudhattee  beekta?</w:t>
            </w:r>
          </w:p>
          <w:p w14:paraId="3632BC9F">
            <w:pPr>
              <w:spacing w:line="360" w:lineRule="auto"/>
              <w:rPr>
                <w:rFonts w:ascii="Times New Roman" w:hAnsi="Times New Roman"/>
                <w:sz w:val="24"/>
                <w:szCs w:val="24"/>
              </w:rPr>
            </w:pPr>
          </w:p>
        </w:tc>
        <w:tc>
          <w:tcPr>
            <w:tcW w:w="4230" w:type="dxa"/>
          </w:tcPr>
          <w:p w14:paraId="656DA16C">
            <w:pPr>
              <w:spacing w:line="360" w:lineRule="auto"/>
              <w:rPr>
                <w:rFonts w:ascii="Times New Roman" w:hAnsi="Times New Roman"/>
                <w:sz w:val="24"/>
                <w:szCs w:val="24"/>
              </w:rPr>
            </w:pPr>
            <w:r>
              <w:rPr>
                <w:rFonts w:ascii="Times New Roman" w:hAnsi="Times New Roman"/>
                <w:sz w:val="24"/>
                <w:szCs w:val="24"/>
              </w:rPr>
              <w:t>Eeyee</w:t>
            </w:r>
          </w:p>
          <w:p w14:paraId="0D56F968">
            <w:pPr>
              <w:spacing w:line="360" w:lineRule="auto"/>
              <w:rPr>
                <w:rFonts w:ascii="Times New Roman" w:hAnsi="Times New Roman"/>
                <w:sz w:val="24"/>
                <w:szCs w:val="24"/>
              </w:rPr>
            </w:pPr>
            <w:r>
              <w:rPr>
                <w:rFonts w:ascii="Times New Roman" w:hAnsi="Times New Roman"/>
                <w:sz w:val="24"/>
                <w:szCs w:val="24"/>
              </w:rPr>
              <w:t>Lakki</w:t>
            </w:r>
          </w:p>
        </w:tc>
        <w:tc>
          <w:tcPr>
            <w:tcW w:w="1278" w:type="dxa"/>
          </w:tcPr>
          <w:p w14:paraId="0FBE60A9">
            <w:pPr>
              <w:spacing w:line="360" w:lineRule="auto"/>
              <w:rPr>
                <w:rFonts w:ascii="Times New Roman" w:hAnsi="Times New Roman"/>
                <w:sz w:val="24"/>
                <w:szCs w:val="24"/>
              </w:rPr>
            </w:pPr>
          </w:p>
        </w:tc>
      </w:tr>
      <w:tr w14:paraId="7DA9CE83">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8" w:type="dxa"/>
          </w:tcPr>
          <w:p w14:paraId="362D354D">
            <w:pPr>
              <w:spacing w:line="360" w:lineRule="auto"/>
              <w:rPr>
                <w:rFonts w:ascii="Times New Roman" w:hAnsi="Times New Roman"/>
                <w:sz w:val="24"/>
                <w:szCs w:val="24"/>
              </w:rPr>
            </w:pPr>
            <w:r>
              <w:rPr>
                <w:rFonts w:ascii="Times New Roman" w:hAnsi="Times New Roman"/>
                <w:sz w:val="24"/>
                <w:szCs w:val="24"/>
              </w:rPr>
              <w:t>28</w:t>
            </w:r>
          </w:p>
        </w:tc>
        <w:tc>
          <w:tcPr>
            <w:tcW w:w="3240" w:type="dxa"/>
          </w:tcPr>
          <w:p w14:paraId="44BCC771">
            <w:pPr>
              <w:spacing w:line="360" w:lineRule="auto"/>
              <w:rPr>
                <w:rFonts w:ascii="Times New Roman" w:hAnsi="Times New Roman"/>
                <w:sz w:val="24"/>
                <w:szCs w:val="24"/>
              </w:rPr>
            </w:pPr>
            <w:r>
              <w:rPr>
                <w:rFonts w:ascii="Times New Roman" w:hAnsi="Times New Roman"/>
                <w:sz w:val="24"/>
                <w:szCs w:val="24"/>
              </w:rPr>
              <w:t>Gaaffii 27ffaa eeyyee  yoota’e  eessaa  dhageesse</w:t>
            </w:r>
          </w:p>
        </w:tc>
        <w:tc>
          <w:tcPr>
            <w:tcW w:w="4230" w:type="dxa"/>
          </w:tcPr>
          <w:p w14:paraId="467EEAA1">
            <w:pPr>
              <w:spacing w:line="360" w:lineRule="auto"/>
              <w:rPr>
                <w:rFonts w:ascii="Times New Roman" w:hAnsi="Times New Roman"/>
                <w:sz w:val="24"/>
                <w:szCs w:val="24"/>
              </w:rPr>
            </w:pPr>
            <w:r>
              <w:rPr>
                <w:rFonts w:ascii="Times New Roman" w:hAnsi="Times New Roman"/>
                <w:sz w:val="24"/>
                <w:szCs w:val="24"/>
              </w:rPr>
              <w:t xml:space="preserve">A. TV   </w:t>
            </w:r>
          </w:p>
          <w:p w14:paraId="543D5CC9">
            <w:pPr>
              <w:spacing w:line="360" w:lineRule="auto"/>
              <w:rPr>
                <w:rFonts w:ascii="Times New Roman" w:hAnsi="Times New Roman"/>
                <w:sz w:val="24"/>
                <w:szCs w:val="24"/>
              </w:rPr>
            </w:pPr>
            <w:r>
              <w:rPr>
                <w:rFonts w:ascii="Times New Roman" w:hAnsi="Times New Roman"/>
                <w:sz w:val="24"/>
                <w:szCs w:val="24"/>
              </w:rPr>
              <w:t xml:space="preserve">B. Raadiyoo </w:t>
            </w:r>
          </w:p>
          <w:p w14:paraId="06A55151">
            <w:pPr>
              <w:spacing w:line="360" w:lineRule="auto"/>
              <w:rPr>
                <w:rFonts w:ascii="Times New Roman" w:hAnsi="Times New Roman"/>
                <w:sz w:val="24"/>
                <w:szCs w:val="24"/>
              </w:rPr>
            </w:pPr>
            <w:r>
              <w:rPr>
                <w:rFonts w:ascii="Times New Roman" w:hAnsi="Times New Roman"/>
                <w:sz w:val="24"/>
                <w:szCs w:val="24"/>
              </w:rPr>
              <w:t xml:space="preserve">C. Miidiyaa Hawaasaa    </w:t>
            </w:r>
          </w:p>
          <w:p w14:paraId="31A1E80C">
            <w:pPr>
              <w:spacing w:line="360" w:lineRule="auto"/>
              <w:rPr>
                <w:rFonts w:ascii="Times New Roman" w:hAnsi="Times New Roman"/>
                <w:sz w:val="24"/>
                <w:szCs w:val="24"/>
              </w:rPr>
            </w:pPr>
            <w:r>
              <w:rPr>
                <w:rFonts w:ascii="Times New Roman" w:hAnsi="Times New Roman"/>
                <w:sz w:val="24"/>
                <w:szCs w:val="24"/>
              </w:rPr>
              <w:t>D. .  Dhaabbata Fayyaa</w:t>
            </w:r>
          </w:p>
          <w:p w14:paraId="18FDD478">
            <w:pPr>
              <w:spacing w:line="360" w:lineRule="auto"/>
              <w:rPr>
                <w:rFonts w:ascii="Times New Roman" w:hAnsi="Times New Roman"/>
                <w:sz w:val="24"/>
                <w:szCs w:val="24"/>
              </w:rPr>
            </w:pPr>
            <w:r>
              <w:rPr>
                <w:rFonts w:ascii="Times New Roman" w:hAnsi="Times New Roman"/>
                <w:sz w:val="24"/>
                <w:szCs w:val="24"/>
              </w:rPr>
              <w:t xml:space="preserve">E. Taappeellaa </w:t>
            </w:r>
          </w:p>
          <w:p w14:paraId="4F3E2447">
            <w:pPr>
              <w:spacing w:line="360" w:lineRule="auto"/>
              <w:rPr>
                <w:rFonts w:ascii="Times New Roman" w:hAnsi="Times New Roman"/>
                <w:sz w:val="24"/>
                <w:szCs w:val="24"/>
              </w:rPr>
            </w:pPr>
            <w:r>
              <w:rPr>
                <w:rFonts w:ascii="Times New Roman" w:hAnsi="Times New Roman"/>
                <w:sz w:val="24"/>
                <w:szCs w:val="24"/>
              </w:rPr>
              <w:t xml:space="preserve">F. Poostaroota </w:t>
            </w:r>
          </w:p>
          <w:p w14:paraId="0209712A">
            <w:pPr>
              <w:spacing w:line="360" w:lineRule="auto"/>
              <w:rPr>
                <w:rFonts w:ascii="Times New Roman" w:hAnsi="Times New Roman"/>
                <w:sz w:val="24"/>
                <w:szCs w:val="24"/>
              </w:rPr>
            </w:pPr>
            <w:r>
              <w:rPr>
                <w:rFonts w:ascii="Times New Roman" w:hAnsi="Times New Roman"/>
                <w:sz w:val="24"/>
                <w:szCs w:val="24"/>
              </w:rPr>
              <w:t xml:space="preserve">G. Gaazexaa </w:t>
            </w:r>
          </w:p>
          <w:p w14:paraId="59C7510F">
            <w:pPr>
              <w:spacing w:line="360" w:lineRule="auto"/>
              <w:rPr>
                <w:rFonts w:ascii="Times New Roman" w:hAnsi="Times New Roman"/>
                <w:sz w:val="24"/>
                <w:szCs w:val="24"/>
              </w:rPr>
            </w:pPr>
            <w:r>
              <w:rPr>
                <w:rFonts w:ascii="Times New Roman" w:hAnsi="Times New Roman"/>
                <w:sz w:val="24"/>
                <w:szCs w:val="24"/>
              </w:rPr>
              <w:t xml:space="preserve">H. Agarsiisa/Diraamaa </w:t>
            </w:r>
          </w:p>
          <w:p w14:paraId="6B88AFBD">
            <w:pPr>
              <w:spacing w:line="360" w:lineRule="auto"/>
              <w:rPr>
                <w:rFonts w:ascii="Times New Roman" w:hAnsi="Times New Roman"/>
                <w:sz w:val="24"/>
                <w:szCs w:val="24"/>
              </w:rPr>
            </w:pPr>
            <w:r>
              <w:rPr>
                <w:rFonts w:ascii="Times New Roman" w:hAnsi="Times New Roman"/>
                <w:sz w:val="24"/>
                <w:szCs w:val="24"/>
              </w:rPr>
              <w:t xml:space="preserve">I. Workshop Leenjii </w:t>
            </w:r>
          </w:p>
          <w:p w14:paraId="7386F674">
            <w:pPr>
              <w:spacing w:line="360" w:lineRule="auto"/>
              <w:rPr>
                <w:rFonts w:ascii="Times New Roman" w:hAnsi="Times New Roman"/>
                <w:sz w:val="24"/>
                <w:szCs w:val="24"/>
              </w:rPr>
            </w:pPr>
            <w:r>
              <w:rPr>
                <w:rFonts w:ascii="Times New Roman" w:hAnsi="Times New Roman"/>
                <w:sz w:val="24"/>
                <w:szCs w:val="24"/>
              </w:rPr>
              <w:t>J. Intarneetii/ Weeb</w:t>
            </w:r>
          </w:p>
        </w:tc>
        <w:tc>
          <w:tcPr>
            <w:tcW w:w="1278" w:type="dxa"/>
          </w:tcPr>
          <w:p w14:paraId="0F3356AF">
            <w:pPr>
              <w:spacing w:line="360" w:lineRule="auto"/>
              <w:rPr>
                <w:rFonts w:ascii="Times New Roman" w:hAnsi="Times New Roman"/>
                <w:sz w:val="24"/>
                <w:szCs w:val="24"/>
              </w:rPr>
            </w:pPr>
          </w:p>
        </w:tc>
      </w:tr>
    </w:tbl>
    <w:p w14:paraId="468F8D5D">
      <w:pPr>
        <w:spacing w:line="360" w:lineRule="auto"/>
        <w:rPr>
          <w:rFonts w:ascii="Times New Roman" w:hAnsi="Times New Roman"/>
          <w:sz w:val="24"/>
          <w:szCs w:val="24"/>
        </w:rPr>
      </w:pPr>
      <w:r>
        <w:rPr>
          <w:rFonts w:ascii="Times New Roman" w:hAnsi="Times New Roman"/>
          <w:sz w:val="24"/>
          <w:szCs w:val="24"/>
        </w:rPr>
        <w:t>Kutaa III. Ilaalcha haadholiin  dhukkuba busaa, ittisa isaa fi talaallii busaa irratti qaban</w:t>
      </w:r>
    </w:p>
    <w:p w14:paraId="4D3D08C0">
      <w:pPr>
        <w:spacing w:line="360" w:lineRule="auto"/>
        <w:rPr>
          <w:rFonts w:ascii="Times New Roman" w:hAnsi="Times New Roman"/>
          <w:sz w:val="24"/>
          <w:szCs w:val="24"/>
        </w:rPr>
      </w:pPr>
    </w:p>
    <w:tbl>
      <w:tblPr>
        <w:tblStyle w:val="66"/>
        <w:tblW w:w="9891" w:type="dxa"/>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883"/>
        <w:gridCol w:w="3690"/>
        <w:gridCol w:w="1440"/>
        <w:gridCol w:w="1350"/>
        <w:gridCol w:w="1170"/>
        <w:gridCol w:w="1358"/>
      </w:tblGrid>
      <w:tr w14:paraId="0BE281E3">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83" w:type="dxa"/>
          </w:tcPr>
          <w:p w14:paraId="2A6C0E96">
            <w:pPr>
              <w:spacing w:line="360" w:lineRule="auto"/>
              <w:rPr>
                <w:rFonts w:ascii="Times New Roman" w:hAnsi="Times New Roman"/>
                <w:sz w:val="24"/>
                <w:szCs w:val="24"/>
              </w:rPr>
            </w:pPr>
            <w:r>
              <w:rPr>
                <w:rFonts w:ascii="Times New Roman" w:hAnsi="Times New Roman"/>
                <w:sz w:val="24"/>
                <w:szCs w:val="24"/>
              </w:rPr>
              <w:t>Koodii</w:t>
            </w:r>
          </w:p>
        </w:tc>
        <w:tc>
          <w:tcPr>
            <w:tcW w:w="3690" w:type="dxa"/>
          </w:tcPr>
          <w:p w14:paraId="2DD389D8">
            <w:pPr>
              <w:spacing w:line="360" w:lineRule="auto"/>
              <w:rPr>
                <w:rFonts w:ascii="Times New Roman" w:hAnsi="Times New Roman"/>
                <w:sz w:val="24"/>
                <w:szCs w:val="24"/>
              </w:rPr>
            </w:pPr>
            <w:r>
              <w:rPr>
                <w:rFonts w:ascii="Times New Roman" w:hAnsi="Times New Roman"/>
                <w:sz w:val="24"/>
                <w:szCs w:val="24"/>
              </w:rPr>
              <w:t>Gaaffi</w:t>
            </w:r>
          </w:p>
        </w:tc>
        <w:tc>
          <w:tcPr>
            <w:tcW w:w="1440" w:type="dxa"/>
          </w:tcPr>
          <w:p w14:paraId="2E960BDE">
            <w:pPr>
              <w:spacing w:line="360" w:lineRule="auto"/>
              <w:rPr>
                <w:rFonts w:ascii="Times New Roman" w:hAnsi="Times New Roman"/>
                <w:sz w:val="24"/>
                <w:szCs w:val="24"/>
              </w:rPr>
            </w:pPr>
            <w:r>
              <w:rPr>
                <w:rFonts w:ascii="Times New Roman" w:hAnsi="Times New Roman"/>
                <w:sz w:val="24"/>
                <w:szCs w:val="24"/>
              </w:rPr>
              <w:t>Cimsee irrat walii hingalu</w:t>
            </w:r>
          </w:p>
        </w:tc>
        <w:tc>
          <w:tcPr>
            <w:tcW w:w="1350" w:type="dxa"/>
          </w:tcPr>
          <w:p w14:paraId="20DE3D19">
            <w:pPr>
              <w:spacing w:line="360" w:lineRule="auto"/>
              <w:rPr>
                <w:rFonts w:ascii="Times New Roman" w:hAnsi="Times New Roman"/>
                <w:sz w:val="24"/>
                <w:szCs w:val="24"/>
              </w:rPr>
            </w:pPr>
            <w:r>
              <w:rPr>
                <w:rFonts w:ascii="Times New Roman" w:hAnsi="Times New Roman"/>
                <w:sz w:val="24"/>
                <w:szCs w:val="24"/>
              </w:rPr>
              <w:t>Walii hingalu</w:t>
            </w:r>
          </w:p>
        </w:tc>
        <w:tc>
          <w:tcPr>
            <w:tcW w:w="1170" w:type="dxa"/>
          </w:tcPr>
          <w:p w14:paraId="3A289DB6">
            <w:pPr>
              <w:spacing w:line="360" w:lineRule="auto"/>
              <w:rPr>
                <w:rFonts w:ascii="Times New Roman" w:hAnsi="Times New Roman"/>
                <w:sz w:val="24"/>
                <w:szCs w:val="24"/>
              </w:rPr>
            </w:pPr>
            <w:r>
              <w:rPr>
                <w:rFonts w:ascii="Times New Roman" w:hAnsi="Times New Roman"/>
                <w:sz w:val="24"/>
                <w:szCs w:val="24"/>
              </w:rPr>
              <w:t>Cimsee  irratti walii nangala</w:t>
            </w:r>
          </w:p>
        </w:tc>
        <w:tc>
          <w:tcPr>
            <w:tcW w:w="1358" w:type="dxa"/>
          </w:tcPr>
          <w:p w14:paraId="28A03ECA">
            <w:pPr>
              <w:spacing w:line="360" w:lineRule="auto"/>
              <w:rPr>
                <w:rFonts w:ascii="Times New Roman" w:hAnsi="Times New Roman"/>
                <w:sz w:val="24"/>
                <w:szCs w:val="24"/>
              </w:rPr>
            </w:pPr>
            <w:r>
              <w:rPr>
                <w:rFonts w:ascii="Times New Roman" w:hAnsi="Times New Roman"/>
                <w:sz w:val="24"/>
                <w:szCs w:val="24"/>
              </w:rPr>
              <w:t>Walii nangala</w:t>
            </w:r>
          </w:p>
        </w:tc>
      </w:tr>
      <w:tr w14:paraId="6DE3214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83" w:type="dxa"/>
          </w:tcPr>
          <w:p w14:paraId="08753220">
            <w:pPr>
              <w:spacing w:line="360" w:lineRule="auto"/>
              <w:rPr>
                <w:rFonts w:ascii="Times New Roman" w:hAnsi="Times New Roman"/>
                <w:sz w:val="24"/>
                <w:szCs w:val="24"/>
              </w:rPr>
            </w:pPr>
            <w:r>
              <w:rPr>
                <w:rFonts w:ascii="Times New Roman" w:hAnsi="Times New Roman"/>
                <w:sz w:val="24"/>
                <w:szCs w:val="24"/>
              </w:rPr>
              <w:t>29</w:t>
            </w:r>
          </w:p>
        </w:tc>
        <w:tc>
          <w:tcPr>
            <w:tcW w:w="3690" w:type="dxa"/>
          </w:tcPr>
          <w:p w14:paraId="2B638CFD">
            <w:pPr>
              <w:spacing w:line="360" w:lineRule="auto"/>
              <w:rPr>
                <w:rFonts w:ascii="Times New Roman" w:hAnsi="Times New Roman"/>
                <w:sz w:val="24"/>
                <w:szCs w:val="24"/>
              </w:rPr>
            </w:pPr>
            <w:r>
              <w:rPr>
                <w:rFonts w:ascii="Times New Roman" w:hAnsi="Times New Roman"/>
                <w:sz w:val="24"/>
                <w:szCs w:val="24"/>
              </w:rPr>
              <w:t>Dhukkubni busaa dhukkuba hamaa fi lubbuu namaa balaa irra buusudha</w:t>
            </w:r>
          </w:p>
        </w:tc>
        <w:tc>
          <w:tcPr>
            <w:tcW w:w="1440" w:type="dxa"/>
          </w:tcPr>
          <w:p w14:paraId="3769024F">
            <w:pPr>
              <w:spacing w:line="360" w:lineRule="auto"/>
              <w:rPr>
                <w:rFonts w:ascii="Times New Roman" w:hAnsi="Times New Roman"/>
                <w:sz w:val="24"/>
                <w:szCs w:val="24"/>
              </w:rPr>
            </w:pPr>
          </w:p>
        </w:tc>
        <w:tc>
          <w:tcPr>
            <w:tcW w:w="1350" w:type="dxa"/>
          </w:tcPr>
          <w:p w14:paraId="3C3CDEF4">
            <w:pPr>
              <w:spacing w:line="360" w:lineRule="auto"/>
              <w:rPr>
                <w:rFonts w:ascii="Times New Roman" w:hAnsi="Times New Roman"/>
                <w:sz w:val="24"/>
                <w:szCs w:val="24"/>
              </w:rPr>
            </w:pPr>
          </w:p>
        </w:tc>
        <w:tc>
          <w:tcPr>
            <w:tcW w:w="1170" w:type="dxa"/>
          </w:tcPr>
          <w:p w14:paraId="346E3FC1">
            <w:pPr>
              <w:spacing w:line="360" w:lineRule="auto"/>
              <w:rPr>
                <w:rFonts w:ascii="Times New Roman" w:hAnsi="Times New Roman"/>
                <w:sz w:val="24"/>
                <w:szCs w:val="24"/>
              </w:rPr>
            </w:pPr>
          </w:p>
        </w:tc>
        <w:tc>
          <w:tcPr>
            <w:tcW w:w="1358" w:type="dxa"/>
          </w:tcPr>
          <w:p w14:paraId="01548778">
            <w:pPr>
              <w:spacing w:line="360" w:lineRule="auto"/>
              <w:rPr>
                <w:rFonts w:ascii="Times New Roman" w:hAnsi="Times New Roman"/>
                <w:sz w:val="24"/>
                <w:szCs w:val="24"/>
              </w:rPr>
            </w:pPr>
          </w:p>
        </w:tc>
      </w:tr>
      <w:tr w14:paraId="07ED853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83" w:type="dxa"/>
          </w:tcPr>
          <w:p w14:paraId="58680F04">
            <w:pPr>
              <w:spacing w:line="360" w:lineRule="auto"/>
              <w:rPr>
                <w:rFonts w:ascii="Times New Roman" w:hAnsi="Times New Roman"/>
                <w:sz w:val="24"/>
                <w:szCs w:val="24"/>
              </w:rPr>
            </w:pPr>
            <w:r>
              <w:rPr>
                <w:rFonts w:ascii="Times New Roman" w:hAnsi="Times New Roman"/>
                <w:sz w:val="24"/>
                <w:szCs w:val="24"/>
              </w:rPr>
              <w:t>30</w:t>
            </w:r>
          </w:p>
        </w:tc>
        <w:tc>
          <w:tcPr>
            <w:tcW w:w="3690" w:type="dxa"/>
          </w:tcPr>
          <w:p w14:paraId="3AB5DAD4">
            <w:pPr>
              <w:spacing w:line="360" w:lineRule="auto"/>
              <w:rPr>
                <w:rFonts w:ascii="Times New Roman" w:hAnsi="Times New Roman"/>
                <w:sz w:val="24"/>
                <w:szCs w:val="24"/>
              </w:rPr>
            </w:pPr>
            <w:r>
              <w:rPr>
                <w:rFonts w:ascii="Times New Roman" w:hAnsi="Times New Roman"/>
                <w:sz w:val="24"/>
                <w:szCs w:val="24"/>
              </w:rPr>
              <w:t>Halkan  saaphana siree  keessa rafuun karaa ittin Busaa ittisuu danda'u keessaa isa tokkodha</w:t>
            </w:r>
          </w:p>
        </w:tc>
        <w:tc>
          <w:tcPr>
            <w:tcW w:w="1440" w:type="dxa"/>
          </w:tcPr>
          <w:p w14:paraId="2C8C481D">
            <w:pPr>
              <w:spacing w:line="360" w:lineRule="auto"/>
              <w:rPr>
                <w:rFonts w:ascii="Times New Roman" w:hAnsi="Times New Roman"/>
                <w:sz w:val="24"/>
                <w:szCs w:val="24"/>
              </w:rPr>
            </w:pPr>
          </w:p>
          <w:p w14:paraId="5F684207">
            <w:pPr>
              <w:spacing w:line="360" w:lineRule="auto"/>
              <w:rPr>
                <w:rFonts w:ascii="Times New Roman" w:hAnsi="Times New Roman"/>
                <w:sz w:val="24"/>
                <w:szCs w:val="24"/>
              </w:rPr>
            </w:pPr>
          </w:p>
        </w:tc>
        <w:tc>
          <w:tcPr>
            <w:tcW w:w="1350" w:type="dxa"/>
          </w:tcPr>
          <w:p w14:paraId="1F9DC9BE">
            <w:pPr>
              <w:spacing w:line="360" w:lineRule="auto"/>
              <w:rPr>
                <w:rFonts w:ascii="Times New Roman" w:hAnsi="Times New Roman"/>
                <w:sz w:val="24"/>
                <w:szCs w:val="24"/>
              </w:rPr>
            </w:pPr>
          </w:p>
        </w:tc>
        <w:tc>
          <w:tcPr>
            <w:tcW w:w="1170" w:type="dxa"/>
          </w:tcPr>
          <w:p w14:paraId="42A57091">
            <w:pPr>
              <w:spacing w:line="360" w:lineRule="auto"/>
              <w:rPr>
                <w:rFonts w:ascii="Times New Roman" w:hAnsi="Times New Roman"/>
                <w:sz w:val="24"/>
                <w:szCs w:val="24"/>
              </w:rPr>
            </w:pPr>
          </w:p>
        </w:tc>
        <w:tc>
          <w:tcPr>
            <w:tcW w:w="1358" w:type="dxa"/>
          </w:tcPr>
          <w:p w14:paraId="4A019142">
            <w:pPr>
              <w:spacing w:line="360" w:lineRule="auto"/>
              <w:rPr>
                <w:rFonts w:ascii="Times New Roman" w:hAnsi="Times New Roman"/>
                <w:sz w:val="24"/>
                <w:szCs w:val="24"/>
              </w:rPr>
            </w:pPr>
          </w:p>
        </w:tc>
      </w:tr>
      <w:tr w14:paraId="734514C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83" w:type="dxa"/>
          </w:tcPr>
          <w:p w14:paraId="0B80EBA0">
            <w:pPr>
              <w:spacing w:line="360" w:lineRule="auto"/>
              <w:rPr>
                <w:rFonts w:ascii="Times New Roman" w:hAnsi="Times New Roman"/>
                <w:sz w:val="24"/>
                <w:szCs w:val="24"/>
              </w:rPr>
            </w:pPr>
            <w:r>
              <w:rPr>
                <w:rFonts w:ascii="Times New Roman" w:hAnsi="Times New Roman"/>
                <w:sz w:val="24"/>
                <w:szCs w:val="24"/>
              </w:rPr>
              <w:t>31</w:t>
            </w:r>
          </w:p>
        </w:tc>
        <w:tc>
          <w:tcPr>
            <w:tcW w:w="3690" w:type="dxa"/>
          </w:tcPr>
          <w:p w14:paraId="74A2150A">
            <w:pPr>
              <w:spacing w:line="360" w:lineRule="auto"/>
              <w:rPr>
                <w:rFonts w:ascii="Times New Roman" w:hAnsi="Times New Roman"/>
                <w:sz w:val="24"/>
                <w:szCs w:val="24"/>
              </w:rPr>
            </w:pPr>
            <w:r>
              <w:rPr>
                <w:rFonts w:ascii="Times New Roman" w:hAnsi="Times New Roman"/>
                <w:sz w:val="24"/>
                <w:szCs w:val="24"/>
              </w:rPr>
              <w:t>Talaalliin busaa  mijataadh  jedheen yaada</w:t>
            </w:r>
          </w:p>
        </w:tc>
        <w:tc>
          <w:tcPr>
            <w:tcW w:w="1440" w:type="dxa"/>
          </w:tcPr>
          <w:p w14:paraId="73C74FA2">
            <w:pPr>
              <w:spacing w:line="360" w:lineRule="auto"/>
              <w:rPr>
                <w:rFonts w:ascii="Times New Roman" w:hAnsi="Times New Roman"/>
                <w:sz w:val="24"/>
                <w:szCs w:val="24"/>
              </w:rPr>
            </w:pPr>
          </w:p>
        </w:tc>
        <w:tc>
          <w:tcPr>
            <w:tcW w:w="1350" w:type="dxa"/>
          </w:tcPr>
          <w:p w14:paraId="67096AC4">
            <w:pPr>
              <w:spacing w:line="360" w:lineRule="auto"/>
              <w:rPr>
                <w:rFonts w:ascii="Times New Roman" w:hAnsi="Times New Roman"/>
                <w:sz w:val="24"/>
                <w:szCs w:val="24"/>
              </w:rPr>
            </w:pPr>
          </w:p>
        </w:tc>
        <w:tc>
          <w:tcPr>
            <w:tcW w:w="1170" w:type="dxa"/>
          </w:tcPr>
          <w:p w14:paraId="368298EF">
            <w:pPr>
              <w:spacing w:line="360" w:lineRule="auto"/>
              <w:rPr>
                <w:rFonts w:ascii="Times New Roman" w:hAnsi="Times New Roman"/>
                <w:sz w:val="24"/>
                <w:szCs w:val="24"/>
              </w:rPr>
            </w:pPr>
          </w:p>
        </w:tc>
        <w:tc>
          <w:tcPr>
            <w:tcW w:w="1358" w:type="dxa"/>
          </w:tcPr>
          <w:p w14:paraId="77F85160">
            <w:pPr>
              <w:spacing w:line="360" w:lineRule="auto"/>
              <w:rPr>
                <w:rFonts w:ascii="Times New Roman" w:hAnsi="Times New Roman"/>
                <w:sz w:val="24"/>
                <w:szCs w:val="24"/>
              </w:rPr>
            </w:pPr>
          </w:p>
        </w:tc>
      </w:tr>
      <w:tr w14:paraId="5AE37C0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83" w:type="dxa"/>
          </w:tcPr>
          <w:p w14:paraId="50EC2BB6">
            <w:pPr>
              <w:spacing w:line="360" w:lineRule="auto"/>
              <w:rPr>
                <w:rFonts w:ascii="Times New Roman" w:hAnsi="Times New Roman"/>
                <w:sz w:val="24"/>
                <w:szCs w:val="24"/>
              </w:rPr>
            </w:pPr>
            <w:r>
              <w:rPr>
                <w:rFonts w:ascii="Times New Roman" w:hAnsi="Times New Roman"/>
                <w:sz w:val="24"/>
                <w:szCs w:val="24"/>
              </w:rPr>
              <w:t>32</w:t>
            </w:r>
          </w:p>
        </w:tc>
        <w:tc>
          <w:tcPr>
            <w:tcW w:w="3690" w:type="dxa"/>
          </w:tcPr>
          <w:p w14:paraId="7E3EA6A6">
            <w:pPr>
              <w:spacing w:line="360" w:lineRule="auto"/>
              <w:rPr>
                <w:rFonts w:ascii="Times New Roman" w:hAnsi="Times New Roman"/>
                <w:sz w:val="24"/>
                <w:szCs w:val="24"/>
              </w:rPr>
            </w:pPr>
            <w:r>
              <w:rPr>
                <w:rFonts w:ascii="Times New Roman" w:hAnsi="Times New Roman"/>
                <w:sz w:val="24"/>
                <w:szCs w:val="24"/>
              </w:rPr>
              <w:t>Talaalliin dhukkuba busaa to'achuu keessatti barbaachisaa natti fakkaata</w:t>
            </w:r>
          </w:p>
        </w:tc>
        <w:tc>
          <w:tcPr>
            <w:tcW w:w="1440" w:type="dxa"/>
          </w:tcPr>
          <w:p w14:paraId="36C0B1D9">
            <w:pPr>
              <w:spacing w:line="360" w:lineRule="auto"/>
              <w:rPr>
                <w:rFonts w:ascii="Times New Roman" w:hAnsi="Times New Roman"/>
                <w:sz w:val="24"/>
                <w:szCs w:val="24"/>
              </w:rPr>
            </w:pPr>
          </w:p>
        </w:tc>
        <w:tc>
          <w:tcPr>
            <w:tcW w:w="1350" w:type="dxa"/>
          </w:tcPr>
          <w:p w14:paraId="700F339D">
            <w:pPr>
              <w:spacing w:line="360" w:lineRule="auto"/>
              <w:rPr>
                <w:rFonts w:ascii="Times New Roman" w:hAnsi="Times New Roman"/>
                <w:sz w:val="24"/>
                <w:szCs w:val="24"/>
              </w:rPr>
            </w:pPr>
          </w:p>
        </w:tc>
        <w:tc>
          <w:tcPr>
            <w:tcW w:w="1170" w:type="dxa"/>
          </w:tcPr>
          <w:p w14:paraId="61A68651">
            <w:pPr>
              <w:spacing w:line="360" w:lineRule="auto"/>
              <w:rPr>
                <w:rFonts w:ascii="Times New Roman" w:hAnsi="Times New Roman"/>
                <w:sz w:val="24"/>
                <w:szCs w:val="24"/>
              </w:rPr>
            </w:pPr>
          </w:p>
        </w:tc>
        <w:tc>
          <w:tcPr>
            <w:tcW w:w="1358" w:type="dxa"/>
          </w:tcPr>
          <w:p w14:paraId="36046BBF">
            <w:pPr>
              <w:spacing w:line="360" w:lineRule="auto"/>
              <w:rPr>
                <w:rFonts w:ascii="Times New Roman" w:hAnsi="Times New Roman"/>
                <w:sz w:val="24"/>
                <w:szCs w:val="24"/>
              </w:rPr>
            </w:pPr>
          </w:p>
        </w:tc>
      </w:tr>
      <w:tr w14:paraId="275ED5E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83" w:type="dxa"/>
          </w:tcPr>
          <w:p w14:paraId="3348F06D">
            <w:pPr>
              <w:spacing w:line="360" w:lineRule="auto"/>
              <w:rPr>
                <w:rFonts w:ascii="Times New Roman" w:hAnsi="Times New Roman"/>
                <w:sz w:val="24"/>
                <w:szCs w:val="24"/>
              </w:rPr>
            </w:pPr>
            <w:r>
              <w:rPr>
                <w:rFonts w:ascii="Times New Roman" w:hAnsi="Times New Roman"/>
                <w:sz w:val="24"/>
                <w:szCs w:val="24"/>
              </w:rPr>
              <w:t>33</w:t>
            </w:r>
          </w:p>
        </w:tc>
        <w:tc>
          <w:tcPr>
            <w:tcW w:w="3690" w:type="dxa"/>
          </w:tcPr>
          <w:p w14:paraId="52B929E2">
            <w:pPr>
              <w:spacing w:line="360" w:lineRule="auto"/>
              <w:rPr>
                <w:rFonts w:ascii="Times New Roman" w:hAnsi="Times New Roman"/>
                <w:sz w:val="24"/>
                <w:szCs w:val="24"/>
              </w:rPr>
            </w:pPr>
            <w:r>
              <w:rPr>
                <w:rFonts w:ascii="Times New Roman" w:hAnsi="Times New Roman"/>
                <w:sz w:val="24"/>
                <w:szCs w:val="24"/>
              </w:rPr>
              <w:t>Namni talaallii busaa kanaan hin talaalamne kamiyyuu irraa fagaachuu qaba</w:t>
            </w:r>
          </w:p>
        </w:tc>
        <w:tc>
          <w:tcPr>
            <w:tcW w:w="1440" w:type="dxa"/>
          </w:tcPr>
          <w:p w14:paraId="72D927B8">
            <w:pPr>
              <w:spacing w:line="360" w:lineRule="auto"/>
              <w:rPr>
                <w:rFonts w:ascii="Times New Roman" w:hAnsi="Times New Roman"/>
                <w:sz w:val="24"/>
                <w:szCs w:val="24"/>
              </w:rPr>
            </w:pPr>
          </w:p>
        </w:tc>
        <w:tc>
          <w:tcPr>
            <w:tcW w:w="1350" w:type="dxa"/>
          </w:tcPr>
          <w:p w14:paraId="5C0C0A40">
            <w:pPr>
              <w:spacing w:line="360" w:lineRule="auto"/>
              <w:rPr>
                <w:rFonts w:ascii="Times New Roman" w:hAnsi="Times New Roman"/>
                <w:sz w:val="24"/>
                <w:szCs w:val="24"/>
              </w:rPr>
            </w:pPr>
          </w:p>
        </w:tc>
        <w:tc>
          <w:tcPr>
            <w:tcW w:w="1170" w:type="dxa"/>
          </w:tcPr>
          <w:p w14:paraId="7B354797">
            <w:pPr>
              <w:spacing w:line="360" w:lineRule="auto"/>
              <w:rPr>
                <w:rFonts w:ascii="Times New Roman" w:hAnsi="Times New Roman"/>
                <w:sz w:val="24"/>
                <w:szCs w:val="24"/>
              </w:rPr>
            </w:pPr>
          </w:p>
        </w:tc>
        <w:tc>
          <w:tcPr>
            <w:tcW w:w="1358" w:type="dxa"/>
          </w:tcPr>
          <w:p w14:paraId="39160DD2">
            <w:pPr>
              <w:spacing w:line="360" w:lineRule="auto"/>
              <w:rPr>
                <w:rFonts w:ascii="Times New Roman" w:hAnsi="Times New Roman"/>
                <w:sz w:val="24"/>
                <w:szCs w:val="24"/>
              </w:rPr>
            </w:pPr>
          </w:p>
        </w:tc>
      </w:tr>
      <w:tr w14:paraId="4EE02A9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83" w:type="dxa"/>
          </w:tcPr>
          <w:p w14:paraId="79CCF7BC">
            <w:pPr>
              <w:spacing w:line="360" w:lineRule="auto"/>
              <w:rPr>
                <w:rFonts w:ascii="Times New Roman" w:hAnsi="Times New Roman"/>
                <w:sz w:val="24"/>
                <w:szCs w:val="24"/>
              </w:rPr>
            </w:pPr>
            <w:r>
              <w:rPr>
                <w:rFonts w:ascii="Times New Roman" w:hAnsi="Times New Roman"/>
                <w:sz w:val="24"/>
                <w:szCs w:val="24"/>
              </w:rPr>
              <w:t>34</w:t>
            </w:r>
          </w:p>
        </w:tc>
        <w:tc>
          <w:tcPr>
            <w:tcW w:w="3690" w:type="dxa"/>
          </w:tcPr>
          <w:p w14:paraId="36BD4AFF">
            <w:pPr>
              <w:spacing w:line="360" w:lineRule="auto"/>
              <w:rPr>
                <w:rFonts w:ascii="Times New Roman" w:hAnsi="Times New Roman"/>
                <w:sz w:val="24"/>
                <w:szCs w:val="24"/>
              </w:rPr>
            </w:pPr>
            <w:r>
              <w:rPr>
                <w:rFonts w:ascii="Times New Roman" w:hAnsi="Times New Roman"/>
                <w:sz w:val="24"/>
                <w:szCs w:val="24"/>
              </w:rPr>
              <w:t>Talaalliin  busaa  umurii guutuu dhukkuba busaa irraa eegumsa kenna</w:t>
            </w:r>
          </w:p>
        </w:tc>
        <w:tc>
          <w:tcPr>
            <w:tcW w:w="1440" w:type="dxa"/>
          </w:tcPr>
          <w:p w14:paraId="78F1E13E">
            <w:pPr>
              <w:spacing w:line="360" w:lineRule="auto"/>
              <w:rPr>
                <w:rFonts w:ascii="Times New Roman" w:hAnsi="Times New Roman"/>
                <w:sz w:val="24"/>
                <w:szCs w:val="24"/>
              </w:rPr>
            </w:pPr>
          </w:p>
        </w:tc>
        <w:tc>
          <w:tcPr>
            <w:tcW w:w="1350" w:type="dxa"/>
          </w:tcPr>
          <w:p w14:paraId="5585FFED">
            <w:pPr>
              <w:spacing w:line="360" w:lineRule="auto"/>
              <w:rPr>
                <w:rFonts w:ascii="Times New Roman" w:hAnsi="Times New Roman"/>
                <w:sz w:val="24"/>
                <w:szCs w:val="24"/>
              </w:rPr>
            </w:pPr>
          </w:p>
        </w:tc>
        <w:tc>
          <w:tcPr>
            <w:tcW w:w="1170" w:type="dxa"/>
          </w:tcPr>
          <w:p w14:paraId="2941D971">
            <w:pPr>
              <w:spacing w:line="360" w:lineRule="auto"/>
              <w:rPr>
                <w:rFonts w:ascii="Times New Roman" w:hAnsi="Times New Roman"/>
                <w:sz w:val="24"/>
                <w:szCs w:val="24"/>
              </w:rPr>
            </w:pPr>
          </w:p>
        </w:tc>
        <w:tc>
          <w:tcPr>
            <w:tcW w:w="1358" w:type="dxa"/>
          </w:tcPr>
          <w:p w14:paraId="77196500">
            <w:pPr>
              <w:spacing w:line="360" w:lineRule="auto"/>
              <w:rPr>
                <w:rFonts w:ascii="Times New Roman" w:hAnsi="Times New Roman"/>
                <w:sz w:val="24"/>
                <w:szCs w:val="24"/>
              </w:rPr>
            </w:pPr>
          </w:p>
        </w:tc>
      </w:tr>
    </w:tbl>
    <w:p w14:paraId="2C9AE733">
      <w:pPr>
        <w:spacing w:line="360" w:lineRule="auto"/>
        <w:rPr>
          <w:rFonts w:ascii="Times New Roman" w:hAnsi="Times New Roman"/>
          <w:sz w:val="24"/>
          <w:szCs w:val="24"/>
        </w:rPr>
      </w:pPr>
    </w:p>
    <w:p w14:paraId="4EEF3FF1">
      <w:pPr>
        <w:spacing w:line="360" w:lineRule="auto"/>
        <w:rPr>
          <w:rFonts w:ascii="Times New Roman" w:hAnsi="Times New Roman"/>
          <w:sz w:val="24"/>
          <w:szCs w:val="24"/>
        </w:rPr>
      </w:pPr>
      <w:r>
        <w:rPr>
          <w:rFonts w:ascii="Times New Roman" w:hAnsi="Times New Roman"/>
          <w:sz w:val="24"/>
          <w:szCs w:val="24"/>
        </w:rPr>
        <w:t>Kutaa IV. Gocha haadholii/  ittisa busaa fi fedhii talaallii fudhachiisu qaban</w:t>
      </w:r>
    </w:p>
    <w:p w14:paraId="13FFE9EC">
      <w:pPr>
        <w:spacing w:line="360" w:lineRule="auto"/>
        <w:rPr>
          <w:rFonts w:ascii="Times New Roman" w:hAnsi="Times New Roman"/>
          <w:sz w:val="24"/>
          <w:szCs w:val="24"/>
        </w:rPr>
      </w:pPr>
    </w:p>
    <w:tbl>
      <w:tblPr>
        <w:tblStyle w:val="66"/>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828"/>
        <w:gridCol w:w="3690"/>
        <w:gridCol w:w="3600"/>
        <w:gridCol w:w="1458"/>
      </w:tblGrid>
      <w:tr w14:paraId="421882D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682" w:hRule="atLeast"/>
        </w:trPr>
        <w:tc>
          <w:tcPr>
            <w:tcW w:w="828" w:type="dxa"/>
          </w:tcPr>
          <w:p w14:paraId="43756777">
            <w:pPr>
              <w:spacing w:line="360" w:lineRule="auto"/>
              <w:rPr>
                <w:rFonts w:ascii="Times New Roman" w:hAnsi="Times New Roman"/>
                <w:sz w:val="24"/>
                <w:szCs w:val="24"/>
              </w:rPr>
            </w:pPr>
            <w:r>
              <w:rPr>
                <w:rFonts w:ascii="Times New Roman" w:hAnsi="Times New Roman"/>
                <w:sz w:val="24"/>
                <w:szCs w:val="24"/>
              </w:rPr>
              <w:t>35</w:t>
            </w:r>
          </w:p>
        </w:tc>
        <w:tc>
          <w:tcPr>
            <w:tcW w:w="3690" w:type="dxa"/>
          </w:tcPr>
          <w:p w14:paraId="70E028DC">
            <w:pPr>
              <w:spacing w:line="360" w:lineRule="auto"/>
              <w:rPr>
                <w:rFonts w:ascii="Times New Roman" w:hAnsi="Times New Roman"/>
              </w:rPr>
            </w:pPr>
            <w:r>
              <w:rPr>
                <w:rFonts w:ascii="Times New Roman" w:hAnsi="Times New Roman"/>
              </w:rPr>
              <w:t>Mana keessan keessaa  saaphana siree  qabduu?</w:t>
            </w:r>
          </w:p>
        </w:tc>
        <w:tc>
          <w:tcPr>
            <w:tcW w:w="3600" w:type="dxa"/>
          </w:tcPr>
          <w:p w14:paraId="65A11CF0">
            <w:pPr>
              <w:spacing w:line="360" w:lineRule="auto"/>
              <w:rPr>
                <w:rFonts w:ascii="Times New Roman" w:hAnsi="Times New Roman"/>
              </w:rPr>
            </w:pPr>
            <w:r>
              <w:rPr>
                <w:rFonts w:ascii="Times New Roman" w:hAnsi="Times New Roman"/>
              </w:rPr>
              <w:t>A.Eeyee  B. lakki</w:t>
            </w:r>
          </w:p>
        </w:tc>
        <w:tc>
          <w:tcPr>
            <w:tcW w:w="1458" w:type="dxa"/>
          </w:tcPr>
          <w:p w14:paraId="1A1C2E66">
            <w:pPr>
              <w:spacing w:line="360" w:lineRule="auto"/>
              <w:rPr>
                <w:rFonts w:ascii="Times New Roman" w:hAnsi="Times New Roman"/>
              </w:rPr>
            </w:pPr>
          </w:p>
        </w:tc>
      </w:tr>
      <w:tr w14:paraId="3338376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98" w:hRule="atLeast"/>
        </w:trPr>
        <w:tc>
          <w:tcPr>
            <w:tcW w:w="828" w:type="dxa"/>
          </w:tcPr>
          <w:p w14:paraId="12173809">
            <w:pPr>
              <w:spacing w:line="360" w:lineRule="auto"/>
              <w:rPr>
                <w:rFonts w:ascii="Times New Roman" w:hAnsi="Times New Roman"/>
                <w:sz w:val="24"/>
                <w:szCs w:val="24"/>
              </w:rPr>
            </w:pPr>
            <w:r>
              <w:rPr>
                <w:rFonts w:ascii="Times New Roman" w:hAnsi="Times New Roman"/>
                <w:sz w:val="24"/>
                <w:szCs w:val="24"/>
              </w:rPr>
              <w:t>36</w:t>
            </w:r>
          </w:p>
        </w:tc>
        <w:tc>
          <w:tcPr>
            <w:tcW w:w="3690" w:type="dxa"/>
          </w:tcPr>
          <w:p w14:paraId="229A3C16">
            <w:pPr>
              <w:spacing w:line="360" w:lineRule="auto"/>
              <w:rPr>
                <w:rFonts w:ascii="Times New Roman" w:hAnsi="Times New Roman"/>
              </w:rPr>
            </w:pPr>
            <w:r>
              <w:rPr>
                <w:rFonts w:ascii="Times New Roman" w:hAnsi="Times New Roman"/>
              </w:rPr>
              <w:t>Gaaffi 37ffaa  eeyyee yoota’e eenyuti keessa rafa</w:t>
            </w:r>
          </w:p>
        </w:tc>
        <w:tc>
          <w:tcPr>
            <w:tcW w:w="3600" w:type="dxa"/>
          </w:tcPr>
          <w:p w14:paraId="43A5B59D">
            <w:pPr>
              <w:spacing w:line="360" w:lineRule="auto"/>
              <w:rPr>
                <w:rFonts w:ascii="Times New Roman" w:hAnsi="Times New Roman"/>
              </w:rPr>
            </w:pPr>
            <w:r>
              <w:rPr>
                <w:rFonts w:ascii="Times New Roman" w:hAnsi="Times New Roman"/>
              </w:rPr>
              <w:t>A. Abbaa   B. Haadha</w:t>
            </w:r>
          </w:p>
          <w:p w14:paraId="3ECC7202">
            <w:pPr>
              <w:spacing w:line="360" w:lineRule="auto"/>
              <w:rPr>
                <w:rFonts w:ascii="Times New Roman" w:hAnsi="Times New Roman"/>
              </w:rPr>
            </w:pPr>
            <w:r>
              <w:rPr>
                <w:rFonts w:ascii="Times New Roman" w:hAnsi="Times New Roman"/>
              </w:rPr>
              <w:t>C. Ijoollee umuriin isaanii waggaa shanii gadi</w:t>
            </w:r>
          </w:p>
          <w:p w14:paraId="36243D9C">
            <w:pPr>
              <w:spacing w:line="360" w:lineRule="auto"/>
              <w:rPr>
                <w:rFonts w:ascii="Times New Roman" w:hAnsi="Times New Roman"/>
              </w:rPr>
            </w:pPr>
            <w:r>
              <w:rPr>
                <w:rFonts w:ascii="Times New Roman" w:hAnsi="Times New Roman"/>
              </w:rPr>
              <w:t>D. Daa’imman umuriin isaanii waggaa shanii ol ta’e</w:t>
            </w:r>
          </w:p>
          <w:p w14:paraId="112D5667">
            <w:pPr>
              <w:spacing w:line="360" w:lineRule="auto"/>
              <w:rPr>
                <w:rFonts w:ascii="Times New Roman" w:hAnsi="Times New Roman"/>
              </w:rPr>
            </w:pPr>
            <w:r>
              <w:rPr>
                <w:rFonts w:ascii="Times New Roman" w:hAnsi="Times New Roman"/>
              </w:rPr>
              <w:t>E. Hundumaa</w:t>
            </w:r>
          </w:p>
        </w:tc>
        <w:tc>
          <w:tcPr>
            <w:tcW w:w="1458" w:type="dxa"/>
          </w:tcPr>
          <w:p w14:paraId="3E3390A8">
            <w:pPr>
              <w:spacing w:line="360" w:lineRule="auto"/>
              <w:rPr>
                <w:rFonts w:ascii="Times New Roman" w:hAnsi="Times New Roman"/>
              </w:rPr>
            </w:pPr>
          </w:p>
        </w:tc>
      </w:tr>
      <w:tr w14:paraId="6DDA7CC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1043" w:hRule="atLeast"/>
        </w:trPr>
        <w:tc>
          <w:tcPr>
            <w:tcW w:w="828" w:type="dxa"/>
          </w:tcPr>
          <w:p w14:paraId="5B8D0FB7">
            <w:pPr>
              <w:spacing w:line="360" w:lineRule="auto"/>
              <w:rPr>
                <w:rFonts w:ascii="Times New Roman" w:hAnsi="Times New Roman"/>
                <w:sz w:val="24"/>
                <w:szCs w:val="24"/>
              </w:rPr>
            </w:pPr>
            <w:r>
              <w:rPr>
                <w:rFonts w:ascii="Times New Roman" w:hAnsi="Times New Roman"/>
                <w:sz w:val="24"/>
                <w:szCs w:val="24"/>
              </w:rPr>
              <w:t>37</w:t>
            </w:r>
          </w:p>
        </w:tc>
        <w:tc>
          <w:tcPr>
            <w:tcW w:w="3690" w:type="dxa"/>
          </w:tcPr>
          <w:p w14:paraId="578316DE">
            <w:pPr>
              <w:spacing w:line="360" w:lineRule="auto"/>
              <w:rPr>
                <w:rFonts w:ascii="Times New Roman" w:hAnsi="Times New Roman"/>
              </w:rPr>
            </w:pPr>
            <w:r>
              <w:rPr>
                <w:rFonts w:ascii="Times New Roman" w:hAnsi="Times New Roman"/>
              </w:rPr>
              <w:t>Daa’imni keessan yeroo talaalliin busaa akka talaallii kennamu ni hayyamtuu?</w:t>
            </w:r>
          </w:p>
          <w:p w14:paraId="3E347D68">
            <w:pPr>
              <w:spacing w:line="360" w:lineRule="auto"/>
              <w:rPr>
                <w:rFonts w:ascii="Times New Roman" w:hAnsi="Times New Roman"/>
              </w:rPr>
            </w:pPr>
          </w:p>
        </w:tc>
        <w:tc>
          <w:tcPr>
            <w:tcW w:w="3600" w:type="dxa"/>
          </w:tcPr>
          <w:p w14:paraId="3D6C6BBD">
            <w:pPr>
              <w:spacing w:line="360" w:lineRule="auto"/>
              <w:rPr>
                <w:rFonts w:ascii="Times New Roman" w:hAnsi="Times New Roman"/>
              </w:rPr>
            </w:pPr>
            <w:r>
              <w:rPr>
                <w:rFonts w:ascii="Times New Roman" w:hAnsi="Times New Roman"/>
              </w:rPr>
              <w:t>Eeyye</w:t>
            </w:r>
          </w:p>
          <w:p w14:paraId="33CB3A47">
            <w:pPr>
              <w:spacing w:line="360" w:lineRule="auto"/>
              <w:rPr>
                <w:rFonts w:ascii="Times New Roman" w:hAnsi="Times New Roman"/>
              </w:rPr>
            </w:pPr>
            <w:r>
              <w:rPr>
                <w:rFonts w:ascii="Times New Roman" w:hAnsi="Times New Roman"/>
              </w:rPr>
              <w:t>lakki</w:t>
            </w:r>
          </w:p>
        </w:tc>
        <w:tc>
          <w:tcPr>
            <w:tcW w:w="1458" w:type="dxa"/>
          </w:tcPr>
          <w:p w14:paraId="0EF4E161">
            <w:pPr>
              <w:spacing w:line="360" w:lineRule="auto"/>
              <w:rPr>
                <w:rFonts w:ascii="Times New Roman" w:hAnsi="Times New Roman"/>
              </w:rPr>
            </w:pPr>
          </w:p>
        </w:tc>
      </w:tr>
      <w:tr w14:paraId="70E3EDD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908" w:hRule="atLeast"/>
        </w:trPr>
        <w:tc>
          <w:tcPr>
            <w:tcW w:w="828" w:type="dxa"/>
          </w:tcPr>
          <w:p w14:paraId="2F37D4D0">
            <w:pPr>
              <w:spacing w:line="360" w:lineRule="auto"/>
              <w:rPr>
                <w:rFonts w:ascii="Times New Roman" w:hAnsi="Times New Roman"/>
                <w:sz w:val="24"/>
                <w:szCs w:val="24"/>
              </w:rPr>
            </w:pPr>
            <w:r>
              <w:rPr>
                <w:rFonts w:ascii="Times New Roman" w:hAnsi="Times New Roman"/>
                <w:sz w:val="24"/>
                <w:szCs w:val="24"/>
              </w:rPr>
              <w:t>38</w:t>
            </w:r>
          </w:p>
        </w:tc>
        <w:tc>
          <w:tcPr>
            <w:tcW w:w="3690" w:type="dxa"/>
          </w:tcPr>
          <w:p w14:paraId="457D5408">
            <w:pPr>
              <w:spacing w:line="360" w:lineRule="auto"/>
              <w:rPr>
                <w:rFonts w:ascii="Times New Roman" w:hAnsi="Times New Roman"/>
                <w:sz w:val="24"/>
                <w:szCs w:val="24"/>
              </w:rPr>
            </w:pPr>
            <w:r>
              <w:rPr>
                <w:rFonts w:ascii="Times New Roman" w:hAnsi="Times New Roman"/>
                <w:sz w:val="24"/>
                <w:szCs w:val="24"/>
              </w:rPr>
              <w:t>Mucaa keessan yeroo afur (4) fidanii talaallii fudhachuuf fedhii ni qabduu?</w:t>
            </w:r>
          </w:p>
        </w:tc>
        <w:tc>
          <w:tcPr>
            <w:tcW w:w="3600" w:type="dxa"/>
          </w:tcPr>
          <w:p w14:paraId="15110BE3">
            <w:pPr>
              <w:spacing w:line="360" w:lineRule="auto"/>
              <w:rPr>
                <w:rFonts w:ascii="Times New Roman" w:hAnsi="Times New Roman"/>
                <w:sz w:val="24"/>
                <w:szCs w:val="24"/>
              </w:rPr>
            </w:pPr>
            <w:r>
              <w:rPr>
                <w:rFonts w:ascii="Times New Roman" w:hAnsi="Times New Roman"/>
                <w:sz w:val="24"/>
                <w:szCs w:val="24"/>
              </w:rPr>
              <w:t>Eeyye    B.lakki</w:t>
            </w:r>
          </w:p>
        </w:tc>
        <w:tc>
          <w:tcPr>
            <w:tcW w:w="1458" w:type="dxa"/>
          </w:tcPr>
          <w:p w14:paraId="3AF7035E">
            <w:pPr>
              <w:spacing w:line="360" w:lineRule="auto"/>
              <w:rPr>
                <w:rFonts w:ascii="Times New Roman" w:hAnsi="Times New Roman"/>
                <w:sz w:val="24"/>
                <w:szCs w:val="24"/>
              </w:rPr>
            </w:pPr>
          </w:p>
        </w:tc>
      </w:tr>
      <w:tr w14:paraId="31AD52C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8" w:type="dxa"/>
          </w:tcPr>
          <w:p w14:paraId="4652F7A8">
            <w:pPr>
              <w:spacing w:line="360" w:lineRule="auto"/>
              <w:rPr>
                <w:rFonts w:ascii="Times New Roman" w:hAnsi="Times New Roman"/>
                <w:sz w:val="24"/>
                <w:szCs w:val="24"/>
              </w:rPr>
            </w:pPr>
            <w:r>
              <w:rPr>
                <w:rFonts w:ascii="Times New Roman" w:hAnsi="Times New Roman"/>
                <w:sz w:val="24"/>
                <w:szCs w:val="24"/>
              </w:rPr>
              <w:t>49</w:t>
            </w:r>
          </w:p>
        </w:tc>
        <w:tc>
          <w:tcPr>
            <w:tcW w:w="3690" w:type="dxa"/>
          </w:tcPr>
          <w:p w14:paraId="11176C7B">
            <w:pPr>
              <w:spacing w:line="360" w:lineRule="auto"/>
              <w:rPr>
                <w:rFonts w:ascii="Times New Roman" w:hAnsi="Times New Roman"/>
                <w:sz w:val="24"/>
                <w:szCs w:val="24"/>
              </w:rPr>
            </w:pPr>
            <w:r>
              <w:rPr>
                <w:rFonts w:ascii="Times New Roman" w:hAnsi="Times New Roman"/>
                <w:sz w:val="24"/>
                <w:szCs w:val="24"/>
              </w:rPr>
              <w:t>Talaalliin kun afaaniin osoo hin taane  lilmoodhaan yoo kennamu ni fudhattuu?</w:t>
            </w:r>
          </w:p>
        </w:tc>
        <w:tc>
          <w:tcPr>
            <w:tcW w:w="3600" w:type="dxa"/>
          </w:tcPr>
          <w:p w14:paraId="26601069">
            <w:pPr>
              <w:numPr>
                <w:ilvl w:val="0"/>
                <w:numId w:val="37"/>
              </w:numPr>
              <w:spacing w:line="360" w:lineRule="auto"/>
              <w:rPr>
                <w:rFonts w:ascii="Times New Roman" w:hAnsi="Times New Roman"/>
                <w:sz w:val="24"/>
                <w:szCs w:val="24"/>
              </w:rPr>
            </w:pPr>
            <w:r>
              <w:rPr>
                <w:rFonts w:ascii="Times New Roman" w:hAnsi="Times New Roman"/>
                <w:sz w:val="24"/>
                <w:szCs w:val="24"/>
              </w:rPr>
              <w:t>Eeyye    B.lakki</w:t>
            </w:r>
          </w:p>
        </w:tc>
        <w:tc>
          <w:tcPr>
            <w:tcW w:w="1458" w:type="dxa"/>
          </w:tcPr>
          <w:p w14:paraId="2D0EA309">
            <w:pPr>
              <w:spacing w:line="360" w:lineRule="auto"/>
              <w:rPr>
                <w:rFonts w:ascii="Times New Roman" w:hAnsi="Times New Roman"/>
                <w:sz w:val="24"/>
                <w:szCs w:val="24"/>
              </w:rPr>
            </w:pPr>
          </w:p>
        </w:tc>
      </w:tr>
      <w:tr w14:paraId="0531D52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1076" w:hRule="atLeast"/>
        </w:trPr>
        <w:tc>
          <w:tcPr>
            <w:tcW w:w="828" w:type="dxa"/>
          </w:tcPr>
          <w:p w14:paraId="49232016">
            <w:pPr>
              <w:spacing w:line="360" w:lineRule="auto"/>
              <w:rPr>
                <w:rFonts w:ascii="Times New Roman" w:hAnsi="Times New Roman"/>
                <w:sz w:val="24"/>
                <w:szCs w:val="24"/>
              </w:rPr>
            </w:pPr>
            <w:r>
              <w:rPr>
                <w:rFonts w:ascii="Times New Roman" w:hAnsi="Times New Roman"/>
                <w:sz w:val="24"/>
                <w:szCs w:val="24"/>
              </w:rPr>
              <w:t>50</w:t>
            </w:r>
          </w:p>
        </w:tc>
        <w:tc>
          <w:tcPr>
            <w:tcW w:w="3690" w:type="dxa"/>
          </w:tcPr>
          <w:p w14:paraId="1FA3C57A">
            <w:pPr>
              <w:spacing w:line="360" w:lineRule="auto"/>
              <w:rPr>
                <w:rFonts w:ascii="Times New Roman" w:hAnsi="Times New Roman"/>
                <w:sz w:val="24"/>
                <w:szCs w:val="24"/>
              </w:rPr>
            </w:pPr>
            <w:r>
              <w:rPr>
                <w:rFonts w:ascii="Times New Roman" w:hAnsi="Times New Roman"/>
                <w:sz w:val="24"/>
                <w:szCs w:val="24"/>
              </w:rPr>
              <w:t>Yoo daa’ima keessan talaallii busaa talaalchistan ammallee mala  ittisaa biroo  ni fayyadamtaa?</w:t>
            </w:r>
          </w:p>
        </w:tc>
        <w:tc>
          <w:tcPr>
            <w:tcW w:w="3600" w:type="dxa"/>
          </w:tcPr>
          <w:p w14:paraId="327C8E02">
            <w:pPr>
              <w:spacing w:line="360" w:lineRule="auto"/>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r>
            <w:r>
              <w:rPr>
                <w:rFonts w:ascii="Times New Roman" w:hAnsi="Times New Roman"/>
                <w:sz w:val="24"/>
                <w:szCs w:val="24"/>
              </w:rPr>
              <w:t>Eeyye    B.</w:t>
            </w:r>
            <w:r>
              <w:rPr>
                <w:rFonts w:ascii="Times New Roman" w:hAnsi="Times New Roman"/>
                <w:sz w:val="24"/>
                <w:szCs w:val="24"/>
              </w:rPr>
              <w:tab/>
            </w:r>
            <w:r>
              <w:rPr>
                <w:rFonts w:ascii="Times New Roman" w:hAnsi="Times New Roman"/>
                <w:sz w:val="24"/>
                <w:szCs w:val="24"/>
              </w:rPr>
              <w:t>lakki</w:t>
            </w:r>
          </w:p>
        </w:tc>
        <w:tc>
          <w:tcPr>
            <w:tcW w:w="1458" w:type="dxa"/>
          </w:tcPr>
          <w:p w14:paraId="418137BF">
            <w:pPr>
              <w:spacing w:line="360" w:lineRule="auto"/>
              <w:rPr>
                <w:rFonts w:ascii="Times New Roman" w:hAnsi="Times New Roman"/>
                <w:sz w:val="24"/>
                <w:szCs w:val="24"/>
              </w:rPr>
            </w:pPr>
          </w:p>
        </w:tc>
      </w:tr>
    </w:tbl>
    <w:p w14:paraId="6475FA27">
      <w:pPr>
        <w:spacing w:line="360" w:lineRule="auto"/>
        <w:rPr>
          <w:rFonts w:ascii="Times New Roman" w:hAnsi="Times New Roman"/>
          <w:sz w:val="24"/>
          <w:szCs w:val="24"/>
        </w:rPr>
      </w:pPr>
    </w:p>
    <w:p w14:paraId="48C42CFA">
      <w:pPr>
        <w:spacing w:line="360" w:lineRule="auto"/>
        <w:rPr>
          <w:rFonts w:ascii="Times New Roman" w:hAnsi="Times New Roman"/>
          <w:sz w:val="24"/>
          <w:szCs w:val="24"/>
        </w:rPr>
      </w:pPr>
      <w:r>
        <w:rPr>
          <w:rFonts w:ascii="Times New Roman" w:hAnsi="Times New Roman"/>
          <w:sz w:val="24"/>
          <w:szCs w:val="24"/>
        </w:rPr>
        <w:t>kutaaV. Qabxiilee Sirna tajaajila  Fayyaa</w:t>
      </w:r>
    </w:p>
    <w:tbl>
      <w:tblPr>
        <w:tblStyle w:val="66"/>
        <w:tblpPr w:leftFromText="180" w:rightFromText="180" w:vertAnchor="text" w:horzAnchor="page" w:tblpX="1149" w:tblpY="18"/>
        <w:tblOverlap w:val="never"/>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828"/>
        <w:gridCol w:w="3690"/>
        <w:gridCol w:w="3420"/>
        <w:gridCol w:w="1638"/>
      </w:tblGrid>
      <w:tr w14:paraId="6A84F12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1285" w:hRule="atLeast"/>
        </w:trPr>
        <w:tc>
          <w:tcPr>
            <w:tcW w:w="828" w:type="dxa"/>
          </w:tcPr>
          <w:p w14:paraId="6535364F">
            <w:pPr>
              <w:spacing w:line="360" w:lineRule="auto"/>
              <w:rPr>
                <w:rFonts w:ascii="Times New Roman" w:hAnsi="Times New Roman"/>
                <w:sz w:val="24"/>
                <w:szCs w:val="24"/>
              </w:rPr>
            </w:pPr>
            <w:r>
              <w:rPr>
                <w:rFonts w:ascii="Times New Roman" w:hAnsi="Times New Roman"/>
                <w:sz w:val="24"/>
                <w:szCs w:val="24"/>
              </w:rPr>
              <w:t>41</w:t>
            </w:r>
          </w:p>
        </w:tc>
        <w:tc>
          <w:tcPr>
            <w:tcW w:w="3690" w:type="dxa"/>
          </w:tcPr>
          <w:p w14:paraId="3CA61E62">
            <w:pPr>
              <w:spacing w:line="360" w:lineRule="auto"/>
              <w:rPr>
                <w:rFonts w:ascii="Times New Roman" w:hAnsi="Times New Roman"/>
                <w:sz w:val="24"/>
                <w:szCs w:val="24"/>
              </w:rPr>
            </w:pPr>
            <w:r>
              <w:rPr>
                <w:rFonts w:ascii="Times New Roman" w:hAnsi="Times New Roman"/>
                <w:sz w:val="24"/>
                <w:szCs w:val="24"/>
              </w:rPr>
              <w:t>Bakka talaallii itti kennamu ga'uuf yeroo hangamii sitti fudhata?</w:t>
            </w:r>
          </w:p>
        </w:tc>
        <w:tc>
          <w:tcPr>
            <w:tcW w:w="3420" w:type="dxa"/>
          </w:tcPr>
          <w:p w14:paraId="69726468">
            <w:pPr>
              <w:spacing w:line="360" w:lineRule="auto"/>
              <w:rPr>
                <w:rFonts w:ascii="Times New Roman" w:hAnsi="Times New Roman"/>
                <w:sz w:val="24"/>
                <w:szCs w:val="24"/>
              </w:rPr>
            </w:pPr>
            <w:r>
              <w:rPr>
                <w:rFonts w:ascii="Times New Roman" w:hAnsi="Times New Roman"/>
                <w:sz w:val="24"/>
                <w:szCs w:val="24"/>
              </w:rPr>
              <w:t>A. daqiiqaa 15  gadi</w:t>
            </w:r>
          </w:p>
          <w:p w14:paraId="3CA2B308">
            <w:pPr>
              <w:spacing w:line="360" w:lineRule="auto"/>
              <w:rPr>
                <w:rFonts w:ascii="Times New Roman" w:hAnsi="Times New Roman"/>
                <w:sz w:val="24"/>
                <w:szCs w:val="24"/>
              </w:rPr>
            </w:pPr>
            <w:r>
              <w:rPr>
                <w:rFonts w:ascii="Times New Roman" w:hAnsi="Times New Roman"/>
                <w:sz w:val="24"/>
                <w:szCs w:val="24"/>
              </w:rPr>
              <w:t>B. Daqiiqaa 15 – 30</w:t>
            </w:r>
          </w:p>
          <w:p w14:paraId="6FA7B9C0">
            <w:pPr>
              <w:spacing w:line="360" w:lineRule="auto"/>
              <w:rPr>
                <w:rFonts w:ascii="Times New Roman" w:hAnsi="Times New Roman"/>
                <w:sz w:val="24"/>
                <w:szCs w:val="24"/>
              </w:rPr>
            </w:pPr>
            <w:r>
              <w:rPr>
                <w:rFonts w:ascii="Times New Roman" w:hAnsi="Times New Roman"/>
                <w:sz w:val="24"/>
                <w:szCs w:val="24"/>
              </w:rPr>
              <w:t xml:space="preserve">C. Sa’aatii 1⁄2 hanga 1  </w:t>
            </w:r>
          </w:p>
          <w:p w14:paraId="44424F06">
            <w:pPr>
              <w:spacing w:line="360" w:lineRule="auto"/>
              <w:rPr>
                <w:rFonts w:ascii="Times New Roman" w:hAnsi="Times New Roman"/>
                <w:sz w:val="24"/>
                <w:szCs w:val="24"/>
              </w:rPr>
            </w:pPr>
            <w:r>
              <w:rPr>
                <w:rFonts w:ascii="Times New Roman" w:hAnsi="Times New Roman"/>
                <w:sz w:val="24"/>
                <w:szCs w:val="24"/>
              </w:rPr>
              <w:t>D Sa'aatii 1 oli</w:t>
            </w:r>
          </w:p>
        </w:tc>
        <w:tc>
          <w:tcPr>
            <w:tcW w:w="1638" w:type="dxa"/>
          </w:tcPr>
          <w:p w14:paraId="08281E22">
            <w:pPr>
              <w:spacing w:line="360" w:lineRule="auto"/>
              <w:rPr>
                <w:rFonts w:ascii="Times New Roman" w:hAnsi="Times New Roman"/>
                <w:sz w:val="24"/>
                <w:szCs w:val="24"/>
              </w:rPr>
            </w:pPr>
          </w:p>
        </w:tc>
      </w:tr>
      <w:tr w14:paraId="7EB0F35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8" w:type="dxa"/>
          </w:tcPr>
          <w:p w14:paraId="54D40DA6">
            <w:pPr>
              <w:spacing w:line="360" w:lineRule="auto"/>
              <w:rPr>
                <w:rFonts w:ascii="Times New Roman" w:hAnsi="Times New Roman"/>
                <w:sz w:val="24"/>
                <w:szCs w:val="24"/>
              </w:rPr>
            </w:pPr>
            <w:r>
              <w:rPr>
                <w:rFonts w:ascii="Times New Roman" w:hAnsi="Times New Roman"/>
                <w:sz w:val="24"/>
                <w:szCs w:val="24"/>
              </w:rPr>
              <w:t>42</w:t>
            </w:r>
          </w:p>
        </w:tc>
        <w:tc>
          <w:tcPr>
            <w:tcW w:w="3690" w:type="dxa"/>
          </w:tcPr>
          <w:p w14:paraId="518E141E">
            <w:pPr>
              <w:spacing w:line="360" w:lineRule="auto"/>
              <w:rPr>
                <w:rFonts w:ascii="Times New Roman" w:hAnsi="Times New Roman"/>
                <w:sz w:val="24"/>
                <w:szCs w:val="24"/>
              </w:rPr>
            </w:pPr>
            <w:r>
              <w:rPr>
                <w:rFonts w:ascii="Times New Roman" w:hAnsi="Times New Roman"/>
                <w:sz w:val="24"/>
                <w:szCs w:val="24"/>
              </w:rPr>
              <w:t>Mucaa keessan talaallii fudhachuuf yeroo hammamiif bakka talaallii turtan</w:t>
            </w:r>
          </w:p>
        </w:tc>
        <w:tc>
          <w:tcPr>
            <w:tcW w:w="3420" w:type="dxa"/>
          </w:tcPr>
          <w:p w14:paraId="4403F7C6">
            <w:pPr>
              <w:spacing w:line="360" w:lineRule="auto"/>
              <w:rPr>
                <w:rFonts w:ascii="Times New Roman" w:hAnsi="Times New Roman"/>
                <w:sz w:val="24"/>
                <w:szCs w:val="24"/>
              </w:rPr>
            </w:pPr>
            <w:r>
              <w:rPr>
                <w:rFonts w:ascii="Times New Roman" w:hAnsi="Times New Roman"/>
                <w:sz w:val="24"/>
                <w:szCs w:val="24"/>
              </w:rPr>
              <w:t>A.  Hin turru</w:t>
            </w:r>
          </w:p>
          <w:p w14:paraId="6869E840">
            <w:pPr>
              <w:spacing w:line="360" w:lineRule="auto"/>
              <w:rPr>
                <w:rFonts w:ascii="Times New Roman" w:hAnsi="Times New Roman"/>
                <w:sz w:val="24"/>
                <w:szCs w:val="24"/>
              </w:rPr>
            </w:pPr>
            <w:r>
              <w:rPr>
                <w:rFonts w:ascii="Times New Roman" w:hAnsi="Times New Roman"/>
                <w:sz w:val="24"/>
                <w:szCs w:val="24"/>
              </w:rPr>
              <w:t xml:space="preserve"> B. Daqiiqaa 30 hanga sa’aatii 1 </w:t>
            </w:r>
          </w:p>
          <w:p w14:paraId="327474B3">
            <w:pPr>
              <w:spacing w:line="360" w:lineRule="auto"/>
              <w:rPr>
                <w:rFonts w:ascii="Times New Roman" w:hAnsi="Times New Roman"/>
                <w:sz w:val="24"/>
                <w:szCs w:val="24"/>
              </w:rPr>
            </w:pPr>
            <w:r>
              <w:rPr>
                <w:rFonts w:ascii="Times New Roman" w:hAnsi="Times New Roman"/>
                <w:sz w:val="24"/>
                <w:szCs w:val="24"/>
              </w:rPr>
              <w:t xml:space="preserve"> C. 2a’ati1-2</w:t>
            </w:r>
          </w:p>
          <w:p w14:paraId="0A51E9EB">
            <w:pPr>
              <w:spacing w:line="360" w:lineRule="auto"/>
              <w:rPr>
                <w:rFonts w:ascii="Times New Roman" w:hAnsi="Times New Roman"/>
                <w:sz w:val="24"/>
                <w:szCs w:val="24"/>
              </w:rPr>
            </w:pPr>
            <w:r>
              <w:rPr>
                <w:rFonts w:ascii="Times New Roman" w:hAnsi="Times New Roman"/>
                <w:sz w:val="24"/>
                <w:szCs w:val="24"/>
              </w:rPr>
              <w:t xml:space="preserve"> D. sa’ati2 oli</w:t>
            </w:r>
          </w:p>
        </w:tc>
        <w:tc>
          <w:tcPr>
            <w:tcW w:w="1638" w:type="dxa"/>
          </w:tcPr>
          <w:p w14:paraId="021D23AF">
            <w:pPr>
              <w:spacing w:line="360" w:lineRule="auto"/>
              <w:rPr>
                <w:rFonts w:ascii="Times New Roman" w:hAnsi="Times New Roman"/>
                <w:sz w:val="24"/>
                <w:szCs w:val="24"/>
              </w:rPr>
            </w:pPr>
          </w:p>
        </w:tc>
      </w:tr>
      <w:tr w14:paraId="3FB27C7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828" w:type="dxa"/>
          </w:tcPr>
          <w:p w14:paraId="2F07175A">
            <w:pPr>
              <w:spacing w:line="360" w:lineRule="auto"/>
              <w:rPr>
                <w:rFonts w:ascii="Times New Roman" w:hAnsi="Times New Roman"/>
                <w:sz w:val="24"/>
                <w:szCs w:val="24"/>
              </w:rPr>
            </w:pPr>
            <w:r>
              <w:rPr>
                <w:rFonts w:ascii="Times New Roman" w:hAnsi="Times New Roman"/>
                <w:sz w:val="24"/>
                <w:szCs w:val="24"/>
              </w:rPr>
              <w:t>43</w:t>
            </w:r>
          </w:p>
        </w:tc>
        <w:tc>
          <w:tcPr>
            <w:tcW w:w="3690" w:type="dxa"/>
          </w:tcPr>
          <w:p w14:paraId="2A3A090E">
            <w:pPr>
              <w:spacing w:line="360" w:lineRule="auto"/>
              <w:rPr>
                <w:rFonts w:ascii="Times New Roman" w:hAnsi="Times New Roman"/>
                <w:sz w:val="24"/>
                <w:szCs w:val="24"/>
              </w:rPr>
            </w:pPr>
            <w:r>
              <w:rPr>
                <w:rFonts w:ascii="Times New Roman" w:hAnsi="Times New Roman"/>
                <w:sz w:val="24"/>
                <w:szCs w:val="24"/>
              </w:rPr>
              <w:t>Ilaalchi ati talaallii kennitootaaf qabdu maali?</w:t>
            </w:r>
          </w:p>
        </w:tc>
        <w:tc>
          <w:tcPr>
            <w:tcW w:w="3420" w:type="dxa"/>
          </w:tcPr>
          <w:p w14:paraId="2F913745">
            <w:pPr>
              <w:spacing w:line="360" w:lineRule="auto"/>
              <w:rPr>
                <w:rFonts w:ascii="Times New Roman" w:hAnsi="Times New Roman"/>
                <w:sz w:val="24"/>
                <w:szCs w:val="24"/>
              </w:rPr>
            </w:pPr>
            <w:r>
              <w:rPr>
                <w:rFonts w:ascii="Times New Roman" w:hAnsi="Times New Roman"/>
                <w:sz w:val="24"/>
                <w:szCs w:val="24"/>
              </w:rPr>
              <w:t xml:space="preserve">A. Baay'ee  baayyee gaarii dha </w:t>
            </w:r>
          </w:p>
          <w:p w14:paraId="5DF318A3">
            <w:pPr>
              <w:spacing w:line="360" w:lineRule="auto"/>
              <w:rPr>
                <w:rFonts w:ascii="Times New Roman" w:hAnsi="Times New Roman"/>
                <w:sz w:val="24"/>
                <w:szCs w:val="24"/>
              </w:rPr>
            </w:pPr>
            <w:r>
              <w:rPr>
                <w:rFonts w:ascii="Times New Roman" w:hAnsi="Times New Roman"/>
                <w:sz w:val="24"/>
                <w:szCs w:val="24"/>
              </w:rPr>
              <w:t>B. Baayyee gaarii dha</w:t>
            </w:r>
          </w:p>
          <w:p w14:paraId="416A4D7A">
            <w:pPr>
              <w:spacing w:line="360" w:lineRule="auto"/>
              <w:rPr>
                <w:rFonts w:ascii="Times New Roman" w:hAnsi="Times New Roman"/>
                <w:sz w:val="24"/>
                <w:szCs w:val="24"/>
              </w:rPr>
            </w:pPr>
            <w:r>
              <w:rPr>
                <w:rFonts w:ascii="Times New Roman" w:hAnsi="Times New Roman"/>
                <w:sz w:val="24"/>
                <w:szCs w:val="24"/>
              </w:rPr>
              <w:t>C. Gaariidha</w:t>
            </w:r>
          </w:p>
          <w:p w14:paraId="5F32BB30">
            <w:pPr>
              <w:spacing w:line="360" w:lineRule="auto"/>
              <w:rPr>
                <w:rFonts w:ascii="Times New Roman" w:hAnsi="Times New Roman"/>
                <w:sz w:val="24"/>
                <w:szCs w:val="24"/>
              </w:rPr>
            </w:pPr>
            <w:r>
              <w:rPr>
                <w:rFonts w:ascii="Times New Roman" w:hAnsi="Times New Roman"/>
                <w:sz w:val="24"/>
                <w:szCs w:val="24"/>
              </w:rPr>
              <w:t>D. Gaarii miti</w:t>
            </w:r>
          </w:p>
          <w:p w14:paraId="643B8580">
            <w:pPr>
              <w:spacing w:line="360" w:lineRule="auto"/>
              <w:rPr>
                <w:rFonts w:ascii="Times New Roman" w:hAnsi="Times New Roman"/>
                <w:sz w:val="24"/>
                <w:szCs w:val="24"/>
              </w:rPr>
            </w:pPr>
            <w:r>
              <w:rPr>
                <w:rFonts w:ascii="Times New Roman" w:hAnsi="Times New Roman"/>
                <w:sz w:val="24"/>
                <w:szCs w:val="24"/>
              </w:rPr>
              <w:t>E. Gadheedha</w:t>
            </w:r>
          </w:p>
        </w:tc>
        <w:tc>
          <w:tcPr>
            <w:tcW w:w="1638" w:type="dxa"/>
          </w:tcPr>
          <w:p w14:paraId="64D94800">
            <w:pPr>
              <w:spacing w:line="360" w:lineRule="auto"/>
              <w:rPr>
                <w:rFonts w:ascii="Times New Roman" w:hAnsi="Times New Roman"/>
                <w:sz w:val="24"/>
                <w:szCs w:val="24"/>
              </w:rPr>
            </w:pPr>
          </w:p>
        </w:tc>
      </w:tr>
      <w:tr w14:paraId="16D108F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1312" w:hRule="atLeast"/>
        </w:trPr>
        <w:tc>
          <w:tcPr>
            <w:tcW w:w="828" w:type="dxa"/>
          </w:tcPr>
          <w:p w14:paraId="53D51098">
            <w:pPr>
              <w:spacing w:line="360" w:lineRule="auto"/>
              <w:rPr>
                <w:rFonts w:ascii="Times New Roman" w:hAnsi="Times New Roman"/>
                <w:sz w:val="24"/>
                <w:szCs w:val="24"/>
              </w:rPr>
            </w:pPr>
            <w:r>
              <w:rPr>
                <w:rFonts w:ascii="Times New Roman" w:hAnsi="Times New Roman"/>
                <w:sz w:val="24"/>
                <w:szCs w:val="24"/>
              </w:rPr>
              <w:t>44</w:t>
            </w:r>
          </w:p>
        </w:tc>
        <w:tc>
          <w:tcPr>
            <w:tcW w:w="3690" w:type="dxa"/>
          </w:tcPr>
          <w:p w14:paraId="5D472CDD">
            <w:pPr>
              <w:spacing w:line="360" w:lineRule="auto"/>
              <w:rPr>
                <w:rFonts w:ascii="Times New Roman" w:hAnsi="Times New Roman"/>
                <w:sz w:val="24"/>
                <w:szCs w:val="24"/>
              </w:rPr>
            </w:pPr>
            <w:r>
              <w:rPr>
                <w:rFonts w:ascii="Times New Roman" w:hAnsi="Times New Roman"/>
                <w:sz w:val="24"/>
                <w:szCs w:val="24"/>
              </w:rPr>
              <w:t>Qulqullina tajaajila fayyaa irratti ilaalchi keessan maali</w:t>
            </w:r>
          </w:p>
        </w:tc>
        <w:tc>
          <w:tcPr>
            <w:tcW w:w="3420" w:type="dxa"/>
          </w:tcPr>
          <w:p w14:paraId="58B6C855">
            <w:pPr>
              <w:spacing w:line="360" w:lineRule="auto"/>
              <w:rPr>
                <w:rFonts w:ascii="Times New Roman" w:hAnsi="Times New Roman"/>
                <w:sz w:val="24"/>
                <w:szCs w:val="24"/>
              </w:rPr>
            </w:pPr>
            <w:r>
              <w:rPr>
                <w:rFonts w:ascii="Times New Roman" w:hAnsi="Times New Roman"/>
                <w:sz w:val="24"/>
                <w:szCs w:val="24"/>
              </w:rPr>
              <w:t xml:space="preserve">A.  Baay'ee  baayyee gaarii dha </w:t>
            </w:r>
          </w:p>
          <w:p w14:paraId="2200D7B9">
            <w:pPr>
              <w:spacing w:line="360" w:lineRule="auto"/>
              <w:rPr>
                <w:rFonts w:ascii="Times New Roman" w:hAnsi="Times New Roman"/>
                <w:sz w:val="24"/>
                <w:szCs w:val="24"/>
              </w:rPr>
            </w:pPr>
            <w:r>
              <w:rPr>
                <w:rFonts w:ascii="Times New Roman" w:hAnsi="Times New Roman"/>
                <w:sz w:val="24"/>
                <w:szCs w:val="24"/>
              </w:rPr>
              <w:t>B. Baayyee gaarii dha</w:t>
            </w:r>
          </w:p>
          <w:p w14:paraId="7418C775">
            <w:pPr>
              <w:spacing w:line="360" w:lineRule="auto"/>
              <w:rPr>
                <w:rFonts w:ascii="Times New Roman" w:hAnsi="Times New Roman"/>
                <w:sz w:val="24"/>
                <w:szCs w:val="24"/>
              </w:rPr>
            </w:pPr>
            <w:r>
              <w:rPr>
                <w:rFonts w:ascii="Times New Roman" w:hAnsi="Times New Roman"/>
                <w:sz w:val="24"/>
                <w:szCs w:val="24"/>
              </w:rPr>
              <w:t>C. Gaariidha</w:t>
            </w:r>
          </w:p>
          <w:p w14:paraId="1D883C71">
            <w:pPr>
              <w:spacing w:line="360" w:lineRule="auto"/>
              <w:rPr>
                <w:rFonts w:ascii="Times New Roman" w:hAnsi="Times New Roman"/>
                <w:sz w:val="24"/>
                <w:szCs w:val="24"/>
              </w:rPr>
            </w:pPr>
            <w:r>
              <w:rPr>
                <w:rFonts w:ascii="Times New Roman" w:hAnsi="Times New Roman"/>
                <w:sz w:val="24"/>
                <w:szCs w:val="24"/>
              </w:rPr>
              <w:t>D. Gaarii miti</w:t>
            </w:r>
          </w:p>
          <w:p w14:paraId="0EF9BD61">
            <w:pPr>
              <w:spacing w:line="360" w:lineRule="auto"/>
              <w:rPr>
                <w:rFonts w:ascii="Times New Roman" w:hAnsi="Times New Roman"/>
                <w:sz w:val="24"/>
                <w:szCs w:val="24"/>
              </w:rPr>
            </w:pPr>
            <w:r>
              <w:rPr>
                <w:rFonts w:ascii="Times New Roman" w:hAnsi="Times New Roman"/>
                <w:sz w:val="24"/>
                <w:szCs w:val="24"/>
              </w:rPr>
              <w:t>E. Gadheedha</w:t>
            </w:r>
          </w:p>
        </w:tc>
        <w:tc>
          <w:tcPr>
            <w:tcW w:w="1638" w:type="dxa"/>
          </w:tcPr>
          <w:p w14:paraId="3212F3E6">
            <w:pPr>
              <w:spacing w:line="360" w:lineRule="auto"/>
              <w:rPr>
                <w:rFonts w:ascii="Times New Roman" w:hAnsi="Times New Roman"/>
                <w:sz w:val="24"/>
                <w:szCs w:val="24"/>
              </w:rPr>
            </w:pPr>
          </w:p>
        </w:tc>
      </w:tr>
    </w:tbl>
    <w:p w14:paraId="178B4465">
      <w:pPr>
        <w:spacing w:line="360" w:lineRule="auto"/>
        <w:rPr>
          <w:rFonts w:ascii="Times New Roman" w:hAnsi="Times New Roman" w:cs="Times New Roman"/>
          <w:sz w:val="24"/>
          <w:szCs w:val="24"/>
        </w:rPr>
      </w:pPr>
    </w:p>
    <w:p w14:paraId="1649313D"/>
    <w:sectPr>
      <w:footerReference r:id="rId5" w:type="default"/>
      <w:type w:val="continuous"/>
      <w:pgSz w:w="12240" w:h="15840"/>
      <w:pgMar w:top="2016" w:right="1440" w:bottom="1440" w:left="1152" w:header="720" w:footer="720" w:gutter="0"/>
      <w:pgNumType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Noto Sans">
    <w:altName w:val="Segoe Print"/>
    <w:panose1 w:val="00000000000000000000"/>
    <w:charset w:val="00"/>
    <w:family w:val="swiss"/>
    <w:pitch w:val="default"/>
    <w:sig w:usb0="00000000" w:usb1="00000000" w:usb2="00000021" w:usb3="00000000" w:csb0="0000019F" w:csb1="00000000"/>
  </w:font>
  <w:font w:name="Symbol">
    <w:panose1 w:val="050501020107060205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 w:name="Arial Unicode MS">
    <w:altName w:val="Arial"/>
    <w:panose1 w:val="020B0604020202020204"/>
    <w:charset w:val="80"/>
    <w:family w:val="swiss"/>
    <w:pitch w:val="default"/>
    <w:sig w:usb0="00000000" w:usb1="00000000" w:usb2="0000003F" w:usb3="00000000" w:csb0="003F01FF" w:csb1="00000000"/>
  </w:font>
  <w:font w:name="CIDFont">
    <w:altName w:val="Segoe Print"/>
    <w:panose1 w:val="00000000000000000000"/>
    <w:charset w:val="00"/>
    <w:family w:val="auto"/>
    <w:pitch w:val="default"/>
    <w:sig w:usb0="00000000" w:usb1="00000000" w:usb2="00000000" w:usb3="00000000" w:csb0="00000000" w:csb1="00000000"/>
  </w:font>
  <w:font w:name="WarnockPro">
    <w:altName w:val="Segoe Print"/>
    <w:panose1 w:val="00000000000000000000"/>
    <w:charset w:val="00"/>
    <w:family w:val="auto"/>
    <w:pitch w:val="default"/>
    <w:sig w:usb0="00000000" w:usb1="00000000" w:usb2="00000000" w:usb3="00000000" w:csb0="00000000" w:csb1="00000000"/>
  </w:font>
  <w:font w:name="MTSY">
    <w:altName w:val="Segoe Print"/>
    <w:panose1 w:val="00000000000000000000"/>
    <w:charset w:val="00"/>
    <w:family w:val="auto"/>
    <w:pitch w:val="default"/>
    <w:sig w:usb0="00000000" w:usb1="00000000" w:usb2="00000000" w:usb3="00000000" w:csb0="00000000" w:csb1="00000000"/>
  </w:font>
  <w:font w:name="Bookman Old Style">
    <w:panose1 w:val="02050604050505020204"/>
    <w:charset w:val="00"/>
    <w:family w:val="roman"/>
    <w:pitch w:val="default"/>
    <w:sig w:usb0="00000287" w:usb1="00000000" w:usb2="00000000" w:usb3="00000000" w:csb0="2000009F" w:csb1="DFD70000"/>
  </w:font>
  <w:font w:name="Maiandra GD">
    <w:panose1 w:val="020E0502030308020204"/>
    <w:charset w:val="00"/>
    <w:family w:val="swiss"/>
    <w:pitch w:val="default"/>
    <w:sig w:usb0="00000003" w:usb1="00000000" w:usb2="00000000" w:usb3="00000000" w:csb0="20000001"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B930B">
    <w:pPr>
      <w:pStyle w:val="19"/>
      <w:jc w:val="center"/>
    </w:pPr>
  </w:p>
  <w:p w14:paraId="45A2B91D">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564036"/>
    </w:sdtPr>
    <w:sdtContent>
      <w:p w14:paraId="1495B361">
        <w:pPr>
          <w:pStyle w:val="19"/>
          <w:jc w:val="center"/>
        </w:pPr>
        <w:r>
          <w:t>1</w:t>
        </w:r>
      </w:p>
    </w:sdtContent>
  </w:sdt>
  <w:p w14:paraId="680B4619">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89074936"/>
    </w:sdtPr>
    <w:sdtContent>
      <w:p w14:paraId="6AE70519">
        <w:pPr>
          <w:pStyle w:val="19"/>
          <w:jc w:val="center"/>
        </w:pPr>
        <w:r>
          <w:fldChar w:fldCharType="begin"/>
        </w:r>
        <w:r>
          <w:instrText xml:space="preserve"> PAGE   \* MERGEFORMAT </w:instrText>
        </w:r>
        <w:r>
          <w:fldChar w:fldCharType="separate"/>
        </w:r>
        <w:r>
          <w:t>45</w:t>
        </w:r>
        <w:r>
          <w:fldChar w:fldCharType="end"/>
        </w:r>
      </w:p>
    </w:sdtContent>
  </w:sdt>
  <w:p w14:paraId="0BC29ADC">
    <w:pPr>
      <w:pStyle w:val="1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D27C2D"/>
    <w:multiLevelType w:val="singleLevel"/>
    <w:tmpl w:val="89D27C2D"/>
    <w:lvl w:ilvl="0" w:tentative="0">
      <w:start w:val="1"/>
      <w:numFmt w:val="upperLetter"/>
      <w:suff w:val="space"/>
      <w:lvlText w:val="%1."/>
      <w:lvlJc w:val="left"/>
    </w:lvl>
  </w:abstractNum>
  <w:abstractNum w:abstractNumId="1">
    <w:nsid w:val="8BB65324"/>
    <w:multiLevelType w:val="singleLevel"/>
    <w:tmpl w:val="8BB65324"/>
    <w:lvl w:ilvl="0" w:tentative="0">
      <w:start w:val="5"/>
      <w:numFmt w:val="decimal"/>
      <w:suff w:val="space"/>
      <w:lvlText w:val="%1."/>
      <w:lvlJc w:val="left"/>
    </w:lvl>
  </w:abstractNum>
  <w:abstractNum w:abstractNumId="2">
    <w:nsid w:val="0000000C"/>
    <w:multiLevelType w:val="multilevel"/>
    <w:tmpl w:val="0000000C"/>
    <w:lvl w:ilvl="0" w:tentative="0">
      <w:start w:val="1"/>
      <w:numFmt w:val="bullet"/>
      <w:lvlText w:val=""/>
      <w:lvlJc w:val="left"/>
      <w:pPr>
        <w:ind w:left="-270" w:hanging="360"/>
      </w:pPr>
      <w:rPr>
        <w:rFonts w:hint="default" w:ascii="Wingdings" w:hAnsi="Wingdings"/>
      </w:rPr>
    </w:lvl>
    <w:lvl w:ilvl="1" w:tentative="0">
      <w:start w:val="1"/>
      <w:numFmt w:val="bullet"/>
      <w:lvlText w:val="o"/>
      <w:lvlJc w:val="left"/>
      <w:pPr>
        <w:ind w:left="450" w:hanging="360"/>
      </w:pPr>
      <w:rPr>
        <w:rFonts w:hint="default" w:ascii="Courier New" w:hAnsi="Courier New" w:cs="Courier New"/>
      </w:rPr>
    </w:lvl>
    <w:lvl w:ilvl="2" w:tentative="0">
      <w:start w:val="1"/>
      <w:numFmt w:val="bullet"/>
      <w:lvlText w:val=""/>
      <w:lvlJc w:val="left"/>
      <w:pPr>
        <w:ind w:left="1170" w:hanging="360"/>
      </w:pPr>
      <w:rPr>
        <w:rFonts w:hint="default" w:ascii="Wingdings" w:hAnsi="Wingdings"/>
      </w:rPr>
    </w:lvl>
    <w:lvl w:ilvl="3" w:tentative="0">
      <w:start w:val="1"/>
      <w:numFmt w:val="bullet"/>
      <w:lvlText w:val=""/>
      <w:lvlJc w:val="left"/>
      <w:pPr>
        <w:ind w:left="1890" w:hanging="360"/>
      </w:pPr>
      <w:rPr>
        <w:rFonts w:hint="default" w:ascii="Symbol" w:hAnsi="Symbol"/>
      </w:rPr>
    </w:lvl>
    <w:lvl w:ilvl="4" w:tentative="0">
      <w:start w:val="1"/>
      <w:numFmt w:val="bullet"/>
      <w:lvlText w:val="o"/>
      <w:lvlJc w:val="left"/>
      <w:pPr>
        <w:ind w:left="2610" w:hanging="360"/>
      </w:pPr>
      <w:rPr>
        <w:rFonts w:hint="default" w:ascii="Courier New" w:hAnsi="Courier New" w:cs="Courier New"/>
      </w:rPr>
    </w:lvl>
    <w:lvl w:ilvl="5" w:tentative="0">
      <w:start w:val="1"/>
      <w:numFmt w:val="bullet"/>
      <w:lvlText w:val=""/>
      <w:lvlJc w:val="left"/>
      <w:pPr>
        <w:ind w:left="3330" w:hanging="360"/>
      </w:pPr>
      <w:rPr>
        <w:rFonts w:hint="default" w:ascii="Wingdings" w:hAnsi="Wingdings"/>
      </w:rPr>
    </w:lvl>
    <w:lvl w:ilvl="6" w:tentative="0">
      <w:start w:val="1"/>
      <w:numFmt w:val="bullet"/>
      <w:lvlText w:val=""/>
      <w:lvlJc w:val="left"/>
      <w:pPr>
        <w:ind w:left="4050" w:hanging="360"/>
      </w:pPr>
      <w:rPr>
        <w:rFonts w:hint="default" w:ascii="Symbol" w:hAnsi="Symbol"/>
      </w:rPr>
    </w:lvl>
    <w:lvl w:ilvl="7" w:tentative="0">
      <w:start w:val="1"/>
      <w:numFmt w:val="bullet"/>
      <w:lvlText w:val="o"/>
      <w:lvlJc w:val="left"/>
      <w:pPr>
        <w:ind w:left="4770" w:hanging="360"/>
      </w:pPr>
      <w:rPr>
        <w:rFonts w:hint="default" w:ascii="Courier New" w:hAnsi="Courier New" w:cs="Courier New"/>
      </w:rPr>
    </w:lvl>
    <w:lvl w:ilvl="8" w:tentative="0">
      <w:start w:val="1"/>
      <w:numFmt w:val="bullet"/>
      <w:lvlText w:val=""/>
      <w:lvlJc w:val="left"/>
      <w:pPr>
        <w:ind w:left="5490" w:hanging="360"/>
      </w:pPr>
      <w:rPr>
        <w:rFonts w:hint="default" w:ascii="Wingdings" w:hAnsi="Wingdings"/>
      </w:rPr>
    </w:lvl>
  </w:abstractNum>
  <w:abstractNum w:abstractNumId="3">
    <w:nsid w:val="02162D8B"/>
    <w:multiLevelType w:val="multilevel"/>
    <w:tmpl w:val="02162D8B"/>
    <w:lvl w:ilvl="0" w:tentative="0">
      <w:start w:val="1"/>
      <w:numFmt w:val="upperLetter"/>
      <w:lvlText w:val="%1."/>
      <w:lvlJc w:val="left"/>
      <w:pPr>
        <w:ind w:left="450" w:hanging="360"/>
      </w:pPr>
      <w:rPr>
        <w:rFonts w:hint="default"/>
      </w:rPr>
    </w:lvl>
    <w:lvl w:ilvl="1" w:tentative="0">
      <w:start w:val="1"/>
      <w:numFmt w:val="lowerLetter"/>
      <w:lvlText w:val="%2."/>
      <w:lvlJc w:val="left"/>
      <w:pPr>
        <w:ind w:left="1260" w:hanging="360"/>
      </w:pPr>
    </w:lvl>
    <w:lvl w:ilvl="2" w:tentative="0">
      <w:start w:val="1"/>
      <w:numFmt w:val="lowerRoman"/>
      <w:lvlText w:val="%3."/>
      <w:lvlJc w:val="right"/>
      <w:pPr>
        <w:ind w:left="1980" w:hanging="180"/>
      </w:pPr>
    </w:lvl>
    <w:lvl w:ilvl="3" w:tentative="0">
      <w:start w:val="1"/>
      <w:numFmt w:val="decimal"/>
      <w:lvlText w:val="%4."/>
      <w:lvlJc w:val="left"/>
      <w:pPr>
        <w:ind w:left="2700" w:hanging="360"/>
      </w:pPr>
    </w:lvl>
    <w:lvl w:ilvl="4" w:tentative="0">
      <w:start w:val="1"/>
      <w:numFmt w:val="lowerLetter"/>
      <w:lvlText w:val="%5."/>
      <w:lvlJc w:val="left"/>
      <w:pPr>
        <w:ind w:left="3420" w:hanging="360"/>
      </w:pPr>
    </w:lvl>
    <w:lvl w:ilvl="5" w:tentative="0">
      <w:start w:val="1"/>
      <w:numFmt w:val="lowerRoman"/>
      <w:lvlText w:val="%6."/>
      <w:lvlJc w:val="right"/>
      <w:pPr>
        <w:ind w:left="4140" w:hanging="180"/>
      </w:pPr>
    </w:lvl>
    <w:lvl w:ilvl="6" w:tentative="0">
      <w:start w:val="1"/>
      <w:numFmt w:val="decimal"/>
      <w:lvlText w:val="%7."/>
      <w:lvlJc w:val="left"/>
      <w:pPr>
        <w:ind w:left="4860" w:hanging="360"/>
      </w:pPr>
    </w:lvl>
    <w:lvl w:ilvl="7" w:tentative="0">
      <w:start w:val="1"/>
      <w:numFmt w:val="lowerLetter"/>
      <w:lvlText w:val="%8."/>
      <w:lvlJc w:val="left"/>
      <w:pPr>
        <w:ind w:left="5580" w:hanging="360"/>
      </w:pPr>
    </w:lvl>
    <w:lvl w:ilvl="8" w:tentative="0">
      <w:start w:val="1"/>
      <w:numFmt w:val="lowerRoman"/>
      <w:lvlText w:val="%9."/>
      <w:lvlJc w:val="right"/>
      <w:pPr>
        <w:ind w:left="6300" w:hanging="180"/>
      </w:pPr>
    </w:lvl>
  </w:abstractNum>
  <w:abstractNum w:abstractNumId="4">
    <w:nsid w:val="054566E8"/>
    <w:multiLevelType w:val="multilevel"/>
    <w:tmpl w:val="054566E8"/>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06B91626"/>
    <w:multiLevelType w:val="singleLevel"/>
    <w:tmpl w:val="06B91626"/>
    <w:lvl w:ilvl="0" w:tentative="0">
      <w:start w:val="1"/>
      <w:numFmt w:val="upperLetter"/>
      <w:suff w:val="space"/>
      <w:lvlText w:val="%1."/>
      <w:lvlJc w:val="left"/>
    </w:lvl>
  </w:abstractNum>
  <w:abstractNum w:abstractNumId="6">
    <w:nsid w:val="08153BAC"/>
    <w:multiLevelType w:val="multilevel"/>
    <w:tmpl w:val="08153BAC"/>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0C2B0294"/>
    <w:multiLevelType w:val="multilevel"/>
    <w:tmpl w:val="0C2B0294"/>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0FEE4AEE"/>
    <w:multiLevelType w:val="multilevel"/>
    <w:tmpl w:val="0FEE4AEE"/>
    <w:lvl w:ilvl="0" w:tentative="0">
      <w:start w:val="1"/>
      <w:numFmt w:val="upperLetter"/>
      <w:lvlText w:val="%1."/>
      <w:lvlJc w:val="left"/>
      <w:pPr>
        <w:ind w:left="540" w:hanging="360"/>
      </w:pPr>
      <w:rPr>
        <w:rFonts w:ascii="Calibri" w:hAnsi="Calibri" w:eastAsia="Calibri" w:cs="Times New Roman"/>
      </w:rPr>
    </w:lvl>
    <w:lvl w:ilvl="1" w:tentative="0">
      <w:start w:val="1"/>
      <w:numFmt w:val="lowerLetter"/>
      <w:lvlText w:val="%2."/>
      <w:lvlJc w:val="left"/>
      <w:pPr>
        <w:ind w:left="1260" w:hanging="360"/>
      </w:pPr>
    </w:lvl>
    <w:lvl w:ilvl="2" w:tentative="0">
      <w:start w:val="1"/>
      <w:numFmt w:val="lowerRoman"/>
      <w:lvlText w:val="%3."/>
      <w:lvlJc w:val="right"/>
      <w:pPr>
        <w:ind w:left="1980" w:hanging="180"/>
      </w:pPr>
    </w:lvl>
    <w:lvl w:ilvl="3" w:tentative="0">
      <w:start w:val="1"/>
      <w:numFmt w:val="decimal"/>
      <w:lvlText w:val="%4."/>
      <w:lvlJc w:val="left"/>
      <w:pPr>
        <w:ind w:left="2700" w:hanging="360"/>
      </w:pPr>
    </w:lvl>
    <w:lvl w:ilvl="4" w:tentative="0">
      <w:start w:val="1"/>
      <w:numFmt w:val="lowerLetter"/>
      <w:lvlText w:val="%5."/>
      <w:lvlJc w:val="left"/>
      <w:pPr>
        <w:ind w:left="3420" w:hanging="360"/>
      </w:pPr>
    </w:lvl>
    <w:lvl w:ilvl="5" w:tentative="0">
      <w:start w:val="1"/>
      <w:numFmt w:val="lowerRoman"/>
      <w:lvlText w:val="%6."/>
      <w:lvlJc w:val="right"/>
      <w:pPr>
        <w:ind w:left="4140" w:hanging="180"/>
      </w:pPr>
    </w:lvl>
    <w:lvl w:ilvl="6" w:tentative="0">
      <w:start w:val="1"/>
      <w:numFmt w:val="decimal"/>
      <w:lvlText w:val="%7."/>
      <w:lvlJc w:val="left"/>
      <w:pPr>
        <w:ind w:left="4860" w:hanging="360"/>
      </w:pPr>
    </w:lvl>
    <w:lvl w:ilvl="7" w:tentative="0">
      <w:start w:val="1"/>
      <w:numFmt w:val="lowerLetter"/>
      <w:lvlText w:val="%8."/>
      <w:lvlJc w:val="left"/>
      <w:pPr>
        <w:ind w:left="5580" w:hanging="360"/>
      </w:pPr>
    </w:lvl>
    <w:lvl w:ilvl="8" w:tentative="0">
      <w:start w:val="1"/>
      <w:numFmt w:val="lowerRoman"/>
      <w:lvlText w:val="%9."/>
      <w:lvlJc w:val="right"/>
      <w:pPr>
        <w:ind w:left="6300" w:hanging="180"/>
      </w:pPr>
    </w:lvl>
  </w:abstractNum>
  <w:abstractNum w:abstractNumId="9">
    <w:nsid w:val="10BE7D53"/>
    <w:multiLevelType w:val="multilevel"/>
    <w:tmpl w:val="10BE7D53"/>
    <w:lvl w:ilvl="0" w:tentative="0">
      <w:start w:val="1"/>
      <w:numFmt w:val="upperLetter"/>
      <w:lvlText w:val="%1."/>
      <w:lvlJc w:val="left"/>
      <w:pPr>
        <w:ind w:left="450" w:hanging="360"/>
      </w:pPr>
      <w:rPr>
        <w:rFonts w:hint="default"/>
      </w:rPr>
    </w:lvl>
    <w:lvl w:ilvl="1" w:tentative="0">
      <w:start w:val="1"/>
      <w:numFmt w:val="lowerLetter"/>
      <w:lvlText w:val="%2."/>
      <w:lvlJc w:val="left"/>
      <w:pPr>
        <w:ind w:left="1170" w:hanging="360"/>
      </w:pPr>
    </w:lvl>
    <w:lvl w:ilvl="2" w:tentative="0">
      <w:start w:val="1"/>
      <w:numFmt w:val="lowerRoman"/>
      <w:lvlText w:val="%3."/>
      <w:lvlJc w:val="right"/>
      <w:pPr>
        <w:ind w:left="1890" w:hanging="180"/>
      </w:pPr>
    </w:lvl>
    <w:lvl w:ilvl="3" w:tentative="0">
      <w:start w:val="1"/>
      <w:numFmt w:val="decimal"/>
      <w:lvlText w:val="%4."/>
      <w:lvlJc w:val="left"/>
      <w:pPr>
        <w:ind w:left="2610" w:hanging="360"/>
      </w:pPr>
    </w:lvl>
    <w:lvl w:ilvl="4" w:tentative="0">
      <w:start w:val="1"/>
      <w:numFmt w:val="lowerLetter"/>
      <w:lvlText w:val="%5."/>
      <w:lvlJc w:val="left"/>
      <w:pPr>
        <w:ind w:left="3330" w:hanging="360"/>
      </w:pPr>
    </w:lvl>
    <w:lvl w:ilvl="5" w:tentative="0">
      <w:start w:val="1"/>
      <w:numFmt w:val="lowerRoman"/>
      <w:lvlText w:val="%6."/>
      <w:lvlJc w:val="right"/>
      <w:pPr>
        <w:ind w:left="4050" w:hanging="180"/>
      </w:pPr>
    </w:lvl>
    <w:lvl w:ilvl="6" w:tentative="0">
      <w:start w:val="1"/>
      <w:numFmt w:val="decimal"/>
      <w:lvlText w:val="%7."/>
      <w:lvlJc w:val="left"/>
      <w:pPr>
        <w:ind w:left="4770" w:hanging="360"/>
      </w:pPr>
    </w:lvl>
    <w:lvl w:ilvl="7" w:tentative="0">
      <w:start w:val="1"/>
      <w:numFmt w:val="lowerLetter"/>
      <w:lvlText w:val="%8."/>
      <w:lvlJc w:val="left"/>
      <w:pPr>
        <w:ind w:left="5490" w:hanging="360"/>
      </w:pPr>
    </w:lvl>
    <w:lvl w:ilvl="8" w:tentative="0">
      <w:start w:val="1"/>
      <w:numFmt w:val="lowerRoman"/>
      <w:lvlText w:val="%9."/>
      <w:lvlJc w:val="right"/>
      <w:pPr>
        <w:ind w:left="6210" w:hanging="180"/>
      </w:pPr>
    </w:lvl>
  </w:abstractNum>
  <w:abstractNum w:abstractNumId="10">
    <w:nsid w:val="12020580"/>
    <w:multiLevelType w:val="multilevel"/>
    <w:tmpl w:val="12020580"/>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155C1E22"/>
    <w:multiLevelType w:val="multilevel"/>
    <w:tmpl w:val="155C1E22"/>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170C5E01"/>
    <w:multiLevelType w:val="multilevel"/>
    <w:tmpl w:val="170C5E01"/>
    <w:lvl w:ilvl="0" w:tentative="0">
      <w:start w:val="1"/>
      <w:numFmt w:val="upperLetter"/>
      <w:lvlText w:val="%1."/>
      <w:lvlJc w:val="left"/>
      <w:pPr>
        <w:ind w:left="540" w:hanging="360"/>
      </w:pPr>
      <w:rPr>
        <w:rFonts w:hint="default"/>
      </w:rPr>
    </w:lvl>
    <w:lvl w:ilvl="1" w:tentative="0">
      <w:start w:val="1"/>
      <w:numFmt w:val="lowerLetter"/>
      <w:lvlText w:val="%2."/>
      <w:lvlJc w:val="left"/>
      <w:pPr>
        <w:ind w:left="1260" w:hanging="360"/>
      </w:pPr>
    </w:lvl>
    <w:lvl w:ilvl="2" w:tentative="0">
      <w:start w:val="1"/>
      <w:numFmt w:val="lowerRoman"/>
      <w:lvlText w:val="%3."/>
      <w:lvlJc w:val="right"/>
      <w:pPr>
        <w:ind w:left="1980" w:hanging="180"/>
      </w:pPr>
    </w:lvl>
    <w:lvl w:ilvl="3" w:tentative="0">
      <w:start w:val="1"/>
      <w:numFmt w:val="decimal"/>
      <w:lvlText w:val="%4."/>
      <w:lvlJc w:val="left"/>
      <w:pPr>
        <w:ind w:left="2700" w:hanging="360"/>
      </w:pPr>
    </w:lvl>
    <w:lvl w:ilvl="4" w:tentative="0">
      <w:start w:val="1"/>
      <w:numFmt w:val="lowerLetter"/>
      <w:lvlText w:val="%5."/>
      <w:lvlJc w:val="left"/>
      <w:pPr>
        <w:ind w:left="3420" w:hanging="360"/>
      </w:pPr>
    </w:lvl>
    <w:lvl w:ilvl="5" w:tentative="0">
      <w:start w:val="1"/>
      <w:numFmt w:val="lowerRoman"/>
      <w:lvlText w:val="%6."/>
      <w:lvlJc w:val="right"/>
      <w:pPr>
        <w:ind w:left="4140" w:hanging="180"/>
      </w:pPr>
    </w:lvl>
    <w:lvl w:ilvl="6" w:tentative="0">
      <w:start w:val="1"/>
      <w:numFmt w:val="decimal"/>
      <w:lvlText w:val="%7."/>
      <w:lvlJc w:val="left"/>
      <w:pPr>
        <w:ind w:left="4860" w:hanging="360"/>
      </w:pPr>
    </w:lvl>
    <w:lvl w:ilvl="7" w:tentative="0">
      <w:start w:val="1"/>
      <w:numFmt w:val="lowerLetter"/>
      <w:lvlText w:val="%8."/>
      <w:lvlJc w:val="left"/>
      <w:pPr>
        <w:ind w:left="5580" w:hanging="360"/>
      </w:pPr>
    </w:lvl>
    <w:lvl w:ilvl="8" w:tentative="0">
      <w:start w:val="1"/>
      <w:numFmt w:val="lowerRoman"/>
      <w:lvlText w:val="%9."/>
      <w:lvlJc w:val="right"/>
      <w:pPr>
        <w:ind w:left="6300" w:hanging="180"/>
      </w:pPr>
    </w:lvl>
  </w:abstractNum>
  <w:abstractNum w:abstractNumId="13">
    <w:nsid w:val="199D618E"/>
    <w:multiLevelType w:val="multilevel"/>
    <w:tmpl w:val="199D618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cs="Times New Roman"/>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
    <w:nsid w:val="1BDA292A"/>
    <w:multiLevelType w:val="multilevel"/>
    <w:tmpl w:val="1BDA292A"/>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28E333F1"/>
    <w:multiLevelType w:val="multilevel"/>
    <w:tmpl w:val="28E333F1"/>
    <w:lvl w:ilvl="0" w:tentative="0">
      <w:start w:val="1"/>
      <w:numFmt w:val="upperLetter"/>
      <w:lvlText w:val="%1."/>
      <w:lvlJc w:val="left"/>
      <w:pPr>
        <w:ind w:left="540" w:hanging="360"/>
      </w:pPr>
      <w:rPr>
        <w:rFonts w:hint="default"/>
      </w:rPr>
    </w:lvl>
    <w:lvl w:ilvl="1" w:tentative="0">
      <w:start w:val="1"/>
      <w:numFmt w:val="lowerLetter"/>
      <w:lvlText w:val="%2."/>
      <w:lvlJc w:val="left"/>
      <w:pPr>
        <w:ind w:left="1260" w:hanging="360"/>
      </w:pPr>
    </w:lvl>
    <w:lvl w:ilvl="2" w:tentative="0">
      <w:start w:val="1"/>
      <w:numFmt w:val="lowerRoman"/>
      <w:lvlText w:val="%3."/>
      <w:lvlJc w:val="right"/>
      <w:pPr>
        <w:ind w:left="1980" w:hanging="180"/>
      </w:pPr>
    </w:lvl>
    <w:lvl w:ilvl="3" w:tentative="0">
      <w:start w:val="1"/>
      <w:numFmt w:val="decimal"/>
      <w:lvlText w:val="%4."/>
      <w:lvlJc w:val="left"/>
      <w:pPr>
        <w:ind w:left="2700" w:hanging="360"/>
      </w:pPr>
    </w:lvl>
    <w:lvl w:ilvl="4" w:tentative="0">
      <w:start w:val="1"/>
      <w:numFmt w:val="lowerLetter"/>
      <w:lvlText w:val="%5."/>
      <w:lvlJc w:val="left"/>
      <w:pPr>
        <w:ind w:left="3420" w:hanging="360"/>
      </w:pPr>
    </w:lvl>
    <w:lvl w:ilvl="5" w:tentative="0">
      <w:start w:val="1"/>
      <w:numFmt w:val="lowerRoman"/>
      <w:lvlText w:val="%6."/>
      <w:lvlJc w:val="right"/>
      <w:pPr>
        <w:ind w:left="4140" w:hanging="180"/>
      </w:pPr>
    </w:lvl>
    <w:lvl w:ilvl="6" w:tentative="0">
      <w:start w:val="1"/>
      <w:numFmt w:val="decimal"/>
      <w:lvlText w:val="%7."/>
      <w:lvlJc w:val="left"/>
      <w:pPr>
        <w:ind w:left="4860" w:hanging="360"/>
      </w:pPr>
    </w:lvl>
    <w:lvl w:ilvl="7" w:tentative="0">
      <w:start w:val="1"/>
      <w:numFmt w:val="lowerLetter"/>
      <w:lvlText w:val="%8."/>
      <w:lvlJc w:val="left"/>
      <w:pPr>
        <w:ind w:left="5580" w:hanging="360"/>
      </w:pPr>
    </w:lvl>
    <w:lvl w:ilvl="8" w:tentative="0">
      <w:start w:val="1"/>
      <w:numFmt w:val="lowerRoman"/>
      <w:lvlText w:val="%9."/>
      <w:lvlJc w:val="right"/>
      <w:pPr>
        <w:ind w:left="6300" w:hanging="180"/>
      </w:pPr>
    </w:lvl>
  </w:abstractNum>
  <w:abstractNum w:abstractNumId="16">
    <w:nsid w:val="28F5021F"/>
    <w:multiLevelType w:val="multilevel"/>
    <w:tmpl w:val="28F5021F"/>
    <w:lvl w:ilvl="0" w:tentative="0">
      <w:start w:val="1"/>
      <w:numFmt w:val="upperLetter"/>
      <w:lvlText w:val="%1."/>
      <w:lvlJc w:val="left"/>
      <w:pPr>
        <w:ind w:left="450" w:hanging="360"/>
      </w:pPr>
      <w:rPr>
        <w:rFonts w:hint="default"/>
      </w:rPr>
    </w:lvl>
    <w:lvl w:ilvl="1" w:tentative="0">
      <w:start w:val="1"/>
      <w:numFmt w:val="lowerLetter"/>
      <w:lvlText w:val="%2."/>
      <w:lvlJc w:val="left"/>
      <w:pPr>
        <w:ind w:left="1260" w:hanging="360"/>
      </w:pPr>
    </w:lvl>
    <w:lvl w:ilvl="2" w:tentative="0">
      <w:start w:val="1"/>
      <w:numFmt w:val="lowerRoman"/>
      <w:lvlText w:val="%3."/>
      <w:lvlJc w:val="right"/>
      <w:pPr>
        <w:ind w:left="1980" w:hanging="180"/>
      </w:pPr>
    </w:lvl>
    <w:lvl w:ilvl="3" w:tentative="0">
      <w:start w:val="1"/>
      <w:numFmt w:val="decimal"/>
      <w:lvlText w:val="%4."/>
      <w:lvlJc w:val="left"/>
      <w:pPr>
        <w:ind w:left="2700" w:hanging="360"/>
      </w:pPr>
    </w:lvl>
    <w:lvl w:ilvl="4" w:tentative="0">
      <w:start w:val="1"/>
      <w:numFmt w:val="lowerLetter"/>
      <w:lvlText w:val="%5."/>
      <w:lvlJc w:val="left"/>
      <w:pPr>
        <w:ind w:left="3420" w:hanging="360"/>
      </w:pPr>
    </w:lvl>
    <w:lvl w:ilvl="5" w:tentative="0">
      <w:start w:val="1"/>
      <w:numFmt w:val="lowerRoman"/>
      <w:lvlText w:val="%6."/>
      <w:lvlJc w:val="right"/>
      <w:pPr>
        <w:ind w:left="4140" w:hanging="180"/>
      </w:pPr>
    </w:lvl>
    <w:lvl w:ilvl="6" w:tentative="0">
      <w:start w:val="1"/>
      <w:numFmt w:val="decimal"/>
      <w:lvlText w:val="%7."/>
      <w:lvlJc w:val="left"/>
      <w:pPr>
        <w:ind w:left="4860" w:hanging="360"/>
      </w:pPr>
    </w:lvl>
    <w:lvl w:ilvl="7" w:tentative="0">
      <w:start w:val="1"/>
      <w:numFmt w:val="lowerLetter"/>
      <w:lvlText w:val="%8."/>
      <w:lvlJc w:val="left"/>
      <w:pPr>
        <w:ind w:left="5580" w:hanging="360"/>
      </w:pPr>
    </w:lvl>
    <w:lvl w:ilvl="8" w:tentative="0">
      <w:start w:val="1"/>
      <w:numFmt w:val="lowerRoman"/>
      <w:lvlText w:val="%9."/>
      <w:lvlJc w:val="right"/>
      <w:pPr>
        <w:ind w:left="6300" w:hanging="180"/>
      </w:pPr>
    </w:lvl>
  </w:abstractNum>
  <w:abstractNum w:abstractNumId="17">
    <w:nsid w:val="291256E3"/>
    <w:multiLevelType w:val="multilevel"/>
    <w:tmpl w:val="291256E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
    <w:nsid w:val="2FFB7A76"/>
    <w:multiLevelType w:val="multilevel"/>
    <w:tmpl w:val="2FFB7A7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cs="Times New Roman"/>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9">
    <w:nsid w:val="306424CC"/>
    <w:multiLevelType w:val="multilevel"/>
    <w:tmpl w:val="306424CC"/>
    <w:lvl w:ilvl="0" w:tentative="0">
      <w:start w:val="1"/>
      <w:numFmt w:val="upperLetter"/>
      <w:lvlText w:val="%1."/>
      <w:lvlJc w:val="left"/>
      <w:pPr>
        <w:ind w:left="540" w:hanging="360"/>
      </w:pPr>
      <w:rPr>
        <w:rFonts w:hint="default"/>
      </w:rPr>
    </w:lvl>
    <w:lvl w:ilvl="1" w:tentative="0">
      <w:start w:val="1"/>
      <w:numFmt w:val="lowerLetter"/>
      <w:lvlText w:val="%2."/>
      <w:lvlJc w:val="left"/>
      <w:pPr>
        <w:ind w:left="1260" w:hanging="360"/>
      </w:pPr>
    </w:lvl>
    <w:lvl w:ilvl="2" w:tentative="0">
      <w:start w:val="1"/>
      <w:numFmt w:val="lowerRoman"/>
      <w:lvlText w:val="%3."/>
      <w:lvlJc w:val="right"/>
      <w:pPr>
        <w:ind w:left="1980" w:hanging="180"/>
      </w:pPr>
    </w:lvl>
    <w:lvl w:ilvl="3" w:tentative="0">
      <w:start w:val="1"/>
      <w:numFmt w:val="decimal"/>
      <w:lvlText w:val="%4."/>
      <w:lvlJc w:val="left"/>
      <w:pPr>
        <w:ind w:left="2700" w:hanging="360"/>
      </w:pPr>
    </w:lvl>
    <w:lvl w:ilvl="4" w:tentative="0">
      <w:start w:val="1"/>
      <w:numFmt w:val="lowerLetter"/>
      <w:lvlText w:val="%5."/>
      <w:lvlJc w:val="left"/>
      <w:pPr>
        <w:ind w:left="3420" w:hanging="360"/>
      </w:pPr>
    </w:lvl>
    <w:lvl w:ilvl="5" w:tentative="0">
      <w:start w:val="1"/>
      <w:numFmt w:val="lowerRoman"/>
      <w:lvlText w:val="%6."/>
      <w:lvlJc w:val="right"/>
      <w:pPr>
        <w:ind w:left="4140" w:hanging="180"/>
      </w:pPr>
    </w:lvl>
    <w:lvl w:ilvl="6" w:tentative="0">
      <w:start w:val="1"/>
      <w:numFmt w:val="decimal"/>
      <w:lvlText w:val="%7."/>
      <w:lvlJc w:val="left"/>
      <w:pPr>
        <w:ind w:left="4860" w:hanging="360"/>
      </w:pPr>
    </w:lvl>
    <w:lvl w:ilvl="7" w:tentative="0">
      <w:start w:val="1"/>
      <w:numFmt w:val="lowerLetter"/>
      <w:lvlText w:val="%8."/>
      <w:lvlJc w:val="left"/>
      <w:pPr>
        <w:ind w:left="5580" w:hanging="360"/>
      </w:pPr>
    </w:lvl>
    <w:lvl w:ilvl="8" w:tentative="0">
      <w:start w:val="1"/>
      <w:numFmt w:val="lowerRoman"/>
      <w:lvlText w:val="%9."/>
      <w:lvlJc w:val="right"/>
      <w:pPr>
        <w:ind w:left="6300" w:hanging="180"/>
      </w:pPr>
    </w:lvl>
  </w:abstractNum>
  <w:abstractNum w:abstractNumId="20">
    <w:nsid w:val="31A126FC"/>
    <w:multiLevelType w:val="multilevel"/>
    <w:tmpl w:val="31A126FC"/>
    <w:lvl w:ilvl="0" w:tentative="0">
      <w:start w:val="1"/>
      <w:numFmt w:val="upperLetter"/>
      <w:lvlText w:val="%1."/>
      <w:lvlJc w:val="left"/>
      <w:pPr>
        <w:ind w:left="720" w:hanging="360"/>
      </w:pPr>
      <w:rPr>
        <w:rFonts w:hint="default" w:ascii="Bookman Old Style" w:hAnsi="Bookman Old Style"/>
        <w:color w:val="00000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32C14F4F"/>
    <w:multiLevelType w:val="multilevel"/>
    <w:tmpl w:val="32C14F4F"/>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33575E4C"/>
    <w:multiLevelType w:val="multilevel"/>
    <w:tmpl w:val="33575E4C"/>
    <w:lvl w:ilvl="0" w:tentative="0">
      <w:start w:val="1"/>
      <w:numFmt w:val="upperLetter"/>
      <w:lvlText w:val="%1."/>
      <w:lvlJc w:val="left"/>
      <w:pPr>
        <w:ind w:left="450" w:hanging="360"/>
      </w:pPr>
      <w:rPr>
        <w:rFonts w:hint="default" w:ascii="Calibri" w:hAnsi="Calibri"/>
        <w:sz w:val="20"/>
      </w:rPr>
    </w:lvl>
    <w:lvl w:ilvl="1" w:tentative="0">
      <w:start w:val="1"/>
      <w:numFmt w:val="lowerLetter"/>
      <w:lvlText w:val="%2."/>
      <w:lvlJc w:val="left"/>
      <w:pPr>
        <w:ind w:left="1170" w:hanging="360"/>
      </w:pPr>
    </w:lvl>
    <w:lvl w:ilvl="2" w:tentative="0">
      <w:start w:val="1"/>
      <w:numFmt w:val="lowerRoman"/>
      <w:lvlText w:val="%3."/>
      <w:lvlJc w:val="right"/>
      <w:pPr>
        <w:ind w:left="1890" w:hanging="180"/>
      </w:pPr>
    </w:lvl>
    <w:lvl w:ilvl="3" w:tentative="0">
      <w:start w:val="1"/>
      <w:numFmt w:val="decimal"/>
      <w:lvlText w:val="%4."/>
      <w:lvlJc w:val="left"/>
      <w:pPr>
        <w:ind w:left="2610" w:hanging="360"/>
      </w:pPr>
    </w:lvl>
    <w:lvl w:ilvl="4" w:tentative="0">
      <w:start w:val="1"/>
      <w:numFmt w:val="lowerLetter"/>
      <w:lvlText w:val="%5."/>
      <w:lvlJc w:val="left"/>
      <w:pPr>
        <w:ind w:left="3330" w:hanging="360"/>
      </w:pPr>
    </w:lvl>
    <w:lvl w:ilvl="5" w:tentative="0">
      <w:start w:val="1"/>
      <w:numFmt w:val="lowerRoman"/>
      <w:lvlText w:val="%6."/>
      <w:lvlJc w:val="right"/>
      <w:pPr>
        <w:ind w:left="4050" w:hanging="180"/>
      </w:pPr>
    </w:lvl>
    <w:lvl w:ilvl="6" w:tentative="0">
      <w:start w:val="1"/>
      <w:numFmt w:val="decimal"/>
      <w:lvlText w:val="%7."/>
      <w:lvlJc w:val="left"/>
      <w:pPr>
        <w:ind w:left="4770" w:hanging="360"/>
      </w:pPr>
    </w:lvl>
    <w:lvl w:ilvl="7" w:tentative="0">
      <w:start w:val="1"/>
      <w:numFmt w:val="lowerLetter"/>
      <w:lvlText w:val="%8."/>
      <w:lvlJc w:val="left"/>
      <w:pPr>
        <w:ind w:left="5490" w:hanging="360"/>
      </w:pPr>
    </w:lvl>
    <w:lvl w:ilvl="8" w:tentative="0">
      <w:start w:val="1"/>
      <w:numFmt w:val="lowerRoman"/>
      <w:lvlText w:val="%9."/>
      <w:lvlJc w:val="right"/>
      <w:pPr>
        <w:ind w:left="6210" w:hanging="180"/>
      </w:pPr>
    </w:lvl>
  </w:abstractNum>
  <w:abstractNum w:abstractNumId="23">
    <w:nsid w:val="3BDC2E5C"/>
    <w:multiLevelType w:val="multilevel"/>
    <w:tmpl w:val="3BDC2E5C"/>
    <w:lvl w:ilvl="0" w:tentative="0">
      <w:start w:val="1"/>
      <w:numFmt w:val="upperLetter"/>
      <w:lvlText w:val="%1."/>
      <w:lvlJc w:val="left"/>
      <w:pPr>
        <w:ind w:left="540" w:hanging="360"/>
      </w:pPr>
      <w:rPr>
        <w:rFonts w:hint="default" w:ascii="Calibri" w:hAnsi="Calibri"/>
        <w:sz w:val="20"/>
      </w:rPr>
    </w:lvl>
    <w:lvl w:ilvl="1" w:tentative="0">
      <w:start w:val="1"/>
      <w:numFmt w:val="lowerLetter"/>
      <w:lvlText w:val="%2."/>
      <w:lvlJc w:val="left"/>
      <w:pPr>
        <w:ind w:left="1260" w:hanging="360"/>
      </w:pPr>
    </w:lvl>
    <w:lvl w:ilvl="2" w:tentative="0">
      <w:start w:val="1"/>
      <w:numFmt w:val="lowerRoman"/>
      <w:lvlText w:val="%3."/>
      <w:lvlJc w:val="right"/>
      <w:pPr>
        <w:ind w:left="1980" w:hanging="180"/>
      </w:pPr>
    </w:lvl>
    <w:lvl w:ilvl="3" w:tentative="0">
      <w:start w:val="1"/>
      <w:numFmt w:val="decimal"/>
      <w:lvlText w:val="%4."/>
      <w:lvlJc w:val="left"/>
      <w:pPr>
        <w:ind w:left="2700" w:hanging="360"/>
      </w:pPr>
    </w:lvl>
    <w:lvl w:ilvl="4" w:tentative="0">
      <w:start w:val="1"/>
      <w:numFmt w:val="lowerLetter"/>
      <w:lvlText w:val="%5."/>
      <w:lvlJc w:val="left"/>
      <w:pPr>
        <w:ind w:left="3420" w:hanging="360"/>
      </w:pPr>
    </w:lvl>
    <w:lvl w:ilvl="5" w:tentative="0">
      <w:start w:val="1"/>
      <w:numFmt w:val="lowerRoman"/>
      <w:lvlText w:val="%6."/>
      <w:lvlJc w:val="right"/>
      <w:pPr>
        <w:ind w:left="4140" w:hanging="180"/>
      </w:pPr>
    </w:lvl>
    <w:lvl w:ilvl="6" w:tentative="0">
      <w:start w:val="1"/>
      <w:numFmt w:val="decimal"/>
      <w:lvlText w:val="%7."/>
      <w:lvlJc w:val="left"/>
      <w:pPr>
        <w:ind w:left="4860" w:hanging="360"/>
      </w:pPr>
    </w:lvl>
    <w:lvl w:ilvl="7" w:tentative="0">
      <w:start w:val="1"/>
      <w:numFmt w:val="lowerLetter"/>
      <w:lvlText w:val="%8."/>
      <w:lvlJc w:val="left"/>
      <w:pPr>
        <w:ind w:left="5580" w:hanging="360"/>
      </w:pPr>
    </w:lvl>
    <w:lvl w:ilvl="8" w:tentative="0">
      <w:start w:val="1"/>
      <w:numFmt w:val="lowerRoman"/>
      <w:lvlText w:val="%9."/>
      <w:lvlJc w:val="right"/>
      <w:pPr>
        <w:ind w:left="6300" w:hanging="180"/>
      </w:pPr>
    </w:lvl>
  </w:abstractNum>
  <w:abstractNum w:abstractNumId="24">
    <w:nsid w:val="3E3D72BF"/>
    <w:multiLevelType w:val="multilevel"/>
    <w:tmpl w:val="3E3D72BF"/>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4EA13114"/>
    <w:multiLevelType w:val="multilevel"/>
    <w:tmpl w:val="4EA13114"/>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
    <w:nsid w:val="50B57E39"/>
    <w:multiLevelType w:val="multilevel"/>
    <w:tmpl w:val="50B57E39"/>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
    <w:nsid w:val="50F50239"/>
    <w:multiLevelType w:val="multilevel"/>
    <w:tmpl w:val="50F50239"/>
    <w:lvl w:ilvl="0" w:tentative="0">
      <w:start w:val="1"/>
      <w:numFmt w:val="upperLetter"/>
      <w:lvlText w:val="%1."/>
      <w:lvlJc w:val="left"/>
      <w:pPr>
        <w:ind w:left="540" w:hanging="360"/>
      </w:pPr>
      <w:rPr>
        <w:rFonts w:hint="default"/>
      </w:rPr>
    </w:lvl>
    <w:lvl w:ilvl="1" w:tentative="0">
      <w:start w:val="1"/>
      <w:numFmt w:val="lowerLetter"/>
      <w:lvlText w:val="%2."/>
      <w:lvlJc w:val="left"/>
      <w:pPr>
        <w:ind w:left="1260" w:hanging="360"/>
      </w:pPr>
    </w:lvl>
    <w:lvl w:ilvl="2" w:tentative="0">
      <w:start w:val="1"/>
      <w:numFmt w:val="lowerRoman"/>
      <w:lvlText w:val="%3."/>
      <w:lvlJc w:val="right"/>
      <w:pPr>
        <w:ind w:left="1980" w:hanging="180"/>
      </w:pPr>
    </w:lvl>
    <w:lvl w:ilvl="3" w:tentative="0">
      <w:start w:val="1"/>
      <w:numFmt w:val="decimal"/>
      <w:lvlText w:val="%4."/>
      <w:lvlJc w:val="left"/>
      <w:pPr>
        <w:ind w:left="2700" w:hanging="360"/>
      </w:pPr>
    </w:lvl>
    <w:lvl w:ilvl="4" w:tentative="0">
      <w:start w:val="1"/>
      <w:numFmt w:val="lowerLetter"/>
      <w:lvlText w:val="%5."/>
      <w:lvlJc w:val="left"/>
      <w:pPr>
        <w:ind w:left="3420" w:hanging="360"/>
      </w:pPr>
    </w:lvl>
    <w:lvl w:ilvl="5" w:tentative="0">
      <w:start w:val="1"/>
      <w:numFmt w:val="lowerRoman"/>
      <w:lvlText w:val="%6."/>
      <w:lvlJc w:val="right"/>
      <w:pPr>
        <w:ind w:left="4140" w:hanging="180"/>
      </w:pPr>
    </w:lvl>
    <w:lvl w:ilvl="6" w:tentative="0">
      <w:start w:val="1"/>
      <w:numFmt w:val="decimal"/>
      <w:lvlText w:val="%7."/>
      <w:lvlJc w:val="left"/>
      <w:pPr>
        <w:ind w:left="4860" w:hanging="360"/>
      </w:pPr>
    </w:lvl>
    <w:lvl w:ilvl="7" w:tentative="0">
      <w:start w:val="1"/>
      <w:numFmt w:val="lowerLetter"/>
      <w:lvlText w:val="%8."/>
      <w:lvlJc w:val="left"/>
      <w:pPr>
        <w:ind w:left="5580" w:hanging="360"/>
      </w:pPr>
    </w:lvl>
    <w:lvl w:ilvl="8" w:tentative="0">
      <w:start w:val="1"/>
      <w:numFmt w:val="lowerRoman"/>
      <w:lvlText w:val="%9."/>
      <w:lvlJc w:val="right"/>
      <w:pPr>
        <w:ind w:left="6300" w:hanging="180"/>
      </w:pPr>
    </w:lvl>
  </w:abstractNum>
  <w:abstractNum w:abstractNumId="28">
    <w:nsid w:val="529315F3"/>
    <w:multiLevelType w:val="multilevel"/>
    <w:tmpl w:val="529315F3"/>
    <w:lvl w:ilvl="0" w:tentative="0">
      <w:start w:val="1"/>
      <w:numFmt w:val="bullet"/>
      <w:lvlText w:val=""/>
      <w:lvlJc w:val="left"/>
      <w:pPr>
        <w:ind w:left="36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9">
    <w:nsid w:val="548B2BDB"/>
    <w:multiLevelType w:val="multilevel"/>
    <w:tmpl w:val="548B2BDB"/>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30">
    <w:nsid w:val="57E70A0F"/>
    <w:multiLevelType w:val="multilevel"/>
    <w:tmpl w:val="57E70A0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1">
    <w:nsid w:val="58851E83"/>
    <w:multiLevelType w:val="multilevel"/>
    <w:tmpl w:val="58851E83"/>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2">
    <w:nsid w:val="605D10B4"/>
    <w:multiLevelType w:val="multilevel"/>
    <w:tmpl w:val="605D10B4"/>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
    <w:nsid w:val="62035460"/>
    <w:multiLevelType w:val="multilevel"/>
    <w:tmpl w:val="62035460"/>
    <w:lvl w:ilvl="0" w:tentative="0">
      <w:start w:val="1"/>
      <w:numFmt w:val="upperLetter"/>
      <w:lvlText w:val="%1."/>
      <w:lvlJc w:val="left"/>
      <w:pPr>
        <w:ind w:left="540" w:hanging="360"/>
      </w:pPr>
      <w:rPr>
        <w:rFonts w:hint="default"/>
      </w:rPr>
    </w:lvl>
    <w:lvl w:ilvl="1" w:tentative="0">
      <w:start w:val="1"/>
      <w:numFmt w:val="lowerLetter"/>
      <w:lvlText w:val="%2."/>
      <w:lvlJc w:val="left"/>
      <w:pPr>
        <w:ind w:left="1260" w:hanging="360"/>
      </w:pPr>
    </w:lvl>
    <w:lvl w:ilvl="2" w:tentative="0">
      <w:start w:val="1"/>
      <w:numFmt w:val="lowerRoman"/>
      <w:lvlText w:val="%3."/>
      <w:lvlJc w:val="right"/>
      <w:pPr>
        <w:ind w:left="1980" w:hanging="180"/>
      </w:pPr>
    </w:lvl>
    <w:lvl w:ilvl="3" w:tentative="0">
      <w:start w:val="1"/>
      <w:numFmt w:val="decimal"/>
      <w:lvlText w:val="%4."/>
      <w:lvlJc w:val="left"/>
      <w:pPr>
        <w:ind w:left="2700" w:hanging="360"/>
      </w:pPr>
    </w:lvl>
    <w:lvl w:ilvl="4" w:tentative="0">
      <w:start w:val="1"/>
      <w:numFmt w:val="lowerLetter"/>
      <w:lvlText w:val="%5."/>
      <w:lvlJc w:val="left"/>
      <w:pPr>
        <w:ind w:left="3420" w:hanging="360"/>
      </w:pPr>
    </w:lvl>
    <w:lvl w:ilvl="5" w:tentative="0">
      <w:start w:val="1"/>
      <w:numFmt w:val="lowerRoman"/>
      <w:lvlText w:val="%6."/>
      <w:lvlJc w:val="right"/>
      <w:pPr>
        <w:ind w:left="4140" w:hanging="180"/>
      </w:pPr>
    </w:lvl>
    <w:lvl w:ilvl="6" w:tentative="0">
      <w:start w:val="1"/>
      <w:numFmt w:val="decimal"/>
      <w:lvlText w:val="%7."/>
      <w:lvlJc w:val="left"/>
      <w:pPr>
        <w:ind w:left="4860" w:hanging="360"/>
      </w:pPr>
    </w:lvl>
    <w:lvl w:ilvl="7" w:tentative="0">
      <w:start w:val="1"/>
      <w:numFmt w:val="lowerLetter"/>
      <w:lvlText w:val="%8."/>
      <w:lvlJc w:val="left"/>
      <w:pPr>
        <w:ind w:left="5580" w:hanging="360"/>
      </w:pPr>
    </w:lvl>
    <w:lvl w:ilvl="8" w:tentative="0">
      <w:start w:val="1"/>
      <w:numFmt w:val="lowerRoman"/>
      <w:lvlText w:val="%9."/>
      <w:lvlJc w:val="right"/>
      <w:pPr>
        <w:ind w:left="6300" w:hanging="180"/>
      </w:pPr>
    </w:lvl>
  </w:abstractNum>
  <w:abstractNum w:abstractNumId="34">
    <w:nsid w:val="6CEB428E"/>
    <w:multiLevelType w:val="multilevel"/>
    <w:tmpl w:val="6CEB428E"/>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5">
    <w:nsid w:val="78EA7BBE"/>
    <w:multiLevelType w:val="multilevel"/>
    <w:tmpl w:val="78EA7BBE"/>
    <w:lvl w:ilvl="0" w:tentative="0">
      <w:start w:val="1"/>
      <w:numFmt w:val="upperLetter"/>
      <w:lvlText w:val="%1."/>
      <w:lvlJc w:val="left"/>
      <w:pPr>
        <w:ind w:left="720" w:hanging="360"/>
      </w:pPr>
      <w:rPr>
        <w:rFonts w:hint="default"/>
        <w:sz w:val="2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6">
    <w:nsid w:val="7A682E5A"/>
    <w:multiLevelType w:val="multilevel"/>
    <w:tmpl w:val="7A682E5A"/>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8"/>
  </w:num>
  <w:num w:numId="2">
    <w:abstractNumId w:val="29"/>
  </w:num>
  <w:num w:numId="3">
    <w:abstractNumId w:val="17"/>
  </w:num>
  <w:num w:numId="4">
    <w:abstractNumId w:val="2"/>
  </w:num>
  <w:num w:numId="5">
    <w:abstractNumId w:val="1"/>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3"/>
  </w:num>
  <w:num w:numId="9">
    <w:abstractNumId w:val="5"/>
  </w:num>
  <w:num w:numId="10">
    <w:abstractNumId w:val="35"/>
  </w:num>
  <w:num w:numId="11">
    <w:abstractNumId w:val="24"/>
  </w:num>
  <w:num w:numId="12">
    <w:abstractNumId w:val="25"/>
  </w:num>
  <w:num w:numId="13">
    <w:abstractNumId w:val="20"/>
  </w:num>
  <w:num w:numId="14">
    <w:abstractNumId w:val="9"/>
  </w:num>
  <w:num w:numId="15">
    <w:abstractNumId w:val="3"/>
  </w:num>
  <w:num w:numId="16">
    <w:abstractNumId w:val="16"/>
  </w:num>
  <w:num w:numId="17">
    <w:abstractNumId w:val="23"/>
  </w:num>
  <w:num w:numId="18">
    <w:abstractNumId w:val="27"/>
  </w:num>
  <w:num w:numId="19">
    <w:abstractNumId w:val="8"/>
  </w:num>
  <w:num w:numId="20">
    <w:abstractNumId w:val="26"/>
  </w:num>
  <w:num w:numId="21">
    <w:abstractNumId w:val="22"/>
  </w:num>
  <w:num w:numId="22">
    <w:abstractNumId w:val="12"/>
  </w:num>
  <w:num w:numId="23">
    <w:abstractNumId w:val="33"/>
  </w:num>
  <w:num w:numId="24">
    <w:abstractNumId w:val="15"/>
  </w:num>
  <w:num w:numId="25">
    <w:abstractNumId w:val="19"/>
  </w:num>
  <w:num w:numId="26">
    <w:abstractNumId w:val="21"/>
  </w:num>
  <w:num w:numId="27">
    <w:abstractNumId w:val="11"/>
  </w:num>
  <w:num w:numId="28">
    <w:abstractNumId w:val="34"/>
  </w:num>
  <w:num w:numId="29">
    <w:abstractNumId w:val="4"/>
  </w:num>
  <w:num w:numId="30">
    <w:abstractNumId w:val="32"/>
  </w:num>
  <w:num w:numId="31">
    <w:abstractNumId w:val="7"/>
  </w:num>
  <w:num w:numId="32">
    <w:abstractNumId w:val="36"/>
  </w:num>
  <w:num w:numId="33">
    <w:abstractNumId w:val="6"/>
  </w:num>
  <w:num w:numId="34">
    <w:abstractNumId w:val="10"/>
  </w:num>
  <w:num w:numId="35">
    <w:abstractNumId w:val="31"/>
  </w:num>
  <w:num w:numId="36">
    <w:abstractNumId w:val="14"/>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DB1"/>
    <w:rsid w:val="0000114B"/>
    <w:rsid w:val="00002CD0"/>
    <w:rsid w:val="000067FB"/>
    <w:rsid w:val="00016EEC"/>
    <w:rsid w:val="000206BC"/>
    <w:rsid w:val="00024131"/>
    <w:rsid w:val="00035DD5"/>
    <w:rsid w:val="00043022"/>
    <w:rsid w:val="00053221"/>
    <w:rsid w:val="00053CF6"/>
    <w:rsid w:val="0006143F"/>
    <w:rsid w:val="0007653A"/>
    <w:rsid w:val="00082F8F"/>
    <w:rsid w:val="000872BF"/>
    <w:rsid w:val="00090E73"/>
    <w:rsid w:val="00094222"/>
    <w:rsid w:val="00096101"/>
    <w:rsid w:val="000971EB"/>
    <w:rsid w:val="000A7666"/>
    <w:rsid w:val="000B0607"/>
    <w:rsid w:val="000B73C9"/>
    <w:rsid w:val="000C31F2"/>
    <w:rsid w:val="000C6F33"/>
    <w:rsid w:val="000D11AF"/>
    <w:rsid w:val="000D61B6"/>
    <w:rsid w:val="000E2D66"/>
    <w:rsid w:val="000E6B37"/>
    <w:rsid w:val="000F508C"/>
    <w:rsid w:val="000F632A"/>
    <w:rsid w:val="0010474D"/>
    <w:rsid w:val="0012105C"/>
    <w:rsid w:val="00121BCE"/>
    <w:rsid w:val="00124FE1"/>
    <w:rsid w:val="00134FE9"/>
    <w:rsid w:val="00137D75"/>
    <w:rsid w:val="001409C4"/>
    <w:rsid w:val="001463D4"/>
    <w:rsid w:val="00152A9D"/>
    <w:rsid w:val="00155629"/>
    <w:rsid w:val="00156F23"/>
    <w:rsid w:val="00176C75"/>
    <w:rsid w:val="00184A46"/>
    <w:rsid w:val="00186220"/>
    <w:rsid w:val="00193AD9"/>
    <w:rsid w:val="001A5B7E"/>
    <w:rsid w:val="001A5FA1"/>
    <w:rsid w:val="001B48B1"/>
    <w:rsid w:val="001C46E7"/>
    <w:rsid w:val="001C59AC"/>
    <w:rsid w:val="001D6124"/>
    <w:rsid w:val="001E5BE3"/>
    <w:rsid w:val="001F2E6B"/>
    <w:rsid w:val="00215DE9"/>
    <w:rsid w:val="00217D75"/>
    <w:rsid w:val="00221DFD"/>
    <w:rsid w:val="00226551"/>
    <w:rsid w:val="00230FCC"/>
    <w:rsid w:val="00243E81"/>
    <w:rsid w:val="0025436C"/>
    <w:rsid w:val="00262927"/>
    <w:rsid w:val="002679DA"/>
    <w:rsid w:val="00276001"/>
    <w:rsid w:val="002A2016"/>
    <w:rsid w:val="002C0FE0"/>
    <w:rsid w:val="002C1F39"/>
    <w:rsid w:val="002D742D"/>
    <w:rsid w:val="002E50EA"/>
    <w:rsid w:val="002F4C62"/>
    <w:rsid w:val="003101C7"/>
    <w:rsid w:val="00324D4C"/>
    <w:rsid w:val="0032616E"/>
    <w:rsid w:val="003320BA"/>
    <w:rsid w:val="003455B3"/>
    <w:rsid w:val="0035016E"/>
    <w:rsid w:val="00352FFE"/>
    <w:rsid w:val="00354549"/>
    <w:rsid w:val="00356645"/>
    <w:rsid w:val="003645B6"/>
    <w:rsid w:val="00365D46"/>
    <w:rsid w:val="00383A7C"/>
    <w:rsid w:val="00386ECE"/>
    <w:rsid w:val="00386F05"/>
    <w:rsid w:val="003950EE"/>
    <w:rsid w:val="00397E5D"/>
    <w:rsid w:val="003A24BB"/>
    <w:rsid w:val="003A4300"/>
    <w:rsid w:val="003B07AD"/>
    <w:rsid w:val="003C058D"/>
    <w:rsid w:val="003C0A41"/>
    <w:rsid w:val="003C42E6"/>
    <w:rsid w:val="003D11AB"/>
    <w:rsid w:val="003D3627"/>
    <w:rsid w:val="003E34DE"/>
    <w:rsid w:val="003E3601"/>
    <w:rsid w:val="003E681C"/>
    <w:rsid w:val="00402932"/>
    <w:rsid w:val="00402FAD"/>
    <w:rsid w:val="00403735"/>
    <w:rsid w:val="00412651"/>
    <w:rsid w:val="004220FB"/>
    <w:rsid w:val="0042309A"/>
    <w:rsid w:val="00427F34"/>
    <w:rsid w:val="00430B22"/>
    <w:rsid w:val="004336C5"/>
    <w:rsid w:val="0043663E"/>
    <w:rsid w:val="004449EE"/>
    <w:rsid w:val="0044649E"/>
    <w:rsid w:val="004539BA"/>
    <w:rsid w:val="00461520"/>
    <w:rsid w:val="00474A6E"/>
    <w:rsid w:val="004831DE"/>
    <w:rsid w:val="00483B1C"/>
    <w:rsid w:val="00483D8E"/>
    <w:rsid w:val="00484190"/>
    <w:rsid w:val="004C6289"/>
    <w:rsid w:val="004D1C5F"/>
    <w:rsid w:val="004D4E46"/>
    <w:rsid w:val="004E2351"/>
    <w:rsid w:val="0050627D"/>
    <w:rsid w:val="0052196C"/>
    <w:rsid w:val="0053068E"/>
    <w:rsid w:val="005447F1"/>
    <w:rsid w:val="0055193E"/>
    <w:rsid w:val="0055356A"/>
    <w:rsid w:val="005548D7"/>
    <w:rsid w:val="005551D9"/>
    <w:rsid w:val="00556D8D"/>
    <w:rsid w:val="00557290"/>
    <w:rsid w:val="0056090B"/>
    <w:rsid w:val="00561620"/>
    <w:rsid w:val="00577AD2"/>
    <w:rsid w:val="005900DC"/>
    <w:rsid w:val="00595273"/>
    <w:rsid w:val="00596831"/>
    <w:rsid w:val="005A0CE2"/>
    <w:rsid w:val="005A1D30"/>
    <w:rsid w:val="005E7D9A"/>
    <w:rsid w:val="005F22FA"/>
    <w:rsid w:val="0060507B"/>
    <w:rsid w:val="00611342"/>
    <w:rsid w:val="00614EF6"/>
    <w:rsid w:val="00617710"/>
    <w:rsid w:val="00626042"/>
    <w:rsid w:val="00634838"/>
    <w:rsid w:val="00635B2D"/>
    <w:rsid w:val="00637857"/>
    <w:rsid w:val="006378CB"/>
    <w:rsid w:val="00637EDC"/>
    <w:rsid w:val="0064286F"/>
    <w:rsid w:val="00655D5C"/>
    <w:rsid w:val="00656BCE"/>
    <w:rsid w:val="00662D04"/>
    <w:rsid w:val="00665509"/>
    <w:rsid w:val="00670844"/>
    <w:rsid w:val="006809E0"/>
    <w:rsid w:val="00680E9F"/>
    <w:rsid w:val="0068434D"/>
    <w:rsid w:val="00684CBA"/>
    <w:rsid w:val="00690D07"/>
    <w:rsid w:val="00692657"/>
    <w:rsid w:val="0069328A"/>
    <w:rsid w:val="006B196E"/>
    <w:rsid w:val="006B4671"/>
    <w:rsid w:val="006D03DF"/>
    <w:rsid w:val="006D28C6"/>
    <w:rsid w:val="006D66DD"/>
    <w:rsid w:val="006D7180"/>
    <w:rsid w:val="006D7E69"/>
    <w:rsid w:val="006F1789"/>
    <w:rsid w:val="006F29F7"/>
    <w:rsid w:val="007007CE"/>
    <w:rsid w:val="00705A20"/>
    <w:rsid w:val="00713B7C"/>
    <w:rsid w:val="007206F1"/>
    <w:rsid w:val="00722323"/>
    <w:rsid w:val="007224C9"/>
    <w:rsid w:val="00737DB1"/>
    <w:rsid w:val="00747A25"/>
    <w:rsid w:val="00762E63"/>
    <w:rsid w:val="00772F10"/>
    <w:rsid w:val="007739DD"/>
    <w:rsid w:val="00777B21"/>
    <w:rsid w:val="00793271"/>
    <w:rsid w:val="007A405B"/>
    <w:rsid w:val="007B4615"/>
    <w:rsid w:val="007C318B"/>
    <w:rsid w:val="007C3F4A"/>
    <w:rsid w:val="007C5856"/>
    <w:rsid w:val="007E6BFA"/>
    <w:rsid w:val="007E765F"/>
    <w:rsid w:val="007F1DD6"/>
    <w:rsid w:val="007F49B6"/>
    <w:rsid w:val="008000AC"/>
    <w:rsid w:val="008122A2"/>
    <w:rsid w:val="00822E24"/>
    <w:rsid w:val="008420D1"/>
    <w:rsid w:val="00843356"/>
    <w:rsid w:val="008475CB"/>
    <w:rsid w:val="0085019E"/>
    <w:rsid w:val="0085294C"/>
    <w:rsid w:val="0086597E"/>
    <w:rsid w:val="00865F79"/>
    <w:rsid w:val="00870291"/>
    <w:rsid w:val="0087201B"/>
    <w:rsid w:val="00876B2D"/>
    <w:rsid w:val="00887D64"/>
    <w:rsid w:val="00887F72"/>
    <w:rsid w:val="008A0384"/>
    <w:rsid w:val="008A25C8"/>
    <w:rsid w:val="008A440D"/>
    <w:rsid w:val="008A519E"/>
    <w:rsid w:val="008A7947"/>
    <w:rsid w:val="008D0DFC"/>
    <w:rsid w:val="008F2A1A"/>
    <w:rsid w:val="00901C1A"/>
    <w:rsid w:val="00913F11"/>
    <w:rsid w:val="00916358"/>
    <w:rsid w:val="00917C7E"/>
    <w:rsid w:val="00922483"/>
    <w:rsid w:val="0092360C"/>
    <w:rsid w:val="00937558"/>
    <w:rsid w:val="00947672"/>
    <w:rsid w:val="00952B79"/>
    <w:rsid w:val="009572CD"/>
    <w:rsid w:val="009675B8"/>
    <w:rsid w:val="00974B23"/>
    <w:rsid w:val="00977BF2"/>
    <w:rsid w:val="00985289"/>
    <w:rsid w:val="00987F82"/>
    <w:rsid w:val="00997845"/>
    <w:rsid w:val="009A2006"/>
    <w:rsid w:val="009B54F8"/>
    <w:rsid w:val="009C28F6"/>
    <w:rsid w:val="009C3E0B"/>
    <w:rsid w:val="009C497C"/>
    <w:rsid w:val="009C59F7"/>
    <w:rsid w:val="009C6F2E"/>
    <w:rsid w:val="009D43DF"/>
    <w:rsid w:val="009E798D"/>
    <w:rsid w:val="00A1440D"/>
    <w:rsid w:val="00A267A1"/>
    <w:rsid w:val="00A305C3"/>
    <w:rsid w:val="00A31A07"/>
    <w:rsid w:val="00A4134D"/>
    <w:rsid w:val="00A47CD5"/>
    <w:rsid w:val="00A56A15"/>
    <w:rsid w:val="00A56D46"/>
    <w:rsid w:val="00A703D1"/>
    <w:rsid w:val="00A72567"/>
    <w:rsid w:val="00A7355B"/>
    <w:rsid w:val="00A923D9"/>
    <w:rsid w:val="00A94909"/>
    <w:rsid w:val="00AA6103"/>
    <w:rsid w:val="00AB02D8"/>
    <w:rsid w:val="00AB551E"/>
    <w:rsid w:val="00AC6829"/>
    <w:rsid w:val="00AD0ACE"/>
    <w:rsid w:val="00AD321F"/>
    <w:rsid w:val="00B019A4"/>
    <w:rsid w:val="00B044BF"/>
    <w:rsid w:val="00B10D87"/>
    <w:rsid w:val="00B13339"/>
    <w:rsid w:val="00B27CCB"/>
    <w:rsid w:val="00B348C9"/>
    <w:rsid w:val="00B528EF"/>
    <w:rsid w:val="00B5641D"/>
    <w:rsid w:val="00B62116"/>
    <w:rsid w:val="00B700DC"/>
    <w:rsid w:val="00B70B0A"/>
    <w:rsid w:val="00B72495"/>
    <w:rsid w:val="00B81950"/>
    <w:rsid w:val="00B84C18"/>
    <w:rsid w:val="00B94E5E"/>
    <w:rsid w:val="00BA26F3"/>
    <w:rsid w:val="00BA6FD2"/>
    <w:rsid w:val="00BB1E92"/>
    <w:rsid w:val="00BB2914"/>
    <w:rsid w:val="00BB7D13"/>
    <w:rsid w:val="00BC2EDB"/>
    <w:rsid w:val="00BC3F60"/>
    <w:rsid w:val="00BC691E"/>
    <w:rsid w:val="00BC70A9"/>
    <w:rsid w:val="00BD2709"/>
    <w:rsid w:val="00BD34D4"/>
    <w:rsid w:val="00BE2228"/>
    <w:rsid w:val="00BE306B"/>
    <w:rsid w:val="00BF6E5A"/>
    <w:rsid w:val="00C02B46"/>
    <w:rsid w:val="00C039C4"/>
    <w:rsid w:val="00C12FB5"/>
    <w:rsid w:val="00C174AE"/>
    <w:rsid w:val="00C20B91"/>
    <w:rsid w:val="00C21001"/>
    <w:rsid w:val="00C37D77"/>
    <w:rsid w:val="00C605A5"/>
    <w:rsid w:val="00C6113D"/>
    <w:rsid w:val="00C6153C"/>
    <w:rsid w:val="00C64C1E"/>
    <w:rsid w:val="00C65578"/>
    <w:rsid w:val="00C84B5F"/>
    <w:rsid w:val="00C91744"/>
    <w:rsid w:val="00C949B5"/>
    <w:rsid w:val="00CB0634"/>
    <w:rsid w:val="00CC29FA"/>
    <w:rsid w:val="00CC34A4"/>
    <w:rsid w:val="00CC46E0"/>
    <w:rsid w:val="00D10335"/>
    <w:rsid w:val="00D10CAE"/>
    <w:rsid w:val="00D12AB1"/>
    <w:rsid w:val="00D20603"/>
    <w:rsid w:val="00D223C7"/>
    <w:rsid w:val="00D30AA4"/>
    <w:rsid w:val="00D32F76"/>
    <w:rsid w:val="00D4114A"/>
    <w:rsid w:val="00D53B70"/>
    <w:rsid w:val="00D61DE3"/>
    <w:rsid w:val="00D7134F"/>
    <w:rsid w:val="00D72A4C"/>
    <w:rsid w:val="00D91303"/>
    <w:rsid w:val="00DA4A81"/>
    <w:rsid w:val="00DA5ABC"/>
    <w:rsid w:val="00DB23A3"/>
    <w:rsid w:val="00DB4511"/>
    <w:rsid w:val="00DB58E3"/>
    <w:rsid w:val="00DC1A79"/>
    <w:rsid w:val="00DD0B8C"/>
    <w:rsid w:val="00DD4416"/>
    <w:rsid w:val="00DE7472"/>
    <w:rsid w:val="00DF0241"/>
    <w:rsid w:val="00DF59DC"/>
    <w:rsid w:val="00DF6D03"/>
    <w:rsid w:val="00E01AA2"/>
    <w:rsid w:val="00E104D7"/>
    <w:rsid w:val="00E1063D"/>
    <w:rsid w:val="00E10EF3"/>
    <w:rsid w:val="00E21618"/>
    <w:rsid w:val="00E23880"/>
    <w:rsid w:val="00E24CB5"/>
    <w:rsid w:val="00E32AC5"/>
    <w:rsid w:val="00E332F6"/>
    <w:rsid w:val="00E33B98"/>
    <w:rsid w:val="00E47849"/>
    <w:rsid w:val="00E60D2D"/>
    <w:rsid w:val="00E612BA"/>
    <w:rsid w:val="00E7418B"/>
    <w:rsid w:val="00E77418"/>
    <w:rsid w:val="00E90520"/>
    <w:rsid w:val="00E93B84"/>
    <w:rsid w:val="00E93FD3"/>
    <w:rsid w:val="00EA1011"/>
    <w:rsid w:val="00EA1C85"/>
    <w:rsid w:val="00EA72C2"/>
    <w:rsid w:val="00EB61D4"/>
    <w:rsid w:val="00EB73EF"/>
    <w:rsid w:val="00EC14EF"/>
    <w:rsid w:val="00EC401D"/>
    <w:rsid w:val="00ED30F9"/>
    <w:rsid w:val="00ED4B8E"/>
    <w:rsid w:val="00ED71B2"/>
    <w:rsid w:val="00ED71F5"/>
    <w:rsid w:val="00EE0364"/>
    <w:rsid w:val="00EE2823"/>
    <w:rsid w:val="00F05D67"/>
    <w:rsid w:val="00F1326C"/>
    <w:rsid w:val="00F24217"/>
    <w:rsid w:val="00F34AFA"/>
    <w:rsid w:val="00F35090"/>
    <w:rsid w:val="00F35BC1"/>
    <w:rsid w:val="00F5443F"/>
    <w:rsid w:val="00F557A0"/>
    <w:rsid w:val="00F563CA"/>
    <w:rsid w:val="00F6385A"/>
    <w:rsid w:val="00F7340A"/>
    <w:rsid w:val="00F77824"/>
    <w:rsid w:val="00F81B3F"/>
    <w:rsid w:val="00F83E89"/>
    <w:rsid w:val="00F95954"/>
    <w:rsid w:val="00F95CF8"/>
    <w:rsid w:val="00FA586F"/>
    <w:rsid w:val="00FB16EB"/>
    <w:rsid w:val="00FB389D"/>
    <w:rsid w:val="02415428"/>
    <w:rsid w:val="02415826"/>
    <w:rsid w:val="02B5113C"/>
    <w:rsid w:val="03022507"/>
    <w:rsid w:val="047F20A7"/>
    <w:rsid w:val="04893CFE"/>
    <w:rsid w:val="0489533D"/>
    <w:rsid w:val="066D3594"/>
    <w:rsid w:val="069C6B86"/>
    <w:rsid w:val="06E33E73"/>
    <w:rsid w:val="07E6312F"/>
    <w:rsid w:val="08514AE0"/>
    <w:rsid w:val="0A362FD0"/>
    <w:rsid w:val="0AA55524"/>
    <w:rsid w:val="0B13213A"/>
    <w:rsid w:val="0CAB7B74"/>
    <w:rsid w:val="0D277AA0"/>
    <w:rsid w:val="106A4CBC"/>
    <w:rsid w:val="11DF7B93"/>
    <w:rsid w:val="13724F6F"/>
    <w:rsid w:val="14890C9B"/>
    <w:rsid w:val="14C07817"/>
    <w:rsid w:val="159A031F"/>
    <w:rsid w:val="15F95B22"/>
    <w:rsid w:val="161E5E7A"/>
    <w:rsid w:val="16405C5C"/>
    <w:rsid w:val="16645E77"/>
    <w:rsid w:val="17334BAB"/>
    <w:rsid w:val="17794855"/>
    <w:rsid w:val="178B40C0"/>
    <w:rsid w:val="192C06DB"/>
    <w:rsid w:val="1A0E0EDF"/>
    <w:rsid w:val="1A454895"/>
    <w:rsid w:val="1B1E3089"/>
    <w:rsid w:val="1BD73B3C"/>
    <w:rsid w:val="1C237A27"/>
    <w:rsid w:val="1C57631E"/>
    <w:rsid w:val="1C895B5E"/>
    <w:rsid w:val="1CDA2D15"/>
    <w:rsid w:val="1CDA6E24"/>
    <w:rsid w:val="1CE14BE8"/>
    <w:rsid w:val="1E5673D3"/>
    <w:rsid w:val="20270F2B"/>
    <w:rsid w:val="20BE2A44"/>
    <w:rsid w:val="213F1D58"/>
    <w:rsid w:val="21602400"/>
    <w:rsid w:val="21CB6C43"/>
    <w:rsid w:val="23E55A70"/>
    <w:rsid w:val="24EB3C2E"/>
    <w:rsid w:val="25A66669"/>
    <w:rsid w:val="25FC6B87"/>
    <w:rsid w:val="27734D05"/>
    <w:rsid w:val="2B9107EA"/>
    <w:rsid w:val="2D3B3BA5"/>
    <w:rsid w:val="2E1E1EDD"/>
    <w:rsid w:val="2F123144"/>
    <w:rsid w:val="2FEF7010"/>
    <w:rsid w:val="30786BB3"/>
    <w:rsid w:val="30BB3500"/>
    <w:rsid w:val="30D342E9"/>
    <w:rsid w:val="31430FAF"/>
    <w:rsid w:val="31DF17DC"/>
    <w:rsid w:val="31F56B81"/>
    <w:rsid w:val="320944A7"/>
    <w:rsid w:val="34773981"/>
    <w:rsid w:val="34BB0C81"/>
    <w:rsid w:val="36D12E0C"/>
    <w:rsid w:val="36D81883"/>
    <w:rsid w:val="37307FF9"/>
    <w:rsid w:val="379538CC"/>
    <w:rsid w:val="3A7D1602"/>
    <w:rsid w:val="3A8B3157"/>
    <w:rsid w:val="3BB56F81"/>
    <w:rsid w:val="3C1B7CA2"/>
    <w:rsid w:val="3DC226CE"/>
    <w:rsid w:val="3E4C7D41"/>
    <w:rsid w:val="3F2029A0"/>
    <w:rsid w:val="3FDF78A0"/>
    <w:rsid w:val="411331D2"/>
    <w:rsid w:val="41B7451F"/>
    <w:rsid w:val="41B94ADA"/>
    <w:rsid w:val="49DA376C"/>
    <w:rsid w:val="4BB91051"/>
    <w:rsid w:val="4BBB3ECF"/>
    <w:rsid w:val="4CE16EA4"/>
    <w:rsid w:val="4DAE23ED"/>
    <w:rsid w:val="4E1927DA"/>
    <w:rsid w:val="528B1DBA"/>
    <w:rsid w:val="52AA5CD1"/>
    <w:rsid w:val="53244EF5"/>
    <w:rsid w:val="5385213F"/>
    <w:rsid w:val="555B0397"/>
    <w:rsid w:val="55E75FD2"/>
    <w:rsid w:val="578F614C"/>
    <w:rsid w:val="588219ED"/>
    <w:rsid w:val="59605013"/>
    <w:rsid w:val="5AFC2BD9"/>
    <w:rsid w:val="5B027B34"/>
    <w:rsid w:val="5CEB6393"/>
    <w:rsid w:val="5D237B53"/>
    <w:rsid w:val="5D5300A4"/>
    <w:rsid w:val="5DC1219E"/>
    <w:rsid w:val="5FE11A5B"/>
    <w:rsid w:val="60E02551"/>
    <w:rsid w:val="60E664FB"/>
    <w:rsid w:val="61246EC0"/>
    <w:rsid w:val="6240283F"/>
    <w:rsid w:val="64561F2A"/>
    <w:rsid w:val="64FD39BC"/>
    <w:rsid w:val="669B65BE"/>
    <w:rsid w:val="683E683B"/>
    <w:rsid w:val="687731D1"/>
    <w:rsid w:val="690B0C63"/>
    <w:rsid w:val="6A567FD0"/>
    <w:rsid w:val="6AD1573B"/>
    <w:rsid w:val="6BF30E44"/>
    <w:rsid w:val="6C2C4242"/>
    <w:rsid w:val="703C37F2"/>
    <w:rsid w:val="730A5944"/>
    <w:rsid w:val="7389424C"/>
    <w:rsid w:val="74934977"/>
    <w:rsid w:val="74AD31AE"/>
    <w:rsid w:val="75236438"/>
    <w:rsid w:val="761373C1"/>
    <w:rsid w:val="786D4A21"/>
    <w:rsid w:val="7A306423"/>
    <w:rsid w:val="7C2648BF"/>
    <w:rsid w:val="7D6F7219"/>
    <w:rsid w:val="7D922088"/>
    <w:rsid w:val="7F4C3DE7"/>
    <w:rsid w:val="7FDC6E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2"/>
      <w:szCs w:val="22"/>
      <w:lang w:val="en-US" w:eastAsia="en-US" w:bidi="ar-SA"/>
    </w:rPr>
  </w:style>
  <w:style w:type="paragraph" w:styleId="2">
    <w:name w:val="heading 1"/>
    <w:basedOn w:val="1"/>
    <w:next w:val="1"/>
    <w:link w:val="37"/>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38"/>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39"/>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40"/>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41"/>
    <w:semiHidden/>
    <w:unhideWhenUsed/>
    <w:qFormat/>
    <w:uiPriority w:val="9"/>
    <w:pPr>
      <w:keepNext/>
      <w:keepLines/>
      <w:spacing w:before="20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42"/>
    <w:semiHidden/>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43"/>
    <w:semiHidden/>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44"/>
    <w:semiHidden/>
    <w:unhideWhenUsed/>
    <w:qFormat/>
    <w:uiPriority w:val="9"/>
    <w:pPr>
      <w:keepNext/>
      <w:keepLines/>
      <w:spacing w:before="20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45"/>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47"/>
    <w:semiHidden/>
    <w:unhideWhenUsed/>
    <w:qFormat/>
    <w:uiPriority w:val="99"/>
    <w:rPr>
      <w:rFonts w:ascii="Tahoma" w:hAnsi="Tahoma" w:cs="Tahoma"/>
      <w:sz w:val="16"/>
      <w:szCs w:val="16"/>
    </w:rPr>
  </w:style>
  <w:style w:type="paragraph" w:styleId="14">
    <w:name w:val="caption"/>
    <w:basedOn w:val="1"/>
    <w:next w:val="1"/>
    <w:unhideWhenUsed/>
    <w:qFormat/>
    <w:uiPriority w:val="35"/>
    <w:rPr>
      <w:b/>
      <w:bCs/>
      <w:color w:val="4F81BD" w:themeColor="accent1"/>
      <w:sz w:val="18"/>
      <w:szCs w:val="18"/>
      <w14:textFill>
        <w14:solidFill>
          <w14:schemeClr w14:val="accent1"/>
        </w14:solidFill>
      </w14:textFill>
    </w:rPr>
  </w:style>
  <w:style w:type="character" w:styleId="15">
    <w:name w:val="annotation reference"/>
    <w:basedOn w:val="11"/>
    <w:semiHidden/>
    <w:unhideWhenUsed/>
    <w:qFormat/>
    <w:uiPriority w:val="99"/>
    <w:rPr>
      <w:sz w:val="16"/>
      <w:szCs w:val="16"/>
    </w:rPr>
  </w:style>
  <w:style w:type="paragraph" w:styleId="16">
    <w:name w:val="annotation text"/>
    <w:basedOn w:val="1"/>
    <w:link w:val="46"/>
    <w:unhideWhenUsed/>
    <w:qFormat/>
    <w:uiPriority w:val="99"/>
    <w:rPr>
      <w:sz w:val="20"/>
      <w:szCs w:val="20"/>
    </w:rPr>
  </w:style>
  <w:style w:type="paragraph" w:styleId="17">
    <w:name w:val="annotation subject"/>
    <w:basedOn w:val="16"/>
    <w:next w:val="16"/>
    <w:link w:val="65"/>
    <w:semiHidden/>
    <w:unhideWhenUsed/>
    <w:qFormat/>
    <w:uiPriority w:val="99"/>
    <w:rPr>
      <w:b/>
      <w:bCs/>
    </w:rPr>
  </w:style>
  <w:style w:type="character" w:styleId="18">
    <w:name w:val="Emphasis"/>
    <w:basedOn w:val="11"/>
    <w:qFormat/>
    <w:uiPriority w:val="20"/>
    <w:rPr>
      <w:i/>
      <w:iCs/>
    </w:rPr>
  </w:style>
  <w:style w:type="paragraph" w:styleId="19">
    <w:name w:val="footer"/>
    <w:basedOn w:val="1"/>
    <w:link w:val="50"/>
    <w:unhideWhenUsed/>
    <w:qFormat/>
    <w:uiPriority w:val="99"/>
    <w:pPr>
      <w:tabs>
        <w:tab w:val="center" w:pos="4680"/>
        <w:tab w:val="right" w:pos="9360"/>
      </w:tabs>
    </w:pPr>
  </w:style>
  <w:style w:type="paragraph" w:styleId="20">
    <w:name w:val="header"/>
    <w:basedOn w:val="1"/>
    <w:link w:val="49"/>
    <w:unhideWhenUsed/>
    <w:qFormat/>
    <w:uiPriority w:val="99"/>
    <w:pPr>
      <w:tabs>
        <w:tab w:val="center" w:pos="4680"/>
        <w:tab w:val="right" w:pos="9360"/>
      </w:tabs>
    </w:pPr>
  </w:style>
  <w:style w:type="character" w:styleId="21">
    <w:name w:val="Hyperlink"/>
    <w:basedOn w:val="11"/>
    <w:unhideWhenUsed/>
    <w:qFormat/>
    <w:uiPriority w:val="99"/>
    <w:rPr>
      <w:color w:val="0000FF" w:themeColor="hyperlink"/>
      <w:u w:val="single"/>
      <w14:textFill>
        <w14:solidFill>
          <w14:schemeClr w14:val="hlink"/>
        </w14:solidFill>
      </w14:textFill>
    </w:rPr>
  </w:style>
  <w:style w:type="paragraph" w:styleId="22">
    <w:name w:val="Normal (Web)"/>
    <w:basedOn w:val="1"/>
    <w:unhideWhenUsed/>
    <w:qFormat/>
    <w:uiPriority w:val="99"/>
    <w:pPr>
      <w:spacing w:before="100" w:beforeAutospacing="1" w:after="100" w:afterAutospacing="1"/>
    </w:pPr>
    <w:rPr>
      <w:rFonts w:ascii="Times New Roman" w:hAnsi="Times New Roman" w:eastAsia="Times New Roman" w:cs="Times New Roman"/>
      <w:sz w:val="24"/>
      <w:szCs w:val="24"/>
    </w:rPr>
  </w:style>
  <w:style w:type="character" w:styleId="23">
    <w:name w:val="Strong"/>
    <w:basedOn w:val="11"/>
    <w:qFormat/>
    <w:uiPriority w:val="22"/>
    <w:rPr>
      <w:b/>
      <w:bCs/>
    </w:rPr>
  </w:style>
  <w:style w:type="paragraph" w:styleId="24">
    <w:name w:val="Subtitle"/>
    <w:basedOn w:val="1"/>
    <w:next w:val="1"/>
    <w:link w:val="5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25">
    <w:name w:val="Table Grid"/>
    <w:basedOn w:val="12"/>
    <w:qFormat/>
    <w:uiPriority w:val="59"/>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styleId="26">
    <w:name w:val="table of figures"/>
    <w:basedOn w:val="1"/>
    <w:next w:val="1"/>
    <w:unhideWhenUsed/>
    <w:qFormat/>
    <w:uiPriority w:val="99"/>
  </w:style>
  <w:style w:type="paragraph" w:styleId="27">
    <w:name w:val="Title"/>
    <w:basedOn w:val="1"/>
    <w:next w:val="1"/>
    <w:link w:val="52"/>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kern w:val="28"/>
      <w:sz w:val="52"/>
      <w:szCs w:val="52"/>
    </w:rPr>
  </w:style>
  <w:style w:type="paragraph" w:styleId="28">
    <w:name w:val="toc 1"/>
    <w:basedOn w:val="1"/>
    <w:next w:val="1"/>
    <w:autoRedefine/>
    <w:unhideWhenUsed/>
    <w:qFormat/>
    <w:uiPriority w:val="39"/>
    <w:pPr>
      <w:tabs>
        <w:tab w:val="right" w:leader="dot" w:pos="9638"/>
      </w:tabs>
      <w:spacing w:after="100" w:line="360" w:lineRule="auto"/>
    </w:pPr>
    <w:rPr>
      <w:rFonts w:ascii="Times New Roman" w:hAnsi="Times New Roman" w:eastAsia="Times New Roman" w:cs="Times New Roman"/>
      <w:b/>
      <w:bCs/>
    </w:rPr>
  </w:style>
  <w:style w:type="paragraph" w:styleId="29">
    <w:name w:val="toc 2"/>
    <w:basedOn w:val="1"/>
    <w:next w:val="1"/>
    <w:autoRedefine/>
    <w:unhideWhenUsed/>
    <w:qFormat/>
    <w:uiPriority w:val="39"/>
    <w:pPr>
      <w:tabs>
        <w:tab w:val="right" w:leader="dot" w:pos="9350"/>
      </w:tabs>
      <w:spacing w:line="360" w:lineRule="auto"/>
    </w:pPr>
    <w:rPr>
      <w:rFonts w:ascii="Times New Roman" w:hAnsi="Times New Roman" w:eastAsia="Times New Roman" w:cs="Times New Roman"/>
      <w:sz w:val="24"/>
      <w:szCs w:val="24"/>
    </w:rPr>
  </w:style>
  <w:style w:type="paragraph" w:styleId="30">
    <w:name w:val="toc 3"/>
    <w:basedOn w:val="1"/>
    <w:next w:val="1"/>
    <w:autoRedefine/>
    <w:unhideWhenUsed/>
    <w:qFormat/>
    <w:uiPriority w:val="39"/>
    <w:pPr>
      <w:tabs>
        <w:tab w:val="right" w:leader="dot" w:pos="9530"/>
      </w:tabs>
      <w:spacing w:line="360" w:lineRule="auto"/>
    </w:pPr>
  </w:style>
  <w:style w:type="paragraph" w:styleId="31">
    <w:name w:val="toc 4"/>
    <w:basedOn w:val="1"/>
    <w:next w:val="1"/>
    <w:autoRedefine/>
    <w:unhideWhenUsed/>
    <w:qFormat/>
    <w:uiPriority w:val="39"/>
    <w:pPr>
      <w:spacing w:after="100" w:line="278" w:lineRule="auto"/>
      <w:ind w:left="720"/>
    </w:pPr>
    <w:rPr>
      <w:kern w:val="2"/>
      <w:sz w:val="24"/>
      <w:szCs w:val="24"/>
      <w14:ligatures w14:val="standardContextual"/>
    </w:rPr>
  </w:style>
  <w:style w:type="paragraph" w:styleId="32">
    <w:name w:val="toc 5"/>
    <w:basedOn w:val="1"/>
    <w:next w:val="1"/>
    <w:autoRedefine/>
    <w:unhideWhenUsed/>
    <w:qFormat/>
    <w:uiPriority w:val="39"/>
    <w:pPr>
      <w:spacing w:after="100" w:line="278" w:lineRule="auto"/>
      <w:ind w:left="960"/>
    </w:pPr>
    <w:rPr>
      <w:kern w:val="2"/>
      <w:sz w:val="24"/>
      <w:szCs w:val="24"/>
      <w14:ligatures w14:val="standardContextual"/>
    </w:rPr>
  </w:style>
  <w:style w:type="paragraph" w:styleId="33">
    <w:name w:val="toc 6"/>
    <w:basedOn w:val="1"/>
    <w:next w:val="1"/>
    <w:autoRedefine/>
    <w:unhideWhenUsed/>
    <w:qFormat/>
    <w:uiPriority w:val="39"/>
    <w:pPr>
      <w:spacing w:after="100" w:line="278" w:lineRule="auto"/>
      <w:ind w:left="1200"/>
    </w:pPr>
    <w:rPr>
      <w:kern w:val="2"/>
      <w:sz w:val="24"/>
      <w:szCs w:val="24"/>
      <w14:ligatures w14:val="standardContextual"/>
    </w:rPr>
  </w:style>
  <w:style w:type="paragraph" w:styleId="34">
    <w:name w:val="toc 7"/>
    <w:basedOn w:val="1"/>
    <w:next w:val="1"/>
    <w:autoRedefine/>
    <w:unhideWhenUsed/>
    <w:qFormat/>
    <w:uiPriority w:val="39"/>
    <w:pPr>
      <w:spacing w:after="100" w:line="278" w:lineRule="auto"/>
      <w:ind w:left="1440"/>
    </w:pPr>
    <w:rPr>
      <w:kern w:val="2"/>
      <w:sz w:val="24"/>
      <w:szCs w:val="24"/>
      <w14:ligatures w14:val="standardContextual"/>
    </w:rPr>
  </w:style>
  <w:style w:type="paragraph" w:styleId="35">
    <w:name w:val="toc 8"/>
    <w:basedOn w:val="1"/>
    <w:next w:val="1"/>
    <w:autoRedefine/>
    <w:unhideWhenUsed/>
    <w:qFormat/>
    <w:uiPriority w:val="39"/>
    <w:pPr>
      <w:spacing w:after="100" w:line="278" w:lineRule="auto"/>
      <w:ind w:left="1680"/>
    </w:pPr>
    <w:rPr>
      <w:kern w:val="2"/>
      <w:sz w:val="24"/>
      <w:szCs w:val="24"/>
      <w14:ligatures w14:val="standardContextual"/>
    </w:rPr>
  </w:style>
  <w:style w:type="paragraph" w:styleId="36">
    <w:name w:val="toc 9"/>
    <w:basedOn w:val="1"/>
    <w:next w:val="1"/>
    <w:autoRedefine/>
    <w:unhideWhenUsed/>
    <w:qFormat/>
    <w:uiPriority w:val="39"/>
    <w:pPr>
      <w:spacing w:after="100" w:line="278" w:lineRule="auto"/>
      <w:ind w:left="1920"/>
    </w:pPr>
    <w:rPr>
      <w:kern w:val="2"/>
      <w:sz w:val="24"/>
      <w:szCs w:val="24"/>
      <w14:ligatures w14:val="standardContextual"/>
    </w:rPr>
  </w:style>
  <w:style w:type="character" w:customStyle="1" w:styleId="37">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38">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39">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40">
    <w:name w:val="Heading 4 Char"/>
    <w:basedOn w:val="11"/>
    <w:link w:val="5"/>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41">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42">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43">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44">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45">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46">
    <w:name w:val="Comment Text Char"/>
    <w:basedOn w:val="11"/>
    <w:link w:val="16"/>
    <w:qFormat/>
    <w:uiPriority w:val="99"/>
    <w:rPr>
      <w:rFonts w:eastAsiaTheme="minorEastAsia"/>
      <w:sz w:val="20"/>
      <w:szCs w:val="20"/>
    </w:rPr>
  </w:style>
  <w:style w:type="character" w:customStyle="1" w:styleId="47">
    <w:name w:val="Balloon Text Char"/>
    <w:basedOn w:val="11"/>
    <w:link w:val="13"/>
    <w:semiHidden/>
    <w:qFormat/>
    <w:uiPriority w:val="99"/>
    <w:rPr>
      <w:rFonts w:ascii="Tahoma" w:hAnsi="Tahoma" w:cs="Tahoma" w:eastAsiaTheme="minorEastAsia"/>
      <w:sz w:val="16"/>
      <w:szCs w:val="16"/>
    </w:rPr>
  </w:style>
  <w:style w:type="paragraph" w:customStyle="1" w:styleId="48">
    <w:name w:val="Heading 21"/>
    <w:basedOn w:val="1"/>
    <w:next w:val="1"/>
    <w:unhideWhenUsed/>
    <w:qFormat/>
    <w:uiPriority w:val="9"/>
    <w:pPr>
      <w:keepNext/>
      <w:keepLines/>
      <w:spacing w:before="200"/>
      <w:outlineLvl w:val="1"/>
    </w:pPr>
    <w:rPr>
      <w:rFonts w:ascii="Cambria" w:hAnsi="Cambria" w:eastAsia="Times New Roman" w:cs="Times New Roman"/>
      <w:b/>
      <w:bCs/>
      <w:color w:val="4F81BD"/>
      <w:sz w:val="26"/>
      <w:szCs w:val="26"/>
    </w:rPr>
  </w:style>
  <w:style w:type="character" w:customStyle="1" w:styleId="49">
    <w:name w:val="Header Char"/>
    <w:basedOn w:val="11"/>
    <w:link w:val="20"/>
    <w:qFormat/>
    <w:uiPriority w:val="99"/>
    <w:rPr>
      <w:rFonts w:eastAsiaTheme="minorEastAsia"/>
    </w:rPr>
  </w:style>
  <w:style w:type="character" w:customStyle="1" w:styleId="50">
    <w:name w:val="Footer Char"/>
    <w:basedOn w:val="11"/>
    <w:link w:val="19"/>
    <w:qFormat/>
    <w:uiPriority w:val="99"/>
    <w:rPr>
      <w:rFonts w:eastAsiaTheme="minorEastAsia"/>
    </w:rPr>
  </w:style>
  <w:style w:type="paragraph" w:styleId="51">
    <w:name w:val="List Paragraph"/>
    <w:basedOn w:val="1"/>
    <w:qFormat/>
    <w:uiPriority w:val="34"/>
    <w:pPr>
      <w:ind w:left="720"/>
      <w:contextualSpacing/>
    </w:pPr>
  </w:style>
  <w:style w:type="character" w:customStyle="1" w:styleId="52">
    <w:name w:val="Title Char"/>
    <w:basedOn w:val="11"/>
    <w:link w:val="27"/>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53">
    <w:name w:val="Subtitle Char"/>
    <w:basedOn w:val="11"/>
    <w:link w:val="2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54">
    <w:name w:val="No Spacing"/>
    <w:qFormat/>
    <w:uiPriority w:val="1"/>
    <w:rPr>
      <w:rFonts w:asciiTheme="minorHAnsi" w:hAnsiTheme="minorHAnsi" w:eastAsiaTheme="minorEastAsia" w:cstheme="minorBidi"/>
      <w:sz w:val="22"/>
      <w:szCs w:val="22"/>
      <w:lang w:val="en-US" w:eastAsia="en-US" w:bidi="ar-SA"/>
    </w:rPr>
  </w:style>
  <w:style w:type="paragraph" w:styleId="55">
    <w:name w:val="Quote"/>
    <w:basedOn w:val="1"/>
    <w:next w:val="1"/>
    <w:link w:val="56"/>
    <w:qFormat/>
    <w:uiPriority w:val="29"/>
    <w:rPr>
      <w:i/>
      <w:iCs/>
      <w:color w:val="000000" w:themeColor="text1"/>
      <w14:textFill>
        <w14:solidFill>
          <w14:schemeClr w14:val="tx1"/>
        </w14:solidFill>
      </w14:textFill>
    </w:rPr>
  </w:style>
  <w:style w:type="character" w:customStyle="1" w:styleId="56">
    <w:name w:val="Quote Char"/>
    <w:basedOn w:val="11"/>
    <w:link w:val="55"/>
    <w:qFormat/>
    <w:uiPriority w:val="29"/>
    <w:rPr>
      <w:rFonts w:eastAsiaTheme="minorEastAsia"/>
      <w:i/>
      <w:iCs/>
      <w:color w:val="000000" w:themeColor="text1"/>
      <w14:textFill>
        <w14:solidFill>
          <w14:schemeClr w14:val="tx1"/>
        </w14:solidFill>
      </w14:textFill>
    </w:rPr>
  </w:style>
  <w:style w:type="paragraph" w:styleId="57">
    <w:name w:val="Intense Quote"/>
    <w:basedOn w:val="1"/>
    <w:next w:val="1"/>
    <w:link w:val="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58">
    <w:name w:val="Intense Quote Char"/>
    <w:basedOn w:val="11"/>
    <w:link w:val="57"/>
    <w:qFormat/>
    <w:uiPriority w:val="30"/>
    <w:rPr>
      <w:rFonts w:eastAsiaTheme="minorEastAsia"/>
      <w:b/>
      <w:bCs/>
      <w:i/>
      <w:iCs/>
      <w:color w:val="4F81BD" w:themeColor="accent1"/>
      <w14:textFill>
        <w14:solidFill>
          <w14:schemeClr w14:val="accent1"/>
        </w14:solidFill>
      </w14:textFill>
    </w:rPr>
  </w:style>
  <w:style w:type="character" w:customStyle="1" w:styleId="59">
    <w:name w:val="Subtle Emphasis1"/>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60">
    <w:name w:val="Intense Emphasis1"/>
    <w:basedOn w:val="11"/>
    <w:qFormat/>
    <w:uiPriority w:val="21"/>
    <w:rPr>
      <w:b/>
      <w:bCs/>
      <w:i/>
      <w:iCs/>
      <w:color w:val="4F81BD" w:themeColor="accent1"/>
      <w14:textFill>
        <w14:solidFill>
          <w14:schemeClr w14:val="accent1"/>
        </w14:solidFill>
      </w14:textFill>
    </w:rPr>
  </w:style>
  <w:style w:type="character" w:customStyle="1" w:styleId="61">
    <w:name w:val="Subtle Reference1"/>
    <w:basedOn w:val="11"/>
    <w:qFormat/>
    <w:uiPriority w:val="31"/>
    <w:rPr>
      <w:smallCaps/>
      <w:color w:val="C0504D" w:themeColor="accent2"/>
      <w:u w:val="single"/>
      <w14:textFill>
        <w14:solidFill>
          <w14:schemeClr w14:val="accent2"/>
        </w14:solidFill>
      </w14:textFill>
    </w:rPr>
  </w:style>
  <w:style w:type="character" w:customStyle="1" w:styleId="62">
    <w:name w:val="Intense Reference1"/>
    <w:basedOn w:val="11"/>
    <w:qFormat/>
    <w:uiPriority w:val="32"/>
    <w:rPr>
      <w:b/>
      <w:bCs/>
      <w:smallCaps/>
      <w:color w:val="C0504D" w:themeColor="accent2"/>
      <w:spacing w:val="5"/>
      <w:u w:val="single"/>
      <w14:textFill>
        <w14:solidFill>
          <w14:schemeClr w14:val="accent2"/>
        </w14:solidFill>
      </w14:textFill>
    </w:rPr>
  </w:style>
  <w:style w:type="character" w:customStyle="1" w:styleId="63">
    <w:name w:val="Book Title1"/>
    <w:basedOn w:val="11"/>
    <w:qFormat/>
    <w:uiPriority w:val="33"/>
    <w:rPr>
      <w:b/>
      <w:bCs/>
      <w:smallCaps/>
      <w:spacing w:val="5"/>
    </w:rPr>
  </w:style>
  <w:style w:type="paragraph" w:customStyle="1" w:styleId="64">
    <w:name w:val="TOC Heading1"/>
    <w:basedOn w:val="2"/>
    <w:next w:val="1"/>
    <w:unhideWhenUsed/>
    <w:qFormat/>
    <w:uiPriority w:val="39"/>
    <w:pPr>
      <w:outlineLvl w:val="9"/>
    </w:pPr>
  </w:style>
  <w:style w:type="character" w:customStyle="1" w:styleId="65">
    <w:name w:val="Comment Subject Char"/>
    <w:basedOn w:val="46"/>
    <w:link w:val="17"/>
    <w:semiHidden/>
    <w:qFormat/>
    <w:uiPriority w:val="99"/>
    <w:rPr>
      <w:rFonts w:eastAsiaTheme="minorEastAsia"/>
      <w:b/>
      <w:bCs/>
      <w:sz w:val="20"/>
      <w:szCs w:val="20"/>
    </w:rPr>
  </w:style>
  <w:style w:type="table" w:customStyle="1" w:styleId="66">
    <w:name w:val="Table Grid Light1"/>
    <w:basedOn w:val="12"/>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table" w:customStyle="1" w:styleId="67">
    <w:name w:val="Table Grid1"/>
    <w:basedOn w:val="12"/>
    <w:qFormat/>
    <w:uiPriority w:val="59"/>
    <w:rPr>
      <w:lang w:bidi="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68">
    <w:name w:val="katex"/>
    <w:basedOn w:val="11"/>
    <w:qFormat/>
    <w:uiPriority w:val="0"/>
  </w:style>
  <w:style w:type="character" w:customStyle="1" w:styleId="69">
    <w:name w:val="Unresolved Mention1"/>
    <w:basedOn w:val="11"/>
    <w:semiHidden/>
    <w:unhideWhenUsed/>
    <w:qFormat/>
    <w:uiPriority w:val="99"/>
    <w:rPr>
      <w:color w:val="605E5C"/>
      <w:shd w:val="clear" w:color="auto" w:fill="E1DFDD"/>
    </w:rPr>
  </w:style>
  <w:style w:type="character" w:customStyle="1" w:styleId="70">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microsoft.com/office/2007/relationships/hdphoto" Target="media/image2.wdp"/><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93C8093-493F-4635-9A00-578DC5E36617}">
  <ds:schemaRefs/>
</ds:datastoreItem>
</file>

<file path=docProps/app.xml><?xml version="1.0" encoding="utf-8"?>
<Properties xmlns="http://schemas.openxmlformats.org/officeDocument/2006/extended-properties" xmlns:vt="http://schemas.openxmlformats.org/officeDocument/2006/docPropsVTypes">
  <Template>Normal</Template>
  <Pages>64</Pages>
  <Words>46278</Words>
  <Characters>263787</Characters>
  <Lines>2198</Lines>
  <Paragraphs>618</Paragraphs>
  <TotalTime>4</TotalTime>
  <ScaleCrop>false</ScaleCrop>
  <LinksUpToDate>false</LinksUpToDate>
  <CharactersWithSpaces>309447</CharactersWithSpaces>
  <Application>WPS Office_12.2.0.21179_F1E327BC-269C-435d-A152-05C5408002CA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2025-05-22T10:38:00Z</dcterms:created>
  <dc:creator>Fantish</dc:creator>
  <cp:lastModifiedBy>seed</cp:lastModifiedBy>
  <cp:lastPrinted>2025-06-16T08:45:59Z</cp:lastPrinted>
  <dcterms:modified xsi:type="dcterms:W3CDTF">2025-06-16T08:46:07Z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a003f22d-5104-493a-abb0-d039e468047e</vt:lpwstr>
  </property>
  <property fmtid="{D5CDD505-2E9C-101B-9397-08002B2CF9AE}" pid="3" name="KSOProductBuildVer">
    <vt:lpwstr>1033-12.2.0.21179</vt:lpwstr>
  </property>
  <property fmtid="{D5CDD505-2E9C-101B-9397-08002B2CF9AE}" pid="4" name="ICV">
    <vt:lpwstr>CDFA6A0663BD468EB6A2C3D528E2A07D_13</vt:lpwstr>
  </property>
</Properties>
</file>