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49B99" w14:textId="77777777" w:rsidR="0072282A" w:rsidRPr="00084F2E" w:rsidRDefault="00AB1BEC">
      <w:pPr>
        <w:jc w:val="center"/>
        <w:rPr>
          <w:rFonts w:cs="Times New Roman"/>
          <w:bCs/>
          <w:iCs/>
          <w:sz w:val="32"/>
          <w:szCs w:val="32"/>
          <w:lang w:val="en-US"/>
        </w:rPr>
      </w:pPr>
      <w:r w:rsidRPr="00084F2E">
        <w:rPr>
          <w:rFonts w:ascii="Tahoma" w:hAnsi="Tahoma" w:cs="Tahoma"/>
          <w:noProof/>
          <w:sz w:val="28"/>
          <w:szCs w:val="28"/>
          <w:lang w:val="en-US"/>
        </w:rPr>
        <w:drawing>
          <wp:inline distT="0" distB="0" distL="0" distR="0" wp14:anchorId="594C2EFA" wp14:editId="5AB30C5A">
            <wp:extent cx="1676400" cy="1327150"/>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76400" cy="1327150"/>
                    </a:xfrm>
                    <a:prstGeom prst="rect">
                      <a:avLst/>
                    </a:prstGeom>
                    <a:noFill/>
                    <a:ln>
                      <a:noFill/>
                    </a:ln>
                  </pic:spPr>
                </pic:pic>
              </a:graphicData>
            </a:graphic>
          </wp:inline>
        </w:drawing>
      </w:r>
    </w:p>
    <w:p w14:paraId="57420A48" w14:textId="77777777" w:rsidR="0072282A" w:rsidRPr="00084F2E" w:rsidRDefault="00AB1BEC">
      <w:pPr>
        <w:spacing w:line="360" w:lineRule="auto"/>
        <w:jc w:val="center"/>
        <w:rPr>
          <w:rFonts w:cs="Times New Roman"/>
          <w:bCs/>
          <w:iCs/>
          <w:sz w:val="28"/>
          <w:szCs w:val="32"/>
          <w:lang w:val="en-US"/>
        </w:rPr>
      </w:pPr>
      <w:r w:rsidRPr="00084F2E">
        <w:rPr>
          <w:rFonts w:cs="Times New Roman"/>
          <w:bCs/>
          <w:iCs/>
          <w:sz w:val="28"/>
          <w:szCs w:val="32"/>
          <w:lang w:val="en-US"/>
        </w:rPr>
        <w:t>WALLAGA UNIVERSITY</w:t>
      </w:r>
    </w:p>
    <w:p w14:paraId="1B9153DC" w14:textId="77777777" w:rsidR="0072282A" w:rsidRPr="00084F2E" w:rsidRDefault="00AB1BEC">
      <w:pPr>
        <w:spacing w:line="360" w:lineRule="auto"/>
        <w:jc w:val="center"/>
        <w:rPr>
          <w:rFonts w:cs="Times New Roman"/>
          <w:bCs/>
          <w:iCs/>
          <w:sz w:val="28"/>
          <w:szCs w:val="32"/>
          <w:lang w:val="en-US"/>
        </w:rPr>
      </w:pPr>
      <w:r w:rsidRPr="00084F2E">
        <w:rPr>
          <w:rFonts w:cs="Times New Roman"/>
          <w:bCs/>
          <w:iCs/>
          <w:sz w:val="28"/>
          <w:szCs w:val="32"/>
          <w:lang w:val="en-US"/>
        </w:rPr>
        <w:t>SCHOOL OF GRADUATE STUDIES</w:t>
      </w:r>
    </w:p>
    <w:p w14:paraId="314AE162" w14:textId="77777777" w:rsidR="0072282A" w:rsidRPr="00084F2E" w:rsidRDefault="00AB1BEC">
      <w:pPr>
        <w:tabs>
          <w:tab w:val="left" w:pos="9630"/>
        </w:tabs>
        <w:spacing w:line="360" w:lineRule="auto"/>
        <w:jc w:val="center"/>
        <w:rPr>
          <w:rFonts w:cs="Times New Roman"/>
          <w:bCs/>
          <w:sz w:val="28"/>
          <w:lang w:val="en-US"/>
        </w:rPr>
      </w:pPr>
      <w:r w:rsidRPr="00084F2E">
        <w:rPr>
          <w:rFonts w:cs="Times New Roman"/>
          <w:bCs/>
          <w:sz w:val="28"/>
          <w:lang w:val="en-US"/>
        </w:rPr>
        <w:t>COLLEGE OF BUSINESS &amp; ECONOMICS</w:t>
      </w:r>
    </w:p>
    <w:p w14:paraId="20B54ADD" w14:textId="77777777" w:rsidR="0072282A" w:rsidRPr="00084F2E" w:rsidRDefault="00AB1BEC">
      <w:pPr>
        <w:tabs>
          <w:tab w:val="left" w:pos="9630"/>
        </w:tabs>
        <w:spacing w:line="360" w:lineRule="auto"/>
        <w:jc w:val="center"/>
        <w:rPr>
          <w:rFonts w:cs="Times New Roman"/>
          <w:bCs/>
          <w:sz w:val="28"/>
          <w:lang w:val="en-US"/>
        </w:rPr>
      </w:pPr>
      <w:r w:rsidRPr="00084F2E">
        <w:rPr>
          <w:rFonts w:cs="Times New Roman"/>
          <w:bCs/>
          <w:sz w:val="28"/>
          <w:lang w:val="en-US"/>
        </w:rPr>
        <w:t>DEPARTMENT OF ECONOMICS</w:t>
      </w:r>
    </w:p>
    <w:p w14:paraId="6605C717" w14:textId="77777777" w:rsidR="0072282A" w:rsidRPr="00084F2E" w:rsidRDefault="00AB1BEC">
      <w:pPr>
        <w:spacing w:line="360" w:lineRule="auto"/>
        <w:jc w:val="center"/>
        <w:rPr>
          <w:rFonts w:cs="Times New Roman"/>
          <w:iCs/>
          <w:sz w:val="28"/>
          <w:szCs w:val="32"/>
          <w:lang w:val="en-US"/>
        </w:rPr>
      </w:pPr>
      <w:r w:rsidRPr="00084F2E">
        <w:rPr>
          <w:rFonts w:cs="Times New Roman"/>
          <w:bCs/>
          <w:sz w:val="28"/>
          <w:lang w:val="en-US"/>
        </w:rPr>
        <w:t>MSC IN DEVELOPMENT ECONOMICS</w:t>
      </w:r>
    </w:p>
    <w:p w14:paraId="06B3B026" w14:textId="77777777" w:rsidR="0072282A" w:rsidRPr="00084F2E" w:rsidRDefault="0072282A">
      <w:pPr>
        <w:spacing w:after="200" w:line="360" w:lineRule="auto"/>
        <w:rPr>
          <w:rFonts w:cs="Times New Roman"/>
          <w:bCs/>
          <w:iCs/>
          <w:sz w:val="32"/>
          <w:szCs w:val="36"/>
          <w:lang w:val="en-US"/>
        </w:rPr>
      </w:pPr>
    </w:p>
    <w:p w14:paraId="36795FC5" w14:textId="77777777" w:rsidR="0072282A" w:rsidRPr="00084F2E" w:rsidRDefault="0072282A">
      <w:pPr>
        <w:spacing w:line="360" w:lineRule="auto"/>
        <w:jc w:val="center"/>
        <w:rPr>
          <w:sz w:val="28"/>
          <w:lang w:val="en-US"/>
        </w:rPr>
      </w:pPr>
    </w:p>
    <w:p w14:paraId="695BEAB8" w14:textId="79BF8546" w:rsidR="0072282A" w:rsidRPr="00084F2E" w:rsidRDefault="00AB1BEC">
      <w:pPr>
        <w:spacing w:line="360" w:lineRule="auto"/>
        <w:jc w:val="center"/>
        <w:rPr>
          <w:sz w:val="28"/>
          <w:lang w:val="en-US"/>
        </w:rPr>
      </w:pPr>
      <w:r w:rsidRPr="00084F2E">
        <w:rPr>
          <w:sz w:val="28"/>
          <w:lang w:val="en-US"/>
        </w:rPr>
        <w:t>DETERMINANTS OF AGRICULTURAL PRODUCT EXPORTS PERFORMANCE OF ETHIOPIA</w:t>
      </w:r>
    </w:p>
    <w:p w14:paraId="0648931A" w14:textId="77777777" w:rsidR="0072282A" w:rsidRPr="00084F2E" w:rsidRDefault="00AB1BEC">
      <w:pPr>
        <w:spacing w:line="360" w:lineRule="auto"/>
        <w:jc w:val="center"/>
        <w:rPr>
          <w:sz w:val="28"/>
          <w:lang w:val="en-US"/>
        </w:rPr>
      </w:pPr>
      <w:r w:rsidRPr="00084F2E">
        <w:rPr>
          <w:sz w:val="28"/>
          <w:lang w:val="en-US"/>
        </w:rPr>
        <w:t>BY</w:t>
      </w:r>
    </w:p>
    <w:p w14:paraId="29400265" w14:textId="1623ECC1" w:rsidR="0072282A" w:rsidRPr="00084F2E" w:rsidRDefault="00AB1BEC">
      <w:pPr>
        <w:spacing w:line="360" w:lineRule="auto"/>
        <w:jc w:val="center"/>
        <w:rPr>
          <w:sz w:val="28"/>
          <w:lang w:val="en-US"/>
        </w:rPr>
      </w:pPr>
      <w:r w:rsidRPr="00084F2E">
        <w:rPr>
          <w:sz w:val="28"/>
          <w:lang w:val="en-US"/>
        </w:rPr>
        <w:t xml:space="preserve">DAWIT LELISSA KITILA </w:t>
      </w:r>
    </w:p>
    <w:p w14:paraId="17A8AE24" w14:textId="77777777" w:rsidR="0072282A" w:rsidRPr="00084F2E" w:rsidRDefault="0072282A">
      <w:pPr>
        <w:spacing w:line="360" w:lineRule="auto"/>
        <w:jc w:val="center"/>
        <w:rPr>
          <w:sz w:val="28"/>
          <w:lang w:val="en-US"/>
        </w:rPr>
      </w:pPr>
    </w:p>
    <w:p w14:paraId="3D2D5F90" w14:textId="3FB86C1A" w:rsidR="0072282A" w:rsidRPr="00084F2E" w:rsidRDefault="00AB1BEC">
      <w:pPr>
        <w:spacing w:line="360" w:lineRule="auto"/>
        <w:jc w:val="center"/>
        <w:rPr>
          <w:sz w:val="28"/>
          <w:lang w:val="en-US"/>
        </w:rPr>
      </w:pPr>
      <w:r w:rsidRPr="00084F2E">
        <w:rPr>
          <w:sz w:val="28"/>
          <w:lang w:val="en-US"/>
        </w:rPr>
        <w:t>ADVISOR:  GETACHEW MAGNAR</w:t>
      </w:r>
      <w:r w:rsidR="00030977" w:rsidRPr="00084F2E">
        <w:rPr>
          <w:sz w:val="28"/>
          <w:lang w:val="en-US"/>
        </w:rPr>
        <w:t xml:space="preserve"> (PhD.)</w:t>
      </w:r>
    </w:p>
    <w:p w14:paraId="10B7F1E7" w14:textId="77777777" w:rsidR="0072282A" w:rsidRPr="00084F2E" w:rsidRDefault="0072282A">
      <w:pPr>
        <w:spacing w:after="200" w:line="360" w:lineRule="auto"/>
        <w:jc w:val="both"/>
        <w:rPr>
          <w:rFonts w:cs="Times New Roman"/>
          <w:bCs/>
          <w:iCs/>
          <w:sz w:val="28"/>
          <w:szCs w:val="28"/>
          <w:lang w:val="en-US"/>
        </w:rPr>
      </w:pPr>
    </w:p>
    <w:p w14:paraId="7BC7F58B" w14:textId="77777777" w:rsidR="0072282A" w:rsidRPr="00084F2E" w:rsidRDefault="00AB1BEC">
      <w:pPr>
        <w:spacing w:line="360" w:lineRule="auto"/>
        <w:jc w:val="both"/>
        <w:rPr>
          <w:rFonts w:cs="Times New Roman"/>
          <w:bCs/>
          <w:iCs/>
          <w:sz w:val="28"/>
          <w:szCs w:val="28"/>
          <w:lang w:val="en-US"/>
        </w:rPr>
      </w:pPr>
      <w:r w:rsidRPr="00084F2E">
        <w:rPr>
          <w:rFonts w:cs="Times New Roman"/>
          <w:sz w:val="28"/>
          <w:szCs w:val="28"/>
          <w:lang w:val="en-US"/>
        </w:rPr>
        <w:t>A THESIS SUBMITTED TO DEPARTMENT OF ECONOMICS, COLLEGE OF BUSINESS AND ECONOMICS, WALLAGA UNIVERSITY IN PARTIAL FULFILLMENT OF THE REQUIREMENTS OF THE DEGREE IN MASTERS OF SCIENCE IN DEVELOPMENT ECONOMICS</w:t>
      </w:r>
    </w:p>
    <w:p w14:paraId="4123D267" w14:textId="77777777" w:rsidR="0072282A" w:rsidRPr="00084F2E" w:rsidRDefault="00AB1BEC">
      <w:pPr>
        <w:spacing w:line="360" w:lineRule="auto"/>
        <w:jc w:val="right"/>
        <w:rPr>
          <w:sz w:val="28"/>
          <w:lang w:val="en-US"/>
        </w:rPr>
      </w:pPr>
      <w:r w:rsidRPr="00084F2E">
        <w:rPr>
          <w:sz w:val="28"/>
          <w:lang w:val="en-US"/>
        </w:rPr>
        <w:t>NOVEMBER, 2025</w:t>
      </w:r>
    </w:p>
    <w:p w14:paraId="164B8B78" w14:textId="77777777" w:rsidR="0072282A" w:rsidRPr="00084F2E" w:rsidRDefault="00AB1BEC">
      <w:pPr>
        <w:spacing w:line="360" w:lineRule="auto"/>
        <w:jc w:val="right"/>
        <w:rPr>
          <w:sz w:val="28"/>
          <w:lang w:val="en-US"/>
        </w:rPr>
      </w:pPr>
      <w:r w:rsidRPr="00084F2E">
        <w:rPr>
          <w:sz w:val="28"/>
          <w:lang w:val="en-US"/>
        </w:rPr>
        <w:t xml:space="preserve">NEKEMTE, OROMIA, ETHIOPIA </w:t>
      </w:r>
    </w:p>
    <w:p w14:paraId="6B322A19" w14:textId="77777777" w:rsidR="0072282A" w:rsidRPr="00084F2E" w:rsidRDefault="0072282A">
      <w:pPr>
        <w:spacing w:line="360" w:lineRule="auto"/>
        <w:jc w:val="right"/>
        <w:rPr>
          <w:sz w:val="28"/>
          <w:lang w:val="en-US"/>
        </w:rPr>
      </w:pPr>
    </w:p>
    <w:p w14:paraId="7E85E110" w14:textId="77777777" w:rsidR="0072282A" w:rsidRPr="00084F2E" w:rsidRDefault="0072282A">
      <w:pPr>
        <w:autoSpaceDE w:val="0"/>
        <w:autoSpaceDN w:val="0"/>
        <w:adjustRightInd w:val="0"/>
        <w:spacing w:line="360" w:lineRule="auto"/>
        <w:jc w:val="center"/>
        <w:rPr>
          <w:rFonts w:cs="Times New Roman"/>
          <w:bCs/>
          <w:sz w:val="32"/>
          <w:szCs w:val="32"/>
          <w:lang w:val="en-US" w:bidi="en-US"/>
        </w:rPr>
        <w:sectPr w:rsidR="0072282A" w:rsidRPr="00084F2E">
          <w:footerReference w:type="default" r:id="rId10"/>
          <w:footerReference w:type="first" r:id="rId11"/>
          <w:pgSz w:w="12240" w:h="15840"/>
          <w:pgMar w:top="1440" w:right="1440" w:bottom="1440" w:left="1440" w:header="720" w:footer="720" w:gutter="0"/>
          <w:cols w:space="720"/>
          <w:titlePg/>
          <w:docGrid w:linePitch="360"/>
        </w:sectPr>
      </w:pPr>
    </w:p>
    <w:p w14:paraId="711816E0" w14:textId="77777777" w:rsidR="0072282A" w:rsidRPr="00084F2E" w:rsidRDefault="00AB1BEC">
      <w:pPr>
        <w:autoSpaceDE w:val="0"/>
        <w:autoSpaceDN w:val="0"/>
        <w:adjustRightInd w:val="0"/>
        <w:spacing w:line="360" w:lineRule="auto"/>
        <w:jc w:val="center"/>
        <w:rPr>
          <w:rFonts w:cs="Times New Roman"/>
          <w:bCs/>
          <w:sz w:val="32"/>
          <w:szCs w:val="32"/>
          <w:lang w:val="en-US" w:bidi="en-US"/>
        </w:rPr>
      </w:pPr>
      <w:r w:rsidRPr="00084F2E">
        <w:rPr>
          <w:rFonts w:eastAsia="SimSun" w:cs="Times New Roman"/>
          <w:noProof/>
          <w:sz w:val="28"/>
          <w:szCs w:val="28"/>
          <w:lang w:val="en-US"/>
        </w:rPr>
        <w:lastRenderedPageBreak/>
        <w:drawing>
          <wp:inline distT="0" distB="0" distL="0" distR="0" wp14:anchorId="21EDC93D" wp14:editId="3A4DFC42">
            <wp:extent cx="1645920" cy="731520"/>
            <wp:effectExtent l="0" t="0" r="0" b="0"/>
            <wp:docPr id="35" name="Picture 35"/>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645920" cy="731520"/>
                    </a:xfrm>
                    <a:prstGeom prst="rect">
                      <a:avLst/>
                    </a:prstGeom>
                    <a:noFill/>
                    <a:ln>
                      <a:noFill/>
                    </a:ln>
                  </pic:spPr>
                </pic:pic>
              </a:graphicData>
            </a:graphic>
          </wp:inline>
        </w:drawing>
      </w:r>
    </w:p>
    <w:p w14:paraId="44327727" w14:textId="77777777" w:rsidR="0072282A" w:rsidRPr="00084F2E" w:rsidRDefault="00AB1BEC">
      <w:pPr>
        <w:autoSpaceDE w:val="0"/>
        <w:autoSpaceDN w:val="0"/>
        <w:adjustRightInd w:val="0"/>
        <w:spacing w:line="360" w:lineRule="auto"/>
        <w:jc w:val="center"/>
        <w:rPr>
          <w:rFonts w:cs="Times New Roman"/>
          <w:bCs/>
          <w:sz w:val="32"/>
          <w:szCs w:val="32"/>
          <w:lang w:val="en-US" w:bidi="en-US"/>
        </w:rPr>
      </w:pPr>
      <w:r w:rsidRPr="00084F2E">
        <w:rPr>
          <w:rFonts w:cs="Times New Roman"/>
          <w:bCs/>
          <w:sz w:val="32"/>
          <w:szCs w:val="32"/>
          <w:lang w:val="en-US" w:bidi="en-US"/>
        </w:rPr>
        <w:t>WALLAGA UNIVERSITY</w:t>
      </w:r>
    </w:p>
    <w:p w14:paraId="5F11DCAC" w14:textId="77777777" w:rsidR="0072282A" w:rsidRPr="00084F2E" w:rsidRDefault="00AB1BEC">
      <w:pPr>
        <w:autoSpaceDE w:val="0"/>
        <w:autoSpaceDN w:val="0"/>
        <w:adjustRightInd w:val="0"/>
        <w:spacing w:line="360" w:lineRule="auto"/>
        <w:jc w:val="center"/>
        <w:rPr>
          <w:rFonts w:cs="Times New Roman"/>
          <w:bCs/>
          <w:sz w:val="32"/>
          <w:szCs w:val="32"/>
          <w:lang w:val="en-US" w:bidi="en-US"/>
        </w:rPr>
      </w:pPr>
      <w:r w:rsidRPr="00084F2E">
        <w:rPr>
          <w:rFonts w:cs="Times New Roman"/>
          <w:bCs/>
          <w:sz w:val="32"/>
          <w:szCs w:val="32"/>
          <w:lang w:val="en-US" w:bidi="en-US"/>
        </w:rPr>
        <w:t>SCHOOL OF GRADUATE STUDIES</w:t>
      </w:r>
    </w:p>
    <w:p w14:paraId="4B4B9397" w14:textId="77777777" w:rsidR="0072282A" w:rsidRPr="00084F2E" w:rsidRDefault="00AB1BEC">
      <w:pPr>
        <w:autoSpaceDE w:val="0"/>
        <w:autoSpaceDN w:val="0"/>
        <w:adjustRightInd w:val="0"/>
        <w:spacing w:line="360" w:lineRule="auto"/>
        <w:jc w:val="center"/>
        <w:rPr>
          <w:rFonts w:cs="Times New Roman"/>
          <w:bCs/>
          <w:sz w:val="22"/>
          <w:szCs w:val="32"/>
          <w:lang w:val="en-US" w:bidi="en-US"/>
        </w:rPr>
      </w:pPr>
      <w:r w:rsidRPr="00084F2E">
        <w:rPr>
          <w:rFonts w:cs="Times New Roman"/>
          <w:bCs/>
          <w:sz w:val="22"/>
          <w:szCs w:val="32"/>
          <w:lang w:val="en-US" w:bidi="en-US"/>
        </w:rPr>
        <w:t>P.O. BOX: 395, NEKEMTE, ETHIOPIA</w:t>
      </w:r>
    </w:p>
    <w:p w14:paraId="2D69F148" w14:textId="77777777" w:rsidR="0072282A" w:rsidRPr="00084F2E" w:rsidRDefault="00AB1BEC">
      <w:pPr>
        <w:keepNext/>
        <w:keepLines/>
        <w:pBdr>
          <w:bottom w:val="single" w:sz="12" w:space="1" w:color="auto"/>
        </w:pBdr>
        <w:spacing w:line="360" w:lineRule="auto"/>
        <w:jc w:val="center"/>
        <w:outlineLvl w:val="0"/>
        <w:rPr>
          <w:rFonts w:cs="Times New Roman"/>
          <w:bCs/>
          <w:sz w:val="28"/>
          <w:szCs w:val="28"/>
          <w:lang w:val="en-US" w:bidi="en-US"/>
        </w:rPr>
      </w:pPr>
      <w:bookmarkStart w:id="0" w:name="_Toc235673613"/>
      <w:bookmarkStart w:id="1" w:name="_Toc84809100"/>
      <w:bookmarkStart w:id="2" w:name="_Toc89739410"/>
      <w:bookmarkStart w:id="3" w:name="_Toc392215095"/>
      <w:bookmarkStart w:id="4" w:name="_Toc35083589"/>
      <w:bookmarkStart w:id="5" w:name="_Toc109782689"/>
      <w:bookmarkStart w:id="6" w:name="_Toc98542992"/>
      <w:bookmarkStart w:id="7" w:name="_Toc94221796"/>
      <w:bookmarkStart w:id="8" w:name="_Toc220661982"/>
      <w:r w:rsidRPr="00084F2E">
        <w:rPr>
          <w:rFonts w:cs="Times New Roman"/>
          <w:bCs/>
          <w:sz w:val="28"/>
          <w:szCs w:val="28"/>
          <w:lang w:val="en-US" w:bidi="en-US"/>
        </w:rPr>
        <w:t>APPROVAL SHEET FOR SUBMITTING THESIS</w:t>
      </w:r>
      <w:bookmarkEnd w:id="0"/>
      <w:bookmarkEnd w:id="1"/>
      <w:bookmarkEnd w:id="2"/>
      <w:bookmarkEnd w:id="3"/>
      <w:bookmarkEnd w:id="4"/>
      <w:bookmarkEnd w:id="5"/>
      <w:bookmarkEnd w:id="6"/>
      <w:bookmarkEnd w:id="7"/>
      <w:bookmarkEnd w:id="8"/>
    </w:p>
    <w:p w14:paraId="545A206F" w14:textId="77777777" w:rsidR="0072282A" w:rsidRPr="00084F2E" w:rsidRDefault="0072282A">
      <w:pPr>
        <w:spacing w:after="200" w:line="276" w:lineRule="auto"/>
        <w:rPr>
          <w:rFonts w:cs="Times New Roman"/>
          <w:b w:val="0"/>
          <w:sz w:val="22"/>
          <w:szCs w:val="22"/>
          <w:lang w:val="en-US" w:bidi="en-US"/>
        </w:rPr>
      </w:pPr>
    </w:p>
    <w:p w14:paraId="209B34E4" w14:textId="77777777" w:rsidR="0072282A" w:rsidRPr="00084F2E" w:rsidRDefault="00AB1BEC">
      <w:pPr>
        <w:spacing w:line="360" w:lineRule="auto"/>
        <w:jc w:val="center"/>
        <w:rPr>
          <w:sz w:val="28"/>
          <w:lang w:val="en-US"/>
        </w:rPr>
      </w:pPr>
      <w:r w:rsidRPr="00084F2E">
        <w:rPr>
          <w:rFonts w:cs="Times New Roman"/>
          <w:bCs/>
          <w:sz w:val="28"/>
          <w:szCs w:val="28"/>
          <w:lang w:val="en-US" w:bidi="en-US"/>
        </w:rPr>
        <w:t xml:space="preserve">TITLE: - </w:t>
      </w:r>
      <w:r w:rsidRPr="00084F2E">
        <w:rPr>
          <w:sz w:val="28"/>
          <w:lang w:val="en-US"/>
        </w:rPr>
        <w:t>DETERMINANTS OF AGRICULTURAL PRODUCTS EXPORTS PERFORMANCE OF ETHIOPIA</w:t>
      </w:r>
    </w:p>
    <w:p w14:paraId="7D48DE40" w14:textId="77777777" w:rsidR="0072282A" w:rsidRPr="00084F2E" w:rsidRDefault="00AB1BEC">
      <w:pPr>
        <w:spacing w:line="360" w:lineRule="auto"/>
        <w:rPr>
          <w:rFonts w:eastAsia="Calibri" w:cs="Times New Roman"/>
          <w:b w:val="0"/>
          <w:i/>
          <w:sz w:val="28"/>
          <w:szCs w:val="22"/>
          <w:u w:val="single"/>
          <w:lang w:val="en-US" w:bidi="en-US"/>
        </w:rPr>
      </w:pPr>
      <w:r w:rsidRPr="00084F2E">
        <w:rPr>
          <w:rFonts w:cs="Times New Roman"/>
          <w:bCs/>
          <w:i/>
          <w:sz w:val="28"/>
          <w:szCs w:val="22"/>
          <w:u w:val="single"/>
          <w:lang w:val="en-US" w:bidi="en-US"/>
        </w:rPr>
        <w:t>Submitted by:</w:t>
      </w:r>
    </w:p>
    <w:p w14:paraId="6F832BC4" w14:textId="62B6C49F" w:rsidR="0072282A" w:rsidRPr="00084F2E" w:rsidRDefault="00AE77B4">
      <w:pPr>
        <w:tabs>
          <w:tab w:val="left" w:pos="6240"/>
        </w:tabs>
        <w:spacing w:line="360" w:lineRule="auto"/>
        <w:jc w:val="both"/>
        <w:rPr>
          <w:rFonts w:eastAsia="Calibri" w:cs="Times New Roman"/>
          <w:b w:val="0"/>
          <w:sz w:val="28"/>
          <w:szCs w:val="22"/>
          <w:lang w:val="en-US" w:bidi="en-US"/>
        </w:rPr>
      </w:pPr>
      <w:r w:rsidRPr="00084F2E">
        <w:rPr>
          <w:rFonts w:ascii="Calibri" w:eastAsia="Calibri" w:hAnsi="Calibri" w:cs="Times New Roman"/>
          <w:b w:val="0"/>
          <w:noProof/>
          <w:sz w:val="22"/>
          <w:szCs w:val="22"/>
          <w:lang w:val="en-US"/>
        </w:rPr>
        <mc:AlternateContent>
          <mc:Choice Requires="wps">
            <w:drawing>
              <wp:anchor distT="4294967295" distB="4294967295" distL="114300" distR="114300" simplePos="0" relativeHeight="251661312" behindDoc="0" locked="0" layoutInCell="1" allowOverlap="1" wp14:anchorId="5CD3344F" wp14:editId="63021A45">
                <wp:simplePos x="0" y="0"/>
                <wp:positionH relativeFrom="column">
                  <wp:posOffset>2839720</wp:posOffset>
                </wp:positionH>
                <wp:positionV relativeFrom="paragraph">
                  <wp:posOffset>251459</wp:posOffset>
                </wp:positionV>
                <wp:extent cx="1054735" cy="0"/>
                <wp:effectExtent l="0" t="0" r="12065" b="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4735" cy="0"/>
                        </a:xfrm>
                        <a:prstGeom prst="straightConnector1">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shapetype w14:anchorId="66FD2A2F" id="_x0000_t32" coordsize="21600,21600" o:spt="32" o:oned="t" path="m,l21600,21600e" filled="f">
                <v:path arrowok="t" fillok="f" o:connecttype="none"/>
                <o:lock v:ext="edit" shapetype="t"/>
              </v:shapetype>
              <v:shape id="Straight Arrow Connector 16" o:spid="_x0000_s1026" type="#_x0000_t32" style="position:absolute;margin-left:223.6pt;margin-top:19.8pt;width:83.0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"/>
            </w:pict>
          </mc:Fallback>
        </mc:AlternateContent>
      </w:r>
      <w:r w:rsidR="00AB1BEC" w:rsidRPr="00084F2E">
        <w:rPr>
          <w:rFonts w:eastAsia="Calibri" w:cs="Times New Roman"/>
          <w:b w:val="0"/>
          <w:sz w:val="28"/>
          <w:szCs w:val="22"/>
          <w:lang w:val="en-US" w:bidi="en-US"/>
        </w:rPr>
        <w:t>_______________</w:t>
      </w:r>
      <w:r w:rsidR="00AB1BEC" w:rsidRPr="00084F2E">
        <w:rPr>
          <w:rFonts w:eastAsia="Calibri" w:cs="Times New Roman"/>
          <w:b w:val="0"/>
          <w:sz w:val="28"/>
          <w:szCs w:val="22"/>
          <w:lang w:val="en-US" w:bidi="en-US"/>
        </w:rPr>
        <w:tab/>
        <w:t xml:space="preserve">                    ___________</w:t>
      </w:r>
    </w:p>
    <w:p w14:paraId="1632FB69" w14:textId="77777777" w:rsidR="0072282A" w:rsidRPr="00084F2E" w:rsidRDefault="00AB1BEC">
      <w:pPr>
        <w:spacing w:line="360" w:lineRule="auto"/>
        <w:jc w:val="both"/>
        <w:rPr>
          <w:rFonts w:eastAsia="Calibri" w:cs="Times New Roman"/>
          <w:b w:val="0"/>
          <w:sz w:val="28"/>
          <w:szCs w:val="22"/>
          <w:u w:val="single"/>
          <w:lang w:val="en-US" w:bidi="en-US"/>
        </w:rPr>
      </w:pPr>
      <w:r w:rsidRPr="00084F2E">
        <w:rPr>
          <w:rFonts w:cs="Times New Roman"/>
          <w:b w:val="0"/>
          <w:sz w:val="28"/>
          <w:szCs w:val="22"/>
          <w:lang w:val="en-US" w:bidi="en-US"/>
        </w:rPr>
        <w:t>Name of Student                                     Signature                                  Date</w:t>
      </w:r>
    </w:p>
    <w:p w14:paraId="3CE3B2B4" w14:textId="77777777" w:rsidR="0072282A" w:rsidRPr="00084F2E" w:rsidRDefault="00AB1BEC">
      <w:pPr>
        <w:spacing w:line="360" w:lineRule="auto"/>
        <w:jc w:val="both"/>
        <w:rPr>
          <w:rFonts w:cs="Times New Roman"/>
          <w:i/>
          <w:sz w:val="28"/>
          <w:szCs w:val="22"/>
          <w:u w:val="single"/>
          <w:lang w:val="en-US" w:bidi="en-US"/>
        </w:rPr>
      </w:pPr>
      <w:r w:rsidRPr="00084F2E">
        <w:rPr>
          <w:rFonts w:cs="Times New Roman"/>
          <w:i/>
          <w:sz w:val="28"/>
          <w:szCs w:val="22"/>
          <w:u w:val="single"/>
          <w:lang w:val="en-US" w:bidi="en-US"/>
        </w:rPr>
        <w:t>Approved by:</w:t>
      </w:r>
    </w:p>
    <w:p w14:paraId="064B68C7" w14:textId="5824C624" w:rsidR="0072282A" w:rsidRPr="00084F2E" w:rsidRDefault="00AE77B4">
      <w:pPr>
        <w:tabs>
          <w:tab w:val="left" w:pos="3533"/>
        </w:tabs>
        <w:spacing w:line="360" w:lineRule="auto"/>
        <w:jc w:val="both"/>
        <w:rPr>
          <w:rFonts w:cs="Times New Roman"/>
          <w:b w:val="0"/>
          <w:sz w:val="28"/>
          <w:szCs w:val="22"/>
          <w:u w:val="single"/>
          <w:lang w:val="en-US" w:bidi="en-US"/>
        </w:rPr>
      </w:pPr>
      <w:r w:rsidRPr="00084F2E">
        <w:rPr>
          <w:rFonts w:ascii="Calibri" w:eastAsia="Calibri" w:hAnsi="Calibri" w:cs="Times New Roman"/>
          <w:b w:val="0"/>
          <w:noProof/>
          <w:sz w:val="22"/>
          <w:szCs w:val="22"/>
          <w:lang w:val="en-US"/>
        </w:rPr>
        <mc:AlternateContent>
          <mc:Choice Requires="wps">
            <w:drawing>
              <wp:anchor distT="4294967295" distB="4294967295" distL="114300" distR="114300" simplePos="0" relativeHeight="251659264" behindDoc="0" locked="0" layoutInCell="1" allowOverlap="1" wp14:anchorId="2D8AADB7" wp14:editId="5D567073">
                <wp:simplePos x="0" y="0"/>
                <wp:positionH relativeFrom="column">
                  <wp:posOffset>2839720</wp:posOffset>
                </wp:positionH>
                <wp:positionV relativeFrom="paragraph">
                  <wp:posOffset>154939</wp:posOffset>
                </wp:positionV>
                <wp:extent cx="1054735" cy="0"/>
                <wp:effectExtent l="0" t="0" r="12065" b="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4735" cy="0"/>
                        </a:xfrm>
                        <a:prstGeom prst="straightConnector1">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shape w14:anchorId="1C2A155B" id="Straight Arrow Connector 15" o:spid="_x0000_s1026" type="#_x0000_t32" style="position:absolute;margin-left:223.6pt;margin-top:12.2pt;width:83.0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"/>
            </w:pict>
          </mc:Fallback>
        </mc:AlternateContent>
      </w:r>
      <w:r w:rsidRPr="00084F2E">
        <w:rPr>
          <w:rFonts w:ascii="Calibri" w:eastAsia="Calibri" w:hAnsi="Calibri" w:cs="Times New Roman"/>
          <w:b w:val="0"/>
          <w:noProof/>
          <w:sz w:val="22"/>
          <w:szCs w:val="22"/>
          <w:lang w:val="en-US"/>
        </w:rPr>
        <mc:AlternateContent>
          <mc:Choice Requires="wps">
            <w:drawing>
              <wp:anchor distT="4294967295" distB="4294967295" distL="114300" distR="114300" simplePos="0" relativeHeight="251660288" behindDoc="0" locked="0" layoutInCell="1" allowOverlap="1" wp14:anchorId="3C37185A" wp14:editId="08F5FB54">
                <wp:simplePos x="0" y="0"/>
                <wp:positionH relativeFrom="column">
                  <wp:posOffset>4658360</wp:posOffset>
                </wp:positionH>
                <wp:positionV relativeFrom="paragraph">
                  <wp:posOffset>154939</wp:posOffset>
                </wp:positionV>
                <wp:extent cx="978535" cy="0"/>
                <wp:effectExtent l="0" t="0" r="12065" b="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8535" cy="0"/>
                        </a:xfrm>
                        <a:prstGeom prst="straightConnector1">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shape w14:anchorId="7FF14A23" id="Straight Arrow Connector 14" o:spid="_x0000_s1026" type="#_x0000_t32" style="position:absolute;margin-left:366.8pt;margin-top:12.2pt;width:77.0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"/>
            </w:pict>
          </mc:Fallback>
        </mc:AlternateContent>
      </w:r>
      <w:r w:rsidR="00AB1BEC" w:rsidRPr="00084F2E">
        <w:rPr>
          <w:rFonts w:cs="Times New Roman"/>
          <w:b w:val="0"/>
          <w:sz w:val="28"/>
          <w:szCs w:val="22"/>
          <w:u w:val="single"/>
          <w:lang w:val="en-US" w:bidi="en-US"/>
        </w:rPr>
        <w:t xml:space="preserve">___________________       </w:t>
      </w:r>
    </w:p>
    <w:p w14:paraId="15FF556A" w14:textId="77777777" w:rsidR="0072282A" w:rsidRPr="00084F2E" w:rsidRDefault="00AB1BEC">
      <w:pPr>
        <w:spacing w:line="360" w:lineRule="auto"/>
        <w:jc w:val="both"/>
        <w:rPr>
          <w:rFonts w:cs="Times New Roman"/>
          <w:bCs/>
          <w:sz w:val="28"/>
          <w:szCs w:val="22"/>
          <w:lang w:val="en-US" w:bidi="en-US"/>
        </w:rPr>
      </w:pPr>
      <w:r w:rsidRPr="00084F2E">
        <w:rPr>
          <w:rFonts w:cs="Times New Roman"/>
          <w:b w:val="0"/>
          <w:sz w:val="28"/>
          <w:szCs w:val="22"/>
          <w:lang w:val="en-US" w:bidi="en-US"/>
        </w:rPr>
        <w:t>Name of Advisor</w:t>
      </w:r>
      <w:r w:rsidRPr="00084F2E">
        <w:rPr>
          <w:rFonts w:cs="Times New Roman"/>
          <w:b w:val="0"/>
          <w:sz w:val="28"/>
          <w:szCs w:val="22"/>
          <w:lang w:val="en-US" w:bidi="en-US"/>
        </w:rPr>
        <w:tab/>
        <w:t xml:space="preserve">                           Signature                                    Date</w:t>
      </w:r>
    </w:p>
    <w:p w14:paraId="7F7C830B" w14:textId="77777777" w:rsidR="0072282A" w:rsidRPr="00084F2E" w:rsidRDefault="00AB1BEC">
      <w:pPr>
        <w:autoSpaceDE w:val="0"/>
        <w:autoSpaceDN w:val="0"/>
        <w:adjustRightInd w:val="0"/>
        <w:spacing w:line="360" w:lineRule="auto"/>
        <w:jc w:val="both"/>
        <w:rPr>
          <w:rFonts w:cs="Times New Roman"/>
          <w:b w:val="0"/>
          <w:sz w:val="28"/>
          <w:szCs w:val="22"/>
          <w:lang w:val="en-US" w:bidi="en-US"/>
        </w:rPr>
      </w:pPr>
      <w:r w:rsidRPr="00084F2E">
        <w:rPr>
          <w:rFonts w:cs="Times New Roman"/>
          <w:b w:val="0"/>
          <w:sz w:val="28"/>
          <w:szCs w:val="22"/>
          <w:lang w:val="en-US" w:bidi="en-US"/>
        </w:rPr>
        <w:t>___________________                         __________                                _________</w:t>
      </w:r>
    </w:p>
    <w:p w14:paraId="66BC3E65" w14:textId="77777777" w:rsidR="0072282A" w:rsidRPr="00084F2E" w:rsidRDefault="00AB1BEC">
      <w:pPr>
        <w:autoSpaceDE w:val="0"/>
        <w:autoSpaceDN w:val="0"/>
        <w:adjustRightInd w:val="0"/>
        <w:spacing w:line="360" w:lineRule="auto"/>
        <w:jc w:val="both"/>
        <w:rPr>
          <w:rFonts w:cs="Times New Roman"/>
          <w:b w:val="0"/>
          <w:sz w:val="28"/>
          <w:szCs w:val="22"/>
          <w:lang w:val="en-US" w:bidi="en-US"/>
        </w:rPr>
      </w:pPr>
      <w:r w:rsidRPr="00084F2E">
        <w:rPr>
          <w:rFonts w:cs="Times New Roman"/>
          <w:b w:val="0"/>
          <w:sz w:val="28"/>
          <w:szCs w:val="22"/>
          <w:lang w:val="en-US" w:bidi="en-US"/>
        </w:rPr>
        <w:t>Name of Chairman, PGC                     Signature                                        Date</w:t>
      </w:r>
    </w:p>
    <w:p w14:paraId="5EB29D34" w14:textId="77777777" w:rsidR="0072282A" w:rsidRPr="00084F2E" w:rsidRDefault="00AB1BEC">
      <w:pPr>
        <w:autoSpaceDE w:val="0"/>
        <w:autoSpaceDN w:val="0"/>
        <w:adjustRightInd w:val="0"/>
        <w:spacing w:line="360" w:lineRule="auto"/>
        <w:jc w:val="both"/>
        <w:rPr>
          <w:rFonts w:cs="Times New Roman"/>
          <w:b w:val="0"/>
          <w:sz w:val="28"/>
          <w:szCs w:val="22"/>
          <w:lang w:val="en-US" w:bidi="en-US"/>
        </w:rPr>
      </w:pPr>
      <w:r w:rsidRPr="00084F2E">
        <w:rPr>
          <w:rFonts w:cs="Times New Roman"/>
          <w:b w:val="0"/>
          <w:sz w:val="28"/>
          <w:szCs w:val="22"/>
          <w:lang w:val="en-US" w:bidi="en-US"/>
        </w:rPr>
        <w:t>___________________                          _________                                 _________</w:t>
      </w:r>
    </w:p>
    <w:p w14:paraId="0545BF0B" w14:textId="77777777" w:rsidR="0072282A" w:rsidRPr="00084F2E" w:rsidRDefault="00AB1BEC">
      <w:pPr>
        <w:autoSpaceDE w:val="0"/>
        <w:autoSpaceDN w:val="0"/>
        <w:adjustRightInd w:val="0"/>
        <w:spacing w:line="360" w:lineRule="auto"/>
        <w:jc w:val="both"/>
        <w:rPr>
          <w:rFonts w:cs="Times New Roman"/>
          <w:b w:val="0"/>
          <w:sz w:val="28"/>
          <w:szCs w:val="22"/>
          <w:lang w:val="en-US" w:bidi="en-US"/>
        </w:rPr>
      </w:pPr>
      <w:r w:rsidRPr="00084F2E">
        <w:rPr>
          <w:rFonts w:cs="Times New Roman"/>
          <w:b w:val="0"/>
          <w:sz w:val="28"/>
          <w:szCs w:val="22"/>
          <w:lang w:val="en-US" w:bidi="en-US"/>
        </w:rPr>
        <w:t>Name of external examiner                  Signature                                          Date</w:t>
      </w:r>
    </w:p>
    <w:p w14:paraId="5FBEB2BB" w14:textId="77777777" w:rsidR="0072282A" w:rsidRPr="00084F2E" w:rsidRDefault="00AB1BEC">
      <w:pPr>
        <w:autoSpaceDE w:val="0"/>
        <w:autoSpaceDN w:val="0"/>
        <w:adjustRightInd w:val="0"/>
        <w:spacing w:line="360" w:lineRule="auto"/>
        <w:jc w:val="both"/>
        <w:rPr>
          <w:rFonts w:cs="Times New Roman"/>
          <w:b w:val="0"/>
          <w:sz w:val="28"/>
          <w:szCs w:val="22"/>
          <w:lang w:val="en-US" w:bidi="en-US"/>
        </w:rPr>
      </w:pPr>
      <w:r w:rsidRPr="00084F2E">
        <w:rPr>
          <w:rFonts w:cs="Times New Roman"/>
          <w:b w:val="0"/>
          <w:sz w:val="28"/>
          <w:szCs w:val="22"/>
          <w:lang w:val="en-US" w:bidi="en-US"/>
        </w:rPr>
        <w:t>___________________                           __________                              _________</w:t>
      </w:r>
    </w:p>
    <w:p w14:paraId="31DB9071" w14:textId="77777777" w:rsidR="0072282A" w:rsidRPr="00084F2E" w:rsidRDefault="00AB1BEC">
      <w:pPr>
        <w:autoSpaceDE w:val="0"/>
        <w:autoSpaceDN w:val="0"/>
        <w:adjustRightInd w:val="0"/>
        <w:spacing w:line="360" w:lineRule="auto"/>
        <w:jc w:val="both"/>
        <w:rPr>
          <w:rFonts w:cs="Times New Roman"/>
          <w:b w:val="0"/>
          <w:sz w:val="28"/>
          <w:szCs w:val="22"/>
          <w:lang w:val="en-US" w:bidi="en-US"/>
        </w:rPr>
      </w:pPr>
      <w:r w:rsidRPr="00084F2E">
        <w:rPr>
          <w:rFonts w:cs="Times New Roman"/>
          <w:b w:val="0"/>
          <w:sz w:val="28"/>
          <w:szCs w:val="22"/>
          <w:lang w:val="en-US" w:bidi="en-US"/>
        </w:rPr>
        <w:t>Name of internal examiner       Signature                  Date         _________________                             _________                                  _________</w:t>
      </w:r>
    </w:p>
    <w:p w14:paraId="4F411717" w14:textId="442CEFFF" w:rsidR="0072282A" w:rsidRPr="00084F2E" w:rsidRDefault="00AE77B4">
      <w:pPr>
        <w:spacing w:after="200" w:line="360" w:lineRule="auto"/>
        <w:jc w:val="both"/>
        <w:rPr>
          <w:rFonts w:cs="Times New Roman"/>
          <w:b w:val="0"/>
          <w:sz w:val="28"/>
          <w:szCs w:val="22"/>
          <w:lang w:val="en-US" w:bidi="en-US"/>
        </w:rPr>
      </w:pPr>
      <w:r w:rsidRPr="00084F2E">
        <w:rPr>
          <w:rFonts w:ascii="Calibri" w:eastAsia="Calibri" w:hAnsi="Calibri" w:cs="Times New Roman"/>
          <w:b w:val="0"/>
          <w:noProof/>
          <w:sz w:val="22"/>
          <w:szCs w:val="22"/>
          <w:lang w:val="en-US"/>
        </w:rPr>
        <mc:AlternateContent>
          <mc:Choice Requires="wps">
            <w:drawing>
              <wp:anchor distT="0" distB="0" distL="114300" distR="114300" simplePos="0" relativeHeight="251662336" behindDoc="0" locked="0" layoutInCell="1" allowOverlap="1" wp14:anchorId="28AE0A7D" wp14:editId="2BA71713">
                <wp:simplePos x="0" y="0"/>
                <wp:positionH relativeFrom="column">
                  <wp:posOffset>2819400</wp:posOffset>
                </wp:positionH>
                <wp:positionV relativeFrom="paragraph">
                  <wp:posOffset>280035</wp:posOffset>
                </wp:positionV>
                <wp:extent cx="1054735" cy="311150"/>
                <wp:effectExtent l="38100" t="114300" r="12065" b="889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21536">
                          <a:off x="0" y="0"/>
                          <a:ext cx="1054735" cy="311150"/>
                        </a:xfrm>
                        <a:prstGeom prst="rect">
                          <a:avLst/>
                        </a:prstGeom>
                        <a:solidFill>
                          <a:srgbClr val="FFFFFF"/>
                        </a:solidFill>
                        <a:ln w="9525">
                          <a:solidFill>
                            <a:sysClr val="window" lastClr="FFFFFF">
                              <a:lumMod val="100000"/>
                              <a:lumOff val="0"/>
                            </a:sysClr>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E9E8E" id="Rectangle 13" o:spid="_x0000_s1026" style="position:absolute;margin-left:222pt;margin-top:22.05pt;width:83.05pt;height:24.5pt;rotation:-678883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" strokecolor="white"/>
            </w:pict>
          </mc:Fallback>
        </mc:AlternateContent>
      </w:r>
      <w:r w:rsidR="00AB1BEC" w:rsidRPr="00084F2E">
        <w:rPr>
          <w:rFonts w:cs="Times New Roman"/>
          <w:b w:val="0"/>
          <w:sz w:val="28"/>
          <w:szCs w:val="22"/>
          <w:lang w:val="en-US" w:bidi="en-US"/>
        </w:rPr>
        <w:t>Name of Dean, SGS                                Signature                                  Date</w:t>
      </w:r>
    </w:p>
    <w:p w14:paraId="0F1FB79B" w14:textId="77777777" w:rsidR="0072282A" w:rsidRPr="00084F2E" w:rsidRDefault="0072282A">
      <w:pPr>
        <w:spacing w:after="200" w:line="276" w:lineRule="auto"/>
        <w:rPr>
          <w:rFonts w:ascii="Calibri" w:eastAsia="Calibri" w:hAnsi="Calibri" w:cs="Times New Roman"/>
          <w:b w:val="0"/>
          <w:sz w:val="22"/>
          <w:szCs w:val="22"/>
          <w:lang w:val="en-US"/>
        </w:rPr>
      </w:pPr>
    </w:p>
    <w:p w14:paraId="4ED37E83" w14:textId="77777777" w:rsidR="0072282A" w:rsidRPr="00084F2E" w:rsidRDefault="0072282A">
      <w:pPr>
        <w:spacing w:line="360" w:lineRule="auto"/>
        <w:jc w:val="right"/>
        <w:rPr>
          <w:sz w:val="28"/>
          <w:lang w:val="en-US"/>
        </w:rPr>
      </w:pPr>
    </w:p>
    <w:p w14:paraId="22A95330" w14:textId="77777777" w:rsidR="0072282A" w:rsidRPr="00084F2E" w:rsidRDefault="00AB1BEC">
      <w:pPr>
        <w:keepNext/>
        <w:keepLines/>
        <w:spacing w:before="480"/>
        <w:jc w:val="center"/>
        <w:outlineLvl w:val="0"/>
        <w:rPr>
          <w:rFonts w:eastAsiaTheme="majorEastAsia" w:cstheme="majorBidi"/>
          <w:bCs/>
          <w:sz w:val="32"/>
          <w:szCs w:val="28"/>
          <w:lang w:val="en-US"/>
        </w:rPr>
      </w:pPr>
      <w:r w:rsidRPr="00084F2E">
        <w:rPr>
          <w:rFonts w:eastAsiaTheme="majorEastAsia" w:cstheme="majorBidi"/>
          <w:bCs/>
          <w:sz w:val="32"/>
          <w:szCs w:val="28"/>
          <w:lang w:val="en-US"/>
        </w:rPr>
        <w:br w:type="page"/>
      </w:r>
      <w:bookmarkStart w:id="9" w:name="_Toc220661983"/>
      <w:r w:rsidRPr="00084F2E">
        <w:rPr>
          <w:rFonts w:eastAsiaTheme="majorEastAsia" w:cstheme="majorBidi"/>
          <w:bCs/>
          <w:sz w:val="32"/>
          <w:szCs w:val="28"/>
          <w:lang w:val="en-US"/>
        </w:rPr>
        <w:lastRenderedPageBreak/>
        <w:t>Declaration</w:t>
      </w:r>
      <w:bookmarkEnd w:id="9"/>
      <w:r w:rsidRPr="00084F2E">
        <w:rPr>
          <w:rFonts w:eastAsiaTheme="majorEastAsia" w:cstheme="majorBidi"/>
          <w:bCs/>
          <w:sz w:val="32"/>
          <w:szCs w:val="28"/>
          <w:lang w:val="en-US"/>
        </w:rPr>
        <w:t xml:space="preserve"> </w:t>
      </w:r>
    </w:p>
    <w:p w14:paraId="54E92BFB" w14:textId="4B57B877" w:rsidR="0072282A" w:rsidRPr="00084F2E" w:rsidRDefault="00AB1BEC">
      <w:pPr>
        <w:spacing w:line="360" w:lineRule="auto"/>
        <w:jc w:val="both"/>
        <w:rPr>
          <w:b w:val="0"/>
          <w:lang w:val="en-US"/>
        </w:rPr>
      </w:pPr>
      <w:r w:rsidRPr="00084F2E">
        <w:rPr>
          <w:b w:val="0"/>
          <w:lang w:val="en-US"/>
        </w:rPr>
        <w:t>I, Dawit Lelissa Kitila, will confirm that the thesis, titled as Determinants of Agricultural Products Export Performance of Ethiopia, is the result of all my research and efforts. It is a project we have worked on by ourselves with precious guidance and supervision of Dr. Getachew Magnar. My candidature is to certify that the thesis has not been presented to an institution to fulfill the requirements to any degree of academic attainment, in whole or in part. All data learned, literature and assistance used in preparation have been mentioned appropriately and rightfully. I do and do gladly undertake the responsibility of any error or mis</w:t>
      </w:r>
      <w:r w:rsidR="00B128DA" w:rsidRPr="00084F2E">
        <w:rPr>
          <w:b w:val="0"/>
          <w:lang w:val="en-US"/>
        </w:rPr>
        <w:t xml:space="preserve"> </w:t>
      </w:r>
      <w:r w:rsidRPr="00084F2E">
        <w:rPr>
          <w:b w:val="0"/>
          <w:lang w:val="en-US"/>
        </w:rPr>
        <w:t>statement in the document.</w:t>
      </w:r>
    </w:p>
    <w:p w14:paraId="10492A55" w14:textId="77777777" w:rsidR="0072282A" w:rsidRPr="00084F2E" w:rsidRDefault="00AB1BEC">
      <w:pPr>
        <w:spacing w:line="360" w:lineRule="auto"/>
        <w:jc w:val="both"/>
        <w:rPr>
          <w:b w:val="0"/>
          <w:lang w:val="en-US"/>
        </w:rPr>
      </w:pPr>
      <w:r w:rsidRPr="00084F2E">
        <w:rPr>
          <w:b w:val="0"/>
          <w:lang w:val="en-US"/>
        </w:rPr>
        <w:t>Nekemte, Oromia, Ethiopia</w:t>
      </w:r>
    </w:p>
    <w:p w14:paraId="61E9B2CD" w14:textId="77777777" w:rsidR="0072282A" w:rsidRPr="00084F2E" w:rsidRDefault="00AB1BEC">
      <w:pPr>
        <w:spacing w:line="360" w:lineRule="auto"/>
        <w:jc w:val="both"/>
        <w:rPr>
          <w:b w:val="0"/>
          <w:lang w:val="en-US"/>
        </w:rPr>
      </w:pPr>
      <w:r w:rsidRPr="00084F2E">
        <w:rPr>
          <w:b w:val="0"/>
          <w:lang w:val="en-US"/>
        </w:rPr>
        <w:t>November, 2025</w:t>
      </w:r>
    </w:p>
    <w:p w14:paraId="5D7D5DF4" w14:textId="77777777" w:rsidR="0072282A" w:rsidRPr="00084F2E" w:rsidRDefault="00AB1BEC">
      <w:pPr>
        <w:spacing w:line="360" w:lineRule="auto"/>
        <w:jc w:val="both"/>
        <w:rPr>
          <w:b w:val="0"/>
          <w:lang w:val="en-US"/>
        </w:rPr>
      </w:pPr>
      <w:r w:rsidRPr="00084F2E">
        <w:rPr>
          <w:b w:val="0"/>
          <w:lang w:val="en-US"/>
        </w:rPr>
        <w:t>Dawit Lelissa Kitila</w:t>
      </w:r>
    </w:p>
    <w:p w14:paraId="2D8A40AB" w14:textId="77777777" w:rsidR="0072282A" w:rsidRPr="00084F2E" w:rsidRDefault="00AB1BEC">
      <w:pPr>
        <w:spacing w:after="200" w:line="276" w:lineRule="auto"/>
        <w:rPr>
          <w:b w:val="0"/>
          <w:lang w:val="en-US"/>
        </w:rPr>
      </w:pPr>
      <w:r w:rsidRPr="00084F2E">
        <w:rPr>
          <w:b w:val="0"/>
          <w:lang w:val="en-US"/>
        </w:rPr>
        <w:br w:type="page"/>
      </w:r>
    </w:p>
    <w:p w14:paraId="2BDFB098" w14:textId="77777777" w:rsidR="0072282A" w:rsidRPr="00084F2E" w:rsidRDefault="00AB1BEC">
      <w:pPr>
        <w:keepNext/>
        <w:keepLines/>
        <w:spacing w:before="480"/>
        <w:jc w:val="center"/>
        <w:outlineLvl w:val="0"/>
        <w:rPr>
          <w:rFonts w:eastAsiaTheme="majorEastAsia" w:cstheme="majorBidi"/>
          <w:bCs/>
          <w:sz w:val="32"/>
          <w:szCs w:val="28"/>
          <w:lang w:val="en-US"/>
        </w:rPr>
      </w:pPr>
      <w:bookmarkStart w:id="10" w:name="_Toc220661984"/>
      <w:r w:rsidRPr="00084F2E">
        <w:rPr>
          <w:rFonts w:eastAsiaTheme="majorEastAsia" w:cstheme="majorBidi"/>
          <w:bCs/>
          <w:sz w:val="32"/>
          <w:szCs w:val="28"/>
          <w:lang w:val="en-US"/>
        </w:rPr>
        <w:lastRenderedPageBreak/>
        <w:t>Advisor’s Approval</w:t>
      </w:r>
      <w:bookmarkEnd w:id="10"/>
    </w:p>
    <w:p w14:paraId="3F869435" w14:textId="77777777" w:rsidR="0072282A" w:rsidRPr="00084F2E" w:rsidRDefault="00AB1BEC">
      <w:pPr>
        <w:spacing w:before="240" w:line="360" w:lineRule="auto"/>
        <w:jc w:val="both"/>
        <w:rPr>
          <w:b w:val="0"/>
          <w:lang w:val="en-US"/>
        </w:rPr>
      </w:pPr>
      <w:r w:rsidRPr="00084F2E">
        <w:rPr>
          <w:b w:val="0"/>
          <w:lang w:val="en-US"/>
        </w:rPr>
        <w:t>It is hereby testified by me, Dr. Getachew Magnar, that I was the supervisor of thesis titled Determinants of Agricultural Products Export Performance of Ethiopia by Dawit Lelissa Kitila. I have read through this work and I testify that it is original and the amount of research has been done. The full content of this thesis, to my mind, complies with the high standards of academic performance, established by the Department of Economics in the College of Business and Economics of Wallaga University.</w:t>
      </w:r>
    </w:p>
    <w:p w14:paraId="28F078B1" w14:textId="77777777" w:rsidR="0072282A" w:rsidRPr="00084F2E" w:rsidRDefault="00AB1BEC">
      <w:pPr>
        <w:spacing w:before="240" w:line="360" w:lineRule="auto"/>
        <w:jc w:val="both"/>
        <w:rPr>
          <w:b w:val="0"/>
          <w:lang w:val="en-US"/>
        </w:rPr>
      </w:pPr>
      <w:r w:rsidRPr="00084F2E">
        <w:rPr>
          <w:b w:val="0"/>
          <w:lang w:val="en-US"/>
        </w:rPr>
        <w:t>Supervisor’s Name: Dr. Getachew Magnar</w:t>
      </w:r>
    </w:p>
    <w:p w14:paraId="2C52E410" w14:textId="77777777" w:rsidR="0072282A" w:rsidRPr="00084F2E" w:rsidRDefault="00AB1BEC">
      <w:pPr>
        <w:spacing w:before="240" w:line="360" w:lineRule="auto"/>
        <w:jc w:val="both"/>
        <w:rPr>
          <w:b w:val="0"/>
          <w:lang w:val="en-US"/>
        </w:rPr>
      </w:pPr>
      <w:r w:rsidRPr="00084F2E">
        <w:rPr>
          <w:b w:val="0"/>
          <w:lang w:val="en-US"/>
        </w:rPr>
        <w:t>Signature: ________________________</w:t>
      </w:r>
    </w:p>
    <w:p w14:paraId="0303F16A" w14:textId="77777777" w:rsidR="0072282A" w:rsidRPr="00084F2E" w:rsidRDefault="00AB1BEC">
      <w:pPr>
        <w:spacing w:before="240" w:line="360" w:lineRule="auto"/>
        <w:jc w:val="both"/>
        <w:rPr>
          <w:b w:val="0"/>
          <w:lang w:val="en-US"/>
        </w:rPr>
      </w:pPr>
      <w:r w:rsidRPr="00084F2E">
        <w:rPr>
          <w:b w:val="0"/>
          <w:lang w:val="en-US"/>
        </w:rPr>
        <w:t>Date: ________________________</w:t>
      </w:r>
    </w:p>
    <w:p w14:paraId="49511A71" w14:textId="77777777" w:rsidR="0072282A" w:rsidRPr="00084F2E" w:rsidRDefault="0072282A">
      <w:pPr>
        <w:spacing w:line="360" w:lineRule="auto"/>
        <w:jc w:val="both"/>
        <w:rPr>
          <w:b w:val="0"/>
          <w:lang w:val="en-US"/>
        </w:rPr>
      </w:pPr>
    </w:p>
    <w:p w14:paraId="47703DF7" w14:textId="77777777" w:rsidR="0072282A" w:rsidRPr="00084F2E" w:rsidRDefault="00AB1BEC">
      <w:pPr>
        <w:spacing w:after="200" w:line="276" w:lineRule="auto"/>
        <w:rPr>
          <w:lang w:val="en-US"/>
        </w:rPr>
      </w:pPr>
      <w:r w:rsidRPr="00084F2E">
        <w:rPr>
          <w:lang w:val="en-US"/>
        </w:rPr>
        <w:br w:type="page"/>
      </w:r>
    </w:p>
    <w:p w14:paraId="38060034" w14:textId="77777777" w:rsidR="0072282A" w:rsidRPr="00084F2E" w:rsidRDefault="0072282A">
      <w:pPr>
        <w:spacing w:after="200" w:line="276" w:lineRule="auto"/>
        <w:rPr>
          <w:rFonts w:eastAsiaTheme="majorEastAsia" w:cstheme="majorBidi"/>
          <w:bCs/>
          <w:sz w:val="32"/>
          <w:szCs w:val="28"/>
          <w:lang w:val="en-US"/>
        </w:rPr>
      </w:pPr>
    </w:p>
    <w:p w14:paraId="59428BB4" w14:textId="77777777" w:rsidR="0072282A" w:rsidRPr="00084F2E" w:rsidRDefault="00AB1BEC">
      <w:pPr>
        <w:keepNext/>
        <w:keepLines/>
        <w:spacing w:before="480" w:after="240"/>
        <w:jc w:val="center"/>
        <w:outlineLvl w:val="0"/>
        <w:rPr>
          <w:rFonts w:eastAsiaTheme="majorEastAsia" w:cstheme="majorBidi"/>
          <w:bCs/>
          <w:sz w:val="32"/>
          <w:szCs w:val="28"/>
          <w:lang w:val="en-US"/>
        </w:rPr>
      </w:pPr>
      <w:bookmarkStart w:id="11" w:name="_Toc220661985"/>
      <w:r w:rsidRPr="00084F2E">
        <w:rPr>
          <w:rFonts w:eastAsiaTheme="majorEastAsia" w:cstheme="majorBidi"/>
          <w:bCs/>
          <w:sz w:val="32"/>
          <w:szCs w:val="28"/>
          <w:lang w:val="en-US"/>
        </w:rPr>
        <w:lastRenderedPageBreak/>
        <w:t>Acknowledgment</w:t>
      </w:r>
      <w:bookmarkEnd w:id="11"/>
      <w:r w:rsidRPr="00084F2E">
        <w:rPr>
          <w:rFonts w:eastAsiaTheme="majorEastAsia" w:cstheme="majorBidi"/>
          <w:bCs/>
          <w:sz w:val="32"/>
          <w:szCs w:val="28"/>
          <w:lang w:val="en-US"/>
        </w:rPr>
        <w:t xml:space="preserve"> </w:t>
      </w:r>
    </w:p>
    <w:p w14:paraId="68F656CC" w14:textId="77777777" w:rsidR="0072282A" w:rsidRPr="00084F2E" w:rsidRDefault="00AB1BEC">
      <w:pPr>
        <w:keepNext/>
        <w:keepLines/>
        <w:spacing w:before="480" w:line="360" w:lineRule="auto"/>
        <w:jc w:val="both"/>
        <w:rPr>
          <w:rFonts w:cs="Times New Roman"/>
          <w:b w:val="0"/>
          <w:szCs w:val="23"/>
          <w:lang w:val="en-US"/>
        </w:rPr>
      </w:pPr>
      <w:r w:rsidRPr="00084F2E">
        <w:rPr>
          <w:rFonts w:cs="Times New Roman"/>
          <w:b w:val="0"/>
          <w:szCs w:val="23"/>
          <w:lang w:val="en-US"/>
        </w:rPr>
        <w:t>I would like to begin by appreciating who gave me the power, knowledge, and determination to complete the study. The path to success could not have been achieved without His intervention. I am grateful to the mentorship, help, and motivation of my counsel, Dr. Getachew Magnar, to complete the research work. His leadership and prowess have been crucial in shaping this work of art. I would like to appreciate the members of the staff and faculty of the Department of Economics of Wallaga University because they provided me with a good learning environment and I could always count on their assistance. I appreciate the cordial cooperation of my colleagues and other students who provided me with good criticisms that helped me to shape my thoughts and approaches. Lastly, I owe my family members the trust that they have placed in me. The belief that they have placed in me has encouraged me to put efforts in completing the studies.</w:t>
      </w:r>
    </w:p>
    <w:p w14:paraId="4D6CCB37" w14:textId="77777777" w:rsidR="0072282A" w:rsidRPr="00084F2E" w:rsidRDefault="00AB1BEC">
      <w:pPr>
        <w:keepNext/>
        <w:keepLines/>
        <w:spacing w:before="480" w:line="360" w:lineRule="auto"/>
        <w:jc w:val="both"/>
        <w:rPr>
          <w:rFonts w:asciiTheme="majorHAnsi" w:eastAsiaTheme="majorEastAsia" w:hAnsiTheme="majorHAnsi" w:cs="Times New Roman"/>
          <w:b w:val="0"/>
          <w:bCs/>
          <w:sz w:val="32"/>
          <w:szCs w:val="28"/>
          <w:lang w:val="en-US" w:eastAsia="ja-JP"/>
        </w:rPr>
      </w:pPr>
      <w:r w:rsidRPr="00084F2E">
        <w:rPr>
          <w:rFonts w:cs="Times New Roman"/>
          <w:b w:val="0"/>
          <w:szCs w:val="23"/>
          <w:lang w:val="en-US"/>
        </w:rPr>
        <w:t>Thanks to all you made contributions to this journey.</w:t>
      </w:r>
      <w:r w:rsidRPr="00084F2E">
        <w:rPr>
          <w:rFonts w:asciiTheme="majorHAnsi" w:eastAsiaTheme="majorEastAsia" w:hAnsiTheme="majorHAnsi" w:cs="Times New Roman"/>
          <w:b w:val="0"/>
          <w:bCs/>
          <w:sz w:val="32"/>
          <w:szCs w:val="28"/>
          <w:lang w:val="en-US" w:eastAsia="ja-JP"/>
        </w:rPr>
        <w:br w:type="page"/>
      </w:r>
    </w:p>
    <w:sdt>
      <w:sdtPr>
        <w:rPr>
          <w:rFonts w:cs="Times New Roman"/>
          <w:b w:val="0"/>
          <w:lang w:val="en-US"/>
        </w:rPr>
        <w:id w:val="-608051185"/>
        <w:docPartObj>
          <w:docPartGallery w:val="Table of Contents"/>
          <w:docPartUnique/>
        </w:docPartObj>
      </w:sdtPr>
      <w:sdtContent>
        <w:p w14:paraId="61BCE787" w14:textId="77777777" w:rsidR="0072282A" w:rsidRPr="00084F2E" w:rsidRDefault="00AB1BEC" w:rsidP="00E95C9D">
          <w:pPr>
            <w:keepNext/>
            <w:keepLines/>
            <w:spacing w:line="276" w:lineRule="auto"/>
            <w:jc w:val="both"/>
            <w:rPr>
              <w:rFonts w:eastAsiaTheme="majorEastAsia" w:cs="Times New Roman"/>
              <w:b w:val="0"/>
              <w:bCs/>
              <w:lang w:val="en-US" w:eastAsia="ja-JP"/>
            </w:rPr>
          </w:pPr>
          <w:r w:rsidRPr="00084F2E">
            <w:rPr>
              <w:rFonts w:eastAsiaTheme="majorEastAsia" w:cs="Times New Roman"/>
              <w:b w:val="0"/>
              <w:bCs/>
              <w:lang w:val="en-US" w:eastAsia="ja-JP"/>
            </w:rPr>
            <w:t>Table of Contents</w:t>
          </w:r>
        </w:p>
        <w:p w14:paraId="776E6918" w14:textId="4406D2F0" w:rsidR="00DF3DF8" w:rsidRPr="00084F2E" w:rsidRDefault="00AC5C64">
          <w:pPr>
            <w:pStyle w:val="TOC1"/>
            <w:tabs>
              <w:tab w:val="right" w:leader="dot" w:pos="9350"/>
            </w:tabs>
            <w:rPr>
              <w:rFonts w:eastAsiaTheme="minorEastAsia" w:cs="Times New Roman"/>
              <w:b w:val="0"/>
              <w:noProof/>
              <w:sz w:val="22"/>
              <w:szCs w:val="22"/>
            </w:rPr>
          </w:pPr>
          <w:r w:rsidRPr="00084F2E">
            <w:rPr>
              <w:rFonts w:cs="Times New Roman"/>
              <w:b w:val="0"/>
            </w:rPr>
            <w:fldChar w:fldCharType="begin"/>
          </w:r>
          <w:r w:rsidR="00AB1BEC" w:rsidRPr="00084F2E">
            <w:rPr>
              <w:rFonts w:cs="Times New Roman"/>
              <w:b w:val="0"/>
            </w:rPr>
            <w:instrText xml:space="preserve"> TOC \o "1-3" \h \z \u </w:instrText>
          </w:r>
          <w:r w:rsidRPr="00084F2E">
            <w:rPr>
              <w:rFonts w:cs="Times New Roman"/>
              <w:b w:val="0"/>
            </w:rPr>
            <w:fldChar w:fldCharType="separate"/>
          </w:r>
          <w:hyperlink w:anchor="_Toc220661982" w:history="1">
            <w:r w:rsidR="00DF3DF8" w:rsidRPr="00084F2E">
              <w:rPr>
                <w:rStyle w:val="Hyperlink"/>
                <w:rFonts w:cs="Times New Roman"/>
                <w:b w:val="0"/>
                <w:bCs/>
                <w:noProof/>
                <w:color w:val="auto"/>
                <w:lang w:bidi="en-US"/>
              </w:rPr>
              <w:t>APPROVAL SHEET FOR SUBMITTING THESIS</w:t>
            </w:r>
            <w:r w:rsidR="00DF3DF8" w:rsidRPr="00084F2E">
              <w:rPr>
                <w:rFonts w:cs="Times New Roman"/>
                <w:b w:val="0"/>
                <w:noProof/>
                <w:webHidden/>
              </w:rPr>
              <w:tab/>
            </w:r>
            <w:r w:rsidR="00DF3DF8" w:rsidRPr="00084F2E">
              <w:rPr>
                <w:rFonts w:cs="Times New Roman"/>
                <w:b w:val="0"/>
                <w:noProof/>
                <w:webHidden/>
              </w:rPr>
              <w:fldChar w:fldCharType="begin"/>
            </w:r>
            <w:r w:rsidR="00DF3DF8" w:rsidRPr="00084F2E">
              <w:rPr>
                <w:rFonts w:cs="Times New Roman"/>
                <w:b w:val="0"/>
                <w:noProof/>
                <w:webHidden/>
              </w:rPr>
              <w:instrText xml:space="preserve"> PAGEREF _Toc220661982 \h </w:instrText>
            </w:r>
            <w:r w:rsidR="00DF3DF8" w:rsidRPr="00084F2E">
              <w:rPr>
                <w:rFonts w:cs="Times New Roman"/>
                <w:b w:val="0"/>
                <w:noProof/>
                <w:webHidden/>
              </w:rPr>
            </w:r>
            <w:r w:rsidR="00DF3DF8" w:rsidRPr="00084F2E">
              <w:rPr>
                <w:rFonts w:cs="Times New Roman"/>
                <w:b w:val="0"/>
                <w:noProof/>
                <w:webHidden/>
              </w:rPr>
              <w:fldChar w:fldCharType="separate"/>
            </w:r>
            <w:r w:rsidR="00DF3DF8" w:rsidRPr="00084F2E">
              <w:rPr>
                <w:rFonts w:cs="Times New Roman"/>
                <w:b w:val="0"/>
                <w:noProof/>
                <w:webHidden/>
              </w:rPr>
              <w:t>I</w:t>
            </w:r>
            <w:r w:rsidR="00DF3DF8" w:rsidRPr="00084F2E">
              <w:rPr>
                <w:rFonts w:cs="Times New Roman"/>
                <w:b w:val="0"/>
                <w:noProof/>
                <w:webHidden/>
              </w:rPr>
              <w:fldChar w:fldCharType="end"/>
            </w:r>
          </w:hyperlink>
        </w:p>
        <w:p w14:paraId="61C2B47A" w14:textId="575DBEFD" w:rsidR="00DF3DF8" w:rsidRPr="00084F2E" w:rsidRDefault="00DF3DF8">
          <w:pPr>
            <w:pStyle w:val="TOC1"/>
            <w:tabs>
              <w:tab w:val="right" w:leader="dot" w:pos="9350"/>
            </w:tabs>
            <w:rPr>
              <w:rFonts w:eastAsiaTheme="minorEastAsia" w:cs="Times New Roman"/>
              <w:b w:val="0"/>
              <w:noProof/>
              <w:sz w:val="22"/>
              <w:szCs w:val="22"/>
            </w:rPr>
          </w:pPr>
          <w:hyperlink w:anchor="_Toc220661983" w:history="1">
            <w:r w:rsidRPr="00084F2E">
              <w:rPr>
                <w:rStyle w:val="Hyperlink"/>
                <w:rFonts w:eastAsiaTheme="majorEastAsia" w:cs="Times New Roman"/>
                <w:b w:val="0"/>
                <w:bCs/>
                <w:noProof/>
                <w:color w:val="auto"/>
              </w:rPr>
              <w:t>Declaration</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_Toc220661983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II</w:t>
            </w:r>
            <w:r w:rsidRPr="00084F2E">
              <w:rPr>
                <w:rFonts w:cs="Times New Roman"/>
                <w:b w:val="0"/>
                <w:noProof/>
                <w:webHidden/>
              </w:rPr>
              <w:fldChar w:fldCharType="end"/>
            </w:r>
          </w:hyperlink>
        </w:p>
        <w:p w14:paraId="0592A8C8" w14:textId="0FE15E5D" w:rsidR="00DF3DF8" w:rsidRPr="00084F2E" w:rsidRDefault="00DF3DF8">
          <w:pPr>
            <w:pStyle w:val="TOC1"/>
            <w:tabs>
              <w:tab w:val="right" w:leader="dot" w:pos="9350"/>
            </w:tabs>
            <w:rPr>
              <w:rFonts w:eastAsiaTheme="minorEastAsia" w:cs="Times New Roman"/>
              <w:b w:val="0"/>
              <w:noProof/>
              <w:sz w:val="22"/>
              <w:szCs w:val="22"/>
            </w:rPr>
          </w:pPr>
          <w:hyperlink w:anchor="_Toc220661984" w:history="1">
            <w:r w:rsidRPr="00084F2E">
              <w:rPr>
                <w:rStyle w:val="Hyperlink"/>
                <w:rFonts w:eastAsiaTheme="majorEastAsia" w:cs="Times New Roman"/>
                <w:b w:val="0"/>
                <w:bCs/>
                <w:noProof/>
                <w:color w:val="auto"/>
              </w:rPr>
              <w:t>Advisor’s Approval</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_Toc220661984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III</w:t>
            </w:r>
            <w:r w:rsidRPr="00084F2E">
              <w:rPr>
                <w:rFonts w:cs="Times New Roman"/>
                <w:b w:val="0"/>
                <w:noProof/>
                <w:webHidden/>
              </w:rPr>
              <w:fldChar w:fldCharType="end"/>
            </w:r>
          </w:hyperlink>
        </w:p>
        <w:p w14:paraId="6661A8D1" w14:textId="47EA9F1E" w:rsidR="00DF3DF8" w:rsidRPr="00084F2E" w:rsidRDefault="00DF3DF8">
          <w:pPr>
            <w:pStyle w:val="TOC1"/>
            <w:tabs>
              <w:tab w:val="right" w:leader="dot" w:pos="9350"/>
            </w:tabs>
            <w:rPr>
              <w:rFonts w:eastAsiaTheme="minorEastAsia" w:cs="Times New Roman"/>
              <w:b w:val="0"/>
              <w:noProof/>
              <w:sz w:val="22"/>
              <w:szCs w:val="22"/>
            </w:rPr>
          </w:pPr>
          <w:hyperlink w:anchor="_Toc220661985" w:history="1">
            <w:r w:rsidRPr="00084F2E">
              <w:rPr>
                <w:rStyle w:val="Hyperlink"/>
                <w:rFonts w:eastAsiaTheme="majorEastAsia" w:cs="Times New Roman"/>
                <w:b w:val="0"/>
                <w:bCs/>
                <w:noProof/>
                <w:color w:val="auto"/>
              </w:rPr>
              <w:t>Acknowledgment</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_Toc220661985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IV</w:t>
            </w:r>
            <w:r w:rsidRPr="00084F2E">
              <w:rPr>
                <w:rFonts w:cs="Times New Roman"/>
                <w:b w:val="0"/>
                <w:noProof/>
                <w:webHidden/>
              </w:rPr>
              <w:fldChar w:fldCharType="end"/>
            </w:r>
          </w:hyperlink>
        </w:p>
        <w:p w14:paraId="4B96418D" w14:textId="0CD28958" w:rsidR="00DF3DF8" w:rsidRPr="00084F2E" w:rsidRDefault="00DF3DF8">
          <w:pPr>
            <w:pStyle w:val="TOC1"/>
            <w:tabs>
              <w:tab w:val="right" w:leader="dot" w:pos="9350"/>
            </w:tabs>
            <w:rPr>
              <w:rFonts w:eastAsiaTheme="minorEastAsia" w:cs="Times New Roman"/>
              <w:b w:val="0"/>
              <w:noProof/>
              <w:sz w:val="22"/>
              <w:szCs w:val="22"/>
            </w:rPr>
          </w:pPr>
          <w:hyperlink w:anchor="_Toc220661986" w:history="1">
            <w:r w:rsidRPr="00084F2E">
              <w:rPr>
                <w:rStyle w:val="Hyperlink"/>
                <w:rFonts w:eastAsiaTheme="majorEastAsia" w:cs="Times New Roman"/>
                <w:b w:val="0"/>
                <w:bCs/>
                <w:noProof/>
                <w:color w:val="auto"/>
              </w:rPr>
              <w:t>List of Acronyms and Abbreviations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_Toc220661986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IX</w:t>
            </w:r>
            <w:r w:rsidRPr="00084F2E">
              <w:rPr>
                <w:rFonts w:cs="Times New Roman"/>
                <w:b w:val="0"/>
                <w:noProof/>
                <w:webHidden/>
              </w:rPr>
              <w:fldChar w:fldCharType="end"/>
            </w:r>
          </w:hyperlink>
        </w:p>
        <w:p w14:paraId="5E5DA014" w14:textId="7AC3467F" w:rsidR="00DF3DF8" w:rsidRPr="00084F2E" w:rsidRDefault="00DF3DF8">
          <w:pPr>
            <w:pStyle w:val="TOC1"/>
            <w:tabs>
              <w:tab w:val="right" w:leader="dot" w:pos="9350"/>
            </w:tabs>
            <w:rPr>
              <w:rFonts w:eastAsiaTheme="minorEastAsia" w:cs="Times New Roman"/>
              <w:b w:val="0"/>
              <w:noProof/>
              <w:sz w:val="22"/>
              <w:szCs w:val="22"/>
            </w:rPr>
          </w:pPr>
          <w:hyperlink w:anchor="_Toc220661987" w:history="1">
            <w:r w:rsidRPr="00084F2E">
              <w:rPr>
                <w:rStyle w:val="Hyperlink"/>
                <w:rFonts w:eastAsiaTheme="majorEastAsia" w:cs="Times New Roman"/>
                <w:b w:val="0"/>
                <w:bCs/>
                <w:noProof/>
                <w:color w:val="auto"/>
              </w:rPr>
              <w:t>Abstract</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_Toc220661987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X</w:t>
            </w:r>
            <w:r w:rsidRPr="00084F2E">
              <w:rPr>
                <w:rFonts w:cs="Times New Roman"/>
                <w:b w:val="0"/>
                <w:noProof/>
                <w:webHidden/>
              </w:rPr>
              <w:fldChar w:fldCharType="end"/>
            </w:r>
          </w:hyperlink>
        </w:p>
        <w:p w14:paraId="48D301A5" w14:textId="672B6D86" w:rsidR="00DF3DF8" w:rsidRPr="00084F2E" w:rsidRDefault="00DF3DF8">
          <w:pPr>
            <w:pStyle w:val="TOC1"/>
            <w:tabs>
              <w:tab w:val="right" w:leader="dot" w:pos="9350"/>
            </w:tabs>
            <w:rPr>
              <w:rFonts w:eastAsiaTheme="minorEastAsia" w:cs="Times New Roman"/>
              <w:b w:val="0"/>
              <w:noProof/>
              <w:sz w:val="22"/>
              <w:szCs w:val="22"/>
            </w:rPr>
          </w:pPr>
          <w:hyperlink w:anchor="_Toc220661988" w:history="1">
            <w:r w:rsidRPr="00084F2E">
              <w:rPr>
                <w:rStyle w:val="Hyperlink"/>
                <w:rFonts w:eastAsiaTheme="majorEastAsia" w:cs="Times New Roman"/>
                <w:b w:val="0"/>
                <w:bCs/>
                <w:noProof/>
                <w:color w:val="auto"/>
              </w:rPr>
              <w:t>CHAPTER ONE</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_Toc220661988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w:t>
            </w:r>
            <w:r w:rsidRPr="00084F2E">
              <w:rPr>
                <w:rFonts w:cs="Times New Roman"/>
                <w:b w:val="0"/>
                <w:noProof/>
                <w:webHidden/>
              </w:rPr>
              <w:fldChar w:fldCharType="end"/>
            </w:r>
          </w:hyperlink>
        </w:p>
        <w:p w14:paraId="61F303BC" w14:textId="3C5AAC19" w:rsidR="00DF3DF8" w:rsidRPr="00084F2E" w:rsidRDefault="00DF3DF8">
          <w:pPr>
            <w:pStyle w:val="TOC2"/>
            <w:tabs>
              <w:tab w:val="right" w:leader="dot" w:pos="9350"/>
            </w:tabs>
            <w:rPr>
              <w:rFonts w:eastAsiaTheme="minorEastAsia" w:cs="Times New Roman"/>
              <w:b w:val="0"/>
              <w:noProof/>
              <w:sz w:val="22"/>
              <w:szCs w:val="22"/>
            </w:rPr>
          </w:pPr>
          <w:hyperlink w:anchor="_Toc220661989" w:history="1">
            <w:r w:rsidRPr="00084F2E">
              <w:rPr>
                <w:rStyle w:val="Hyperlink"/>
                <w:rFonts w:cs="Times New Roman"/>
                <w:b w:val="0"/>
                <w:noProof/>
                <w:color w:val="auto"/>
              </w:rPr>
              <w:t>1.2 Background of the study</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_Toc220661989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w:t>
            </w:r>
            <w:r w:rsidRPr="00084F2E">
              <w:rPr>
                <w:rFonts w:cs="Times New Roman"/>
                <w:b w:val="0"/>
                <w:noProof/>
                <w:webHidden/>
              </w:rPr>
              <w:fldChar w:fldCharType="end"/>
            </w:r>
          </w:hyperlink>
        </w:p>
        <w:p w14:paraId="42E3399C" w14:textId="2521DA89" w:rsidR="00DF3DF8" w:rsidRPr="00084F2E" w:rsidRDefault="00DF3DF8">
          <w:pPr>
            <w:pStyle w:val="TOC2"/>
            <w:tabs>
              <w:tab w:val="right" w:leader="dot" w:pos="9350"/>
            </w:tabs>
            <w:rPr>
              <w:rFonts w:eastAsiaTheme="minorEastAsia" w:cs="Times New Roman"/>
              <w:b w:val="0"/>
              <w:noProof/>
              <w:sz w:val="22"/>
              <w:szCs w:val="22"/>
            </w:rPr>
          </w:pPr>
          <w:hyperlink w:anchor="_Toc220661990" w:history="1">
            <w:r w:rsidRPr="00084F2E">
              <w:rPr>
                <w:rStyle w:val="Hyperlink"/>
                <w:rFonts w:eastAsiaTheme="majorEastAsia" w:cs="Times New Roman"/>
                <w:b w:val="0"/>
                <w:bCs/>
                <w:noProof/>
                <w:color w:val="auto"/>
              </w:rPr>
              <w:t>1.3 Statement of the problem</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_Toc220661990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3</w:t>
            </w:r>
            <w:r w:rsidRPr="00084F2E">
              <w:rPr>
                <w:rFonts w:cs="Times New Roman"/>
                <w:b w:val="0"/>
                <w:noProof/>
                <w:webHidden/>
              </w:rPr>
              <w:fldChar w:fldCharType="end"/>
            </w:r>
          </w:hyperlink>
        </w:p>
        <w:p w14:paraId="2225E83F" w14:textId="166FC86D" w:rsidR="00DF3DF8" w:rsidRPr="00084F2E" w:rsidRDefault="00DF3DF8">
          <w:pPr>
            <w:pStyle w:val="TOC2"/>
            <w:tabs>
              <w:tab w:val="right" w:leader="dot" w:pos="9350"/>
            </w:tabs>
            <w:rPr>
              <w:rFonts w:eastAsiaTheme="minorEastAsia" w:cs="Times New Roman"/>
              <w:b w:val="0"/>
              <w:noProof/>
              <w:sz w:val="22"/>
              <w:szCs w:val="22"/>
            </w:rPr>
          </w:pPr>
          <w:hyperlink w:anchor="_Toc220661991" w:history="1">
            <w:r w:rsidRPr="00084F2E">
              <w:rPr>
                <w:rStyle w:val="Hyperlink"/>
                <w:rFonts w:eastAsiaTheme="majorEastAsia" w:cs="Times New Roman"/>
                <w:b w:val="0"/>
                <w:bCs/>
                <w:iCs/>
                <w:noProof/>
                <w:color w:val="auto"/>
              </w:rPr>
              <w:t>1.4. Research Questions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_Toc220661991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8</w:t>
            </w:r>
            <w:r w:rsidRPr="00084F2E">
              <w:rPr>
                <w:rFonts w:cs="Times New Roman"/>
                <w:b w:val="0"/>
                <w:noProof/>
                <w:webHidden/>
              </w:rPr>
              <w:fldChar w:fldCharType="end"/>
            </w:r>
          </w:hyperlink>
        </w:p>
        <w:p w14:paraId="234B72CF" w14:textId="6FA31A85" w:rsidR="00DF3DF8" w:rsidRPr="00084F2E" w:rsidRDefault="00DF3DF8">
          <w:pPr>
            <w:pStyle w:val="TOC2"/>
            <w:tabs>
              <w:tab w:val="right" w:leader="dot" w:pos="9350"/>
            </w:tabs>
            <w:rPr>
              <w:rFonts w:eastAsiaTheme="minorEastAsia" w:cs="Times New Roman"/>
              <w:b w:val="0"/>
              <w:noProof/>
              <w:sz w:val="22"/>
              <w:szCs w:val="22"/>
            </w:rPr>
          </w:pPr>
          <w:hyperlink w:anchor="_Toc220661992" w:history="1">
            <w:r w:rsidRPr="00084F2E">
              <w:rPr>
                <w:rStyle w:val="Hyperlink"/>
                <w:rFonts w:eastAsiaTheme="majorEastAsia" w:cs="Times New Roman"/>
                <w:b w:val="0"/>
                <w:bCs/>
                <w:noProof/>
                <w:color w:val="auto"/>
              </w:rPr>
              <w:t>1.5. Research Objective</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_Toc220661992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8</w:t>
            </w:r>
            <w:r w:rsidRPr="00084F2E">
              <w:rPr>
                <w:rFonts w:cs="Times New Roman"/>
                <w:b w:val="0"/>
                <w:noProof/>
                <w:webHidden/>
              </w:rPr>
              <w:fldChar w:fldCharType="end"/>
            </w:r>
          </w:hyperlink>
        </w:p>
        <w:p w14:paraId="20803256" w14:textId="78F26170" w:rsidR="00DF3DF8" w:rsidRPr="00084F2E" w:rsidRDefault="00DF3DF8">
          <w:pPr>
            <w:pStyle w:val="TOC3"/>
            <w:tabs>
              <w:tab w:val="right" w:leader="dot" w:pos="9350"/>
            </w:tabs>
            <w:rPr>
              <w:rFonts w:eastAsiaTheme="minorEastAsia" w:cs="Times New Roman"/>
              <w:b w:val="0"/>
              <w:noProof/>
              <w:sz w:val="22"/>
              <w:szCs w:val="22"/>
            </w:rPr>
          </w:pPr>
          <w:hyperlink w:anchor="_Toc220661993" w:history="1">
            <w:r w:rsidRPr="00084F2E">
              <w:rPr>
                <w:rStyle w:val="Hyperlink"/>
                <w:rFonts w:eastAsiaTheme="majorEastAsia" w:cs="Times New Roman"/>
                <w:b w:val="0"/>
                <w:bCs/>
                <w:iCs/>
                <w:noProof/>
                <w:color w:val="auto"/>
                <w:shd w:val="clear" w:color="auto" w:fill="FFFFFF"/>
              </w:rPr>
              <w:t>1.5.1. General objective</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_Toc220661993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8</w:t>
            </w:r>
            <w:r w:rsidRPr="00084F2E">
              <w:rPr>
                <w:rFonts w:cs="Times New Roman"/>
                <w:b w:val="0"/>
                <w:noProof/>
                <w:webHidden/>
              </w:rPr>
              <w:fldChar w:fldCharType="end"/>
            </w:r>
          </w:hyperlink>
        </w:p>
        <w:p w14:paraId="7117DD7D" w14:textId="125456AA" w:rsidR="00DF3DF8" w:rsidRPr="00084F2E" w:rsidRDefault="00DF3DF8">
          <w:pPr>
            <w:pStyle w:val="TOC3"/>
            <w:tabs>
              <w:tab w:val="right" w:leader="dot" w:pos="9350"/>
            </w:tabs>
            <w:rPr>
              <w:rFonts w:eastAsiaTheme="minorEastAsia" w:cs="Times New Roman"/>
              <w:b w:val="0"/>
              <w:noProof/>
              <w:sz w:val="22"/>
              <w:szCs w:val="22"/>
            </w:rPr>
          </w:pPr>
          <w:hyperlink w:anchor="_Toc220661994" w:history="1">
            <w:r w:rsidRPr="00084F2E">
              <w:rPr>
                <w:rStyle w:val="Hyperlink"/>
                <w:rFonts w:eastAsiaTheme="majorEastAsia" w:cs="Times New Roman"/>
                <w:b w:val="0"/>
                <w:bCs/>
                <w:iCs/>
                <w:noProof/>
                <w:color w:val="auto"/>
                <w:shd w:val="clear" w:color="auto" w:fill="FFFFFF"/>
              </w:rPr>
              <w:t>1.5.2. Specific Objectives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_Toc220661994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8</w:t>
            </w:r>
            <w:r w:rsidRPr="00084F2E">
              <w:rPr>
                <w:rFonts w:cs="Times New Roman"/>
                <w:b w:val="0"/>
                <w:noProof/>
                <w:webHidden/>
              </w:rPr>
              <w:fldChar w:fldCharType="end"/>
            </w:r>
          </w:hyperlink>
        </w:p>
        <w:p w14:paraId="3B98F2DB" w14:textId="392EF011" w:rsidR="00DF3DF8" w:rsidRPr="00084F2E" w:rsidRDefault="00DF3DF8">
          <w:pPr>
            <w:pStyle w:val="TOC2"/>
            <w:tabs>
              <w:tab w:val="right" w:leader="dot" w:pos="9350"/>
            </w:tabs>
            <w:rPr>
              <w:rFonts w:eastAsiaTheme="minorEastAsia" w:cs="Times New Roman"/>
              <w:b w:val="0"/>
              <w:noProof/>
              <w:sz w:val="22"/>
              <w:szCs w:val="22"/>
            </w:rPr>
          </w:pPr>
          <w:hyperlink w:anchor="_Toc220661995" w:history="1">
            <w:r w:rsidRPr="00084F2E">
              <w:rPr>
                <w:rStyle w:val="Hyperlink"/>
                <w:rFonts w:eastAsiaTheme="majorEastAsia" w:cs="Times New Roman"/>
                <w:b w:val="0"/>
                <w:bCs/>
                <w:noProof/>
                <w:color w:val="auto"/>
              </w:rPr>
              <w:t>1.6. Significance of the study</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_Toc220661995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8</w:t>
            </w:r>
            <w:r w:rsidRPr="00084F2E">
              <w:rPr>
                <w:rFonts w:cs="Times New Roman"/>
                <w:b w:val="0"/>
                <w:noProof/>
                <w:webHidden/>
              </w:rPr>
              <w:fldChar w:fldCharType="end"/>
            </w:r>
          </w:hyperlink>
        </w:p>
        <w:p w14:paraId="75A98B81" w14:textId="08318B9C" w:rsidR="00DF3DF8" w:rsidRPr="00084F2E" w:rsidRDefault="00DF3DF8">
          <w:pPr>
            <w:pStyle w:val="TOC2"/>
            <w:tabs>
              <w:tab w:val="right" w:leader="dot" w:pos="9350"/>
            </w:tabs>
            <w:rPr>
              <w:rFonts w:eastAsiaTheme="minorEastAsia" w:cs="Times New Roman"/>
              <w:b w:val="0"/>
              <w:noProof/>
              <w:sz w:val="22"/>
              <w:szCs w:val="22"/>
            </w:rPr>
          </w:pPr>
          <w:hyperlink w:anchor="_Toc220661996" w:history="1">
            <w:r w:rsidRPr="00084F2E">
              <w:rPr>
                <w:rStyle w:val="Hyperlink"/>
                <w:rFonts w:eastAsiaTheme="majorEastAsia" w:cs="Times New Roman"/>
                <w:b w:val="0"/>
                <w:bCs/>
                <w:noProof/>
                <w:color w:val="auto"/>
              </w:rPr>
              <w:t>1.7. Scope of the Study</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_Toc220661996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9</w:t>
            </w:r>
            <w:r w:rsidRPr="00084F2E">
              <w:rPr>
                <w:rFonts w:cs="Times New Roman"/>
                <w:b w:val="0"/>
                <w:noProof/>
                <w:webHidden/>
              </w:rPr>
              <w:fldChar w:fldCharType="end"/>
            </w:r>
          </w:hyperlink>
        </w:p>
        <w:p w14:paraId="0459CCCD" w14:textId="4E0762DE" w:rsidR="00DF3DF8" w:rsidRPr="00084F2E" w:rsidRDefault="00DF3DF8">
          <w:pPr>
            <w:pStyle w:val="TOC2"/>
            <w:tabs>
              <w:tab w:val="right" w:leader="dot" w:pos="9350"/>
            </w:tabs>
            <w:rPr>
              <w:rFonts w:eastAsiaTheme="minorEastAsia" w:cs="Times New Roman"/>
              <w:b w:val="0"/>
              <w:noProof/>
              <w:sz w:val="22"/>
              <w:szCs w:val="22"/>
            </w:rPr>
          </w:pPr>
          <w:hyperlink w:anchor="_Toc220661997" w:history="1">
            <w:r w:rsidRPr="00084F2E">
              <w:rPr>
                <w:rStyle w:val="Hyperlink"/>
                <w:rFonts w:eastAsiaTheme="majorEastAsia" w:cs="Times New Roman"/>
                <w:b w:val="0"/>
                <w:bCs/>
                <w:noProof/>
                <w:color w:val="auto"/>
              </w:rPr>
              <w:t>1.8. Limitation of the study</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_Toc220661997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10</w:t>
            </w:r>
            <w:r w:rsidRPr="00084F2E">
              <w:rPr>
                <w:rFonts w:cs="Times New Roman"/>
                <w:b w:val="0"/>
                <w:noProof/>
                <w:webHidden/>
              </w:rPr>
              <w:fldChar w:fldCharType="end"/>
            </w:r>
          </w:hyperlink>
        </w:p>
        <w:p w14:paraId="04128E8C" w14:textId="6C6130C1" w:rsidR="00DF3DF8" w:rsidRPr="00084F2E" w:rsidRDefault="00DF3DF8">
          <w:pPr>
            <w:pStyle w:val="TOC2"/>
            <w:tabs>
              <w:tab w:val="right" w:leader="dot" w:pos="9350"/>
            </w:tabs>
            <w:rPr>
              <w:rFonts w:eastAsiaTheme="minorEastAsia" w:cs="Times New Roman"/>
              <w:b w:val="0"/>
              <w:noProof/>
              <w:sz w:val="22"/>
              <w:szCs w:val="22"/>
            </w:rPr>
          </w:pPr>
          <w:hyperlink w:anchor="_Toc220661998" w:history="1">
            <w:r w:rsidRPr="00084F2E">
              <w:rPr>
                <w:rStyle w:val="Hyperlink"/>
                <w:rFonts w:eastAsiaTheme="majorEastAsia" w:cs="Times New Roman"/>
                <w:b w:val="0"/>
                <w:bCs/>
                <w:noProof/>
                <w:color w:val="auto"/>
              </w:rPr>
              <w:t>1.9. Organization of the paper</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_Toc220661998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10</w:t>
            </w:r>
            <w:r w:rsidRPr="00084F2E">
              <w:rPr>
                <w:rFonts w:cs="Times New Roman"/>
                <w:b w:val="0"/>
                <w:noProof/>
                <w:webHidden/>
              </w:rPr>
              <w:fldChar w:fldCharType="end"/>
            </w:r>
          </w:hyperlink>
        </w:p>
        <w:p w14:paraId="56F33B91" w14:textId="29E743A8" w:rsidR="00DF3DF8" w:rsidRPr="00084F2E" w:rsidRDefault="00DF3DF8">
          <w:pPr>
            <w:pStyle w:val="TOC1"/>
            <w:tabs>
              <w:tab w:val="right" w:leader="dot" w:pos="9350"/>
            </w:tabs>
            <w:rPr>
              <w:rFonts w:eastAsiaTheme="minorEastAsia" w:cs="Times New Roman"/>
              <w:b w:val="0"/>
              <w:noProof/>
              <w:sz w:val="22"/>
              <w:szCs w:val="22"/>
            </w:rPr>
          </w:pPr>
          <w:hyperlink w:anchor="_Toc220661999" w:history="1">
            <w:r w:rsidRPr="00084F2E">
              <w:rPr>
                <w:rStyle w:val="Hyperlink"/>
                <w:rFonts w:eastAsiaTheme="majorEastAsia" w:cs="Times New Roman"/>
                <w:b w:val="0"/>
                <w:bCs/>
                <w:noProof/>
                <w:color w:val="auto"/>
              </w:rPr>
              <w:t>CHAPTER TWO</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_Toc220661999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12</w:t>
            </w:r>
            <w:r w:rsidRPr="00084F2E">
              <w:rPr>
                <w:rFonts w:cs="Times New Roman"/>
                <w:b w:val="0"/>
                <w:noProof/>
                <w:webHidden/>
              </w:rPr>
              <w:fldChar w:fldCharType="end"/>
            </w:r>
          </w:hyperlink>
        </w:p>
        <w:p w14:paraId="4C41180B" w14:textId="737E48B3" w:rsidR="00DF3DF8" w:rsidRPr="00084F2E" w:rsidRDefault="00DF3DF8">
          <w:pPr>
            <w:pStyle w:val="TOC1"/>
            <w:tabs>
              <w:tab w:val="right" w:leader="dot" w:pos="9350"/>
            </w:tabs>
            <w:rPr>
              <w:rFonts w:eastAsiaTheme="minorEastAsia" w:cs="Times New Roman"/>
              <w:b w:val="0"/>
              <w:noProof/>
              <w:sz w:val="22"/>
              <w:szCs w:val="22"/>
            </w:rPr>
          </w:pPr>
          <w:hyperlink w:anchor="_Toc220662000" w:history="1">
            <w:r w:rsidRPr="00084F2E">
              <w:rPr>
                <w:rStyle w:val="Hyperlink"/>
                <w:rFonts w:eastAsiaTheme="majorEastAsia" w:cs="Times New Roman"/>
                <w:b w:val="0"/>
                <w:bCs/>
                <w:noProof/>
                <w:color w:val="auto"/>
              </w:rPr>
              <w:t>REVIEW OF RELATED LITERATURE</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_Toc220662000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12</w:t>
            </w:r>
            <w:r w:rsidRPr="00084F2E">
              <w:rPr>
                <w:rFonts w:cs="Times New Roman"/>
                <w:b w:val="0"/>
                <w:noProof/>
                <w:webHidden/>
              </w:rPr>
              <w:fldChar w:fldCharType="end"/>
            </w:r>
          </w:hyperlink>
        </w:p>
        <w:p w14:paraId="78444D30" w14:textId="520CCBB2" w:rsidR="00DF3DF8" w:rsidRPr="00084F2E" w:rsidRDefault="00DF3DF8">
          <w:pPr>
            <w:pStyle w:val="TOC2"/>
            <w:tabs>
              <w:tab w:val="right" w:leader="dot" w:pos="9350"/>
            </w:tabs>
            <w:rPr>
              <w:rFonts w:eastAsiaTheme="minorEastAsia" w:cs="Times New Roman"/>
              <w:b w:val="0"/>
              <w:noProof/>
              <w:sz w:val="22"/>
              <w:szCs w:val="22"/>
            </w:rPr>
          </w:pPr>
          <w:hyperlink w:anchor="_Toc220662001" w:history="1">
            <w:r w:rsidRPr="00084F2E">
              <w:rPr>
                <w:rStyle w:val="Hyperlink"/>
                <w:rFonts w:eastAsiaTheme="majorEastAsia" w:cs="Times New Roman"/>
                <w:b w:val="0"/>
                <w:bCs/>
                <w:noProof/>
                <w:color w:val="auto"/>
              </w:rPr>
              <w:t>2.1. Introduction</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_Toc220662001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12</w:t>
            </w:r>
            <w:r w:rsidRPr="00084F2E">
              <w:rPr>
                <w:rFonts w:cs="Times New Roman"/>
                <w:b w:val="0"/>
                <w:noProof/>
                <w:webHidden/>
              </w:rPr>
              <w:fldChar w:fldCharType="end"/>
            </w:r>
          </w:hyperlink>
        </w:p>
        <w:p w14:paraId="3BAB44D0" w14:textId="0E9315DF" w:rsidR="00DF3DF8" w:rsidRPr="00084F2E" w:rsidRDefault="00DF3DF8">
          <w:pPr>
            <w:pStyle w:val="TOC2"/>
            <w:tabs>
              <w:tab w:val="right" w:leader="dot" w:pos="9350"/>
            </w:tabs>
            <w:rPr>
              <w:rFonts w:eastAsiaTheme="minorEastAsia" w:cs="Times New Roman"/>
              <w:b w:val="0"/>
              <w:noProof/>
              <w:sz w:val="22"/>
              <w:szCs w:val="22"/>
            </w:rPr>
          </w:pPr>
          <w:hyperlink w:anchor="_Toc220662003" w:history="1">
            <w:r w:rsidRPr="00084F2E">
              <w:rPr>
                <w:rStyle w:val="Hyperlink"/>
                <w:rFonts w:eastAsiaTheme="majorEastAsia" w:cs="Times New Roman"/>
                <w:b w:val="0"/>
                <w:bCs/>
                <w:noProof/>
                <w:color w:val="auto"/>
              </w:rPr>
              <w:t>2.2. Theories related to the study</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_Toc220662003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12</w:t>
            </w:r>
            <w:r w:rsidRPr="00084F2E">
              <w:rPr>
                <w:rFonts w:cs="Times New Roman"/>
                <w:b w:val="0"/>
                <w:noProof/>
                <w:webHidden/>
              </w:rPr>
              <w:fldChar w:fldCharType="end"/>
            </w:r>
          </w:hyperlink>
        </w:p>
        <w:p w14:paraId="347BAC84" w14:textId="72B52F50" w:rsidR="00DF3DF8" w:rsidRPr="00084F2E" w:rsidRDefault="00DF3DF8">
          <w:pPr>
            <w:pStyle w:val="TOC3"/>
            <w:tabs>
              <w:tab w:val="right" w:leader="dot" w:pos="9350"/>
            </w:tabs>
            <w:rPr>
              <w:rFonts w:eastAsiaTheme="minorEastAsia" w:cs="Times New Roman"/>
              <w:b w:val="0"/>
              <w:noProof/>
              <w:sz w:val="22"/>
              <w:szCs w:val="22"/>
            </w:rPr>
          </w:pPr>
          <w:hyperlink w:anchor="_Toc220662004" w:history="1">
            <w:r w:rsidRPr="00084F2E">
              <w:rPr>
                <w:rStyle w:val="Hyperlink"/>
                <w:rFonts w:eastAsiaTheme="majorEastAsia" w:cs="Times New Roman"/>
                <w:b w:val="0"/>
                <w:bCs/>
                <w:noProof/>
                <w:color w:val="auto"/>
                <w:shd w:val="clear" w:color="auto" w:fill="FFFFFF"/>
              </w:rPr>
              <w:t>2.2.1 Comparative Advantage Theory</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_Toc220662004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12</w:t>
            </w:r>
            <w:r w:rsidRPr="00084F2E">
              <w:rPr>
                <w:rFonts w:cs="Times New Roman"/>
                <w:b w:val="0"/>
                <w:noProof/>
                <w:webHidden/>
              </w:rPr>
              <w:fldChar w:fldCharType="end"/>
            </w:r>
          </w:hyperlink>
        </w:p>
        <w:p w14:paraId="07960C56" w14:textId="4EAE8251" w:rsidR="00DF3DF8" w:rsidRPr="00084F2E" w:rsidRDefault="00DF3DF8">
          <w:pPr>
            <w:pStyle w:val="TOC3"/>
            <w:tabs>
              <w:tab w:val="right" w:leader="dot" w:pos="9350"/>
            </w:tabs>
            <w:rPr>
              <w:rFonts w:eastAsiaTheme="minorEastAsia" w:cs="Times New Roman"/>
              <w:b w:val="0"/>
              <w:noProof/>
              <w:sz w:val="22"/>
              <w:szCs w:val="22"/>
            </w:rPr>
          </w:pPr>
          <w:hyperlink w:anchor="_Toc220662005" w:history="1">
            <w:r w:rsidRPr="00084F2E">
              <w:rPr>
                <w:rStyle w:val="Hyperlink"/>
                <w:rFonts w:cs="Times New Roman"/>
                <w:b w:val="0"/>
                <w:noProof/>
                <w:color w:val="auto"/>
              </w:rPr>
              <w:t>2.2.2 New Trade Theory</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_Toc220662005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12</w:t>
            </w:r>
            <w:r w:rsidRPr="00084F2E">
              <w:rPr>
                <w:rFonts w:cs="Times New Roman"/>
                <w:b w:val="0"/>
                <w:noProof/>
                <w:webHidden/>
              </w:rPr>
              <w:fldChar w:fldCharType="end"/>
            </w:r>
          </w:hyperlink>
        </w:p>
        <w:p w14:paraId="2264048E" w14:textId="744BFE0E" w:rsidR="00DF3DF8" w:rsidRPr="00084F2E" w:rsidRDefault="00DF3DF8">
          <w:pPr>
            <w:pStyle w:val="TOC3"/>
            <w:tabs>
              <w:tab w:val="right" w:leader="dot" w:pos="9350"/>
            </w:tabs>
            <w:rPr>
              <w:rFonts w:eastAsiaTheme="minorEastAsia" w:cs="Times New Roman"/>
              <w:b w:val="0"/>
              <w:noProof/>
              <w:sz w:val="22"/>
              <w:szCs w:val="22"/>
            </w:rPr>
          </w:pPr>
          <w:hyperlink w:anchor="_Toc220662006" w:history="1">
            <w:r w:rsidRPr="00084F2E">
              <w:rPr>
                <w:rStyle w:val="Hyperlink"/>
                <w:rFonts w:eastAsiaTheme="majorEastAsia" w:cs="Times New Roman"/>
                <w:b w:val="0"/>
                <w:bCs/>
                <w:noProof/>
                <w:color w:val="auto"/>
                <w:shd w:val="clear" w:color="auto" w:fill="FFFFFF"/>
              </w:rPr>
              <w:t>2.2.3 Porter's Diamond Model</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_Toc220662006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13</w:t>
            </w:r>
            <w:r w:rsidRPr="00084F2E">
              <w:rPr>
                <w:rFonts w:cs="Times New Roman"/>
                <w:b w:val="0"/>
                <w:noProof/>
                <w:webHidden/>
              </w:rPr>
              <w:fldChar w:fldCharType="end"/>
            </w:r>
          </w:hyperlink>
        </w:p>
        <w:p w14:paraId="720F6FBC" w14:textId="0A2EFF76" w:rsidR="00DF3DF8" w:rsidRPr="00084F2E" w:rsidRDefault="00DF3DF8">
          <w:pPr>
            <w:pStyle w:val="TOC3"/>
            <w:tabs>
              <w:tab w:val="right" w:leader="dot" w:pos="9350"/>
            </w:tabs>
            <w:rPr>
              <w:rFonts w:eastAsiaTheme="minorEastAsia" w:cs="Times New Roman"/>
              <w:b w:val="0"/>
              <w:noProof/>
              <w:sz w:val="22"/>
              <w:szCs w:val="22"/>
            </w:rPr>
          </w:pPr>
          <w:hyperlink w:anchor="_Toc220662007" w:history="1">
            <w:r w:rsidRPr="00084F2E">
              <w:rPr>
                <w:rStyle w:val="Hyperlink"/>
                <w:rFonts w:cs="Times New Roman"/>
                <w:b w:val="0"/>
                <w:noProof/>
                <w:color w:val="auto"/>
              </w:rPr>
              <w:t>2.2.4 Sustainable Development Theory</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_Toc220662007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13</w:t>
            </w:r>
            <w:r w:rsidRPr="00084F2E">
              <w:rPr>
                <w:rFonts w:cs="Times New Roman"/>
                <w:b w:val="0"/>
                <w:noProof/>
                <w:webHidden/>
              </w:rPr>
              <w:fldChar w:fldCharType="end"/>
            </w:r>
          </w:hyperlink>
        </w:p>
        <w:p w14:paraId="553E6952" w14:textId="44396611" w:rsidR="00DF3DF8" w:rsidRPr="00084F2E" w:rsidRDefault="00DF3DF8">
          <w:pPr>
            <w:pStyle w:val="TOC3"/>
            <w:tabs>
              <w:tab w:val="right" w:leader="dot" w:pos="9350"/>
            </w:tabs>
            <w:rPr>
              <w:rFonts w:eastAsiaTheme="minorEastAsia" w:cs="Times New Roman"/>
              <w:b w:val="0"/>
              <w:noProof/>
              <w:sz w:val="22"/>
              <w:szCs w:val="22"/>
            </w:rPr>
          </w:pPr>
          <w:hyperlink w:anchor="_Toc220662008" w:history="1">
            <w:r w:rsidRPr="00084F2E">
              <w:rPr>
                <w:rStyle w:val="Hyperlink"/>
                <w:rFonts w:eastAsiaTheme="majorEastAsia" w:cs="Times New Roman"/>
                <w:b w:val="0"/>
                <w:bCs/>
                <w:noProof/>
                <w:color w:val="auto"/>
                <w:shd w:val="clear" w:color="auto" w:fill="FFFFFF"/>
              </w:rPr>
              <w:t>2.2.5 Institutional Theory</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_Toc220662008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13</w:t>
            </w:r>
            <w:r w:rsidRPr="00084F2E">
              <w:rPr>
                <w:rFonts w:cs="Times New Roman"/>
                <w:b w:val="0"/>
                <w:noProof/>
                <w:webHidden/>
              </w:rPr>
              <w:fldChar w:fldCharType="end"/>
            </w:r>
          </w:hyperlink>
        </w:p>
        <w:p w14:paraId="565B4987" w14:textId="16DBDB4B" w:rsidR="00DF3DF8" w:rsidRPr="00084F2E" w:rsidRDefault="00DF3DF8">
          <w:pPr>
            <w:pStyle w:val="TOC2"/>
            <w:tabs>
              <w:tab w:val="right" w:leader="dot" w:pos="9350"/>
            </w:tabs>
            <w:rPr>
              <w:rFonts w:eastAsiaTheme="minorEastAsia" w:cs="Times New Roman"/>
              <w:b w:val="0"/>
              <w:noProof/>
              <w:sz w:val="22"/>
              <w:szCs w:val="22"/>
            </w:rPr>
          </w:pPr>
          <w:hyperlink w:anchor="_Toc220662009" w:history="1">
            <w:r w:rsidRPr="00084F2E">
              <w:rPr>
                <w:rStyle w:val="Hyperlink"/>
                <w:rFonts w:eastAsiaTheme="majorEastAsia" w:cs="Times New Roman"/>
                <w:b w:val="0"/>
                <w:bCs/>
                <w:noProof/>
                <w:color w:val="auto"/>
              </w:rPr>
              <w:t>2.3. Empirical studies review</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_Toc220662009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13</w:t>
            </w:r>
            <w:r w:rsidRPr="00084F2E">
              <w:rPr>
                <w:rFonts w:cs="Times New Roman"/>
                <w:b w:val="0"/>
                <w:noProof/>
                <w:webHidden/>
              </w:rPr>
              <w:fldChar w:fldCharType="end"/>
            </w:r>
          </w:hyperlink>
        </w:p>
        <w:p w14:paraId="0720989D" w14:textId="09E7CFE1" w:rsidR="00DF3DF8" w:rsidRPr="00084F2E" w:rsidRDefault="00DF3DF8">
          <w:pPr>
            <w:pStyle w:val="TOC3"/>
            <w:tabs>
              <w:tab w:val="right" w:leader="dot" w:pos="9350"/>
            </w:tabs>
            <w:rPr>
              <w:rFonts w:eastAsiaTheme="minorEastAsia" w:cs="Times New Roman"/>
              <w:b w:val="0"/>
              <w:noProof/>
              <w:sz w:val="22"/>
              <w:szCs w:val="22"/>
            </w:rPr>
          </w:pPr>
          <w:hyperlink w:anchor="_Toc220662010" w:history="1">
            <w:r w:rsidRPr="00084F2E">
              <w:rPr>
                <w:rStyle w:val="Hyperlink"/>
                <w:rFonts w:cs="Times New Roman"/>
                <w:b w:val="0"/>
                <w:bCs/>
                <w:noProof/>
                <w:color w:val="auto"/>
              </w:rPr>
              <w:t>Summary of Empirical Research on Agricultural Exports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_Toc220662010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17</w:t>
            </w:r>
            <w:r w:rsidRPr="00084F2E">
              <w:rPr>
                <w:rFonts w:cs="Times New Roman"/>
                <w:b w:val="0"/>
                <w:noProof/>
                <w:webHidden/>
              </w:rPr>
              <w:fldChar w:fldCharType="end"/>
            </w:r>
          </w:hyperlink>
        </w:p>
        <w:p w14:paraId="088B66FA" w14:textId="658FD36F" w:rsidR="00DF3DF8" w:rsidRPr="00084F2E" w:rsidRDefault="00DF3DF8">
          <w:pPr>
            <w:pStyle w:val="TOC2"/>
            <w:tabs>
              <w:tab w:val="right" w:leader="dot" w:pos="9350"/>
            </w:tabs>
            <w:rPr>
              <w:rFonts w:eastAsiaTheme="minorEastAsia" w:cs="Times New Roman"/>
              <w:b w:val="0"/>
              <w:noProof/>
              <w:sz w:val="22"/>
              <w:szCs w:val="22"/>
            </w:rPr>
          </w:pPr>
          <w:hyperlink w:anchor="_Toc220662011" w:history="1">
            <w:r w:rsidRPr="00084F2E">
              <w:rPr>
                <w:rStyle w:val="Hyperlink"/>
                <w:rFonts w:eastAsiaTheme="majorEastAsia" w:cs="Times New Roman"/>
                <w:b w:val="0"/>
                <w:bCs/>
                <w:noProof/>
                <w:color w:val="auto"/>
              </w:rPr>
              <w:t>2.4. Research Gap</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_Toc220662011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19</w:t>
            </w:r>
            <w:r w:rsidRPr="00084F2E">
              <w:rPr>
                <w:rFonts w:cs="Times New Roman"/>
                <w:b w:val="0"/>
                <w:noProof/>
                <w:webHidden/>
              </w:rPr>
              <w:fldChar w:fldCharType="end"/>
            </w:r>
          </w:hyperlink>
        </w:p>
        <w:p w14:paraId="66FA312D" w14:textId="529A0EF3" w:rsidR="00DF3DF8" w:rsidRPr="00084F2E" w:rsidRDefault="00DF3DF8">
          <w:pPr>
            <w:pStyle w:val="TOC2"/>
            <w:tabs>
              <w:tab w:val="right" w:leader="dot" w:pos="9350"/>
            </w:tabs>
            <w:rPr>
              <w:rFonts w:eastAsiaTheme="minorEastAsia" w:cs="Times New Roman"/>
              <w:b w:val="0"/>
              <w:noProof/>
              <w:sz w:val="22"/>
              <w:szCs w:val="22"/>
            </w:rPr>
          </w:pPr>
          <w:hyperlink w:anchor="_Toc220662012" w:history="1">
            <w:r w:rsidRPr="00084F2E">
              <w:rPr>
                <w:rStyle w:val="Hyperlink"/>
                <w:rFonts w:eastAsiaTheme="majorEastAsia" w:cs="Times New Roman"/>
                <w:b w:val="0"/>
                <w:bCs/>
                <w:iCs/>
                <w:noProof/>
                <w:color w:val="auto"/>
              </w:rPr>
              <w:t>2.5. Conceptual framework of the study</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_Toc220662012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21</w:t>
            </w:r>
            <w:r w:rsidRPr="00084F2E">
              <w:rPr>
                <w:rFonts w:cs="Times New Roman"/>
                <w:b w:val="0"/>
                <w:noProof/>
                <w:webHidden/>
              </w:rPr>
              <w:fldChar w:fldCharType="end"/>
            </w:r>
          </w:hyperlink>
        </w:p>
        <w:p w14:paraId="273D7992" w14:textId="4109CF7D" w:rsidR="00DF3DF8" w:rsidRPr="00084F2E" w:rsidRDefault="00DF3DF8">
          <w:pPr>
            <w:pStyle w:val="TOC1"/>
            <w:tabs>
              <w:tab w:val="right" w:leader="dot" w:pos="9350"/>
            </w:tabs>
            <w:rPr>
              <w:rFonts w:eastAsiaTheme="minorEastAsia" w:cs="Times New Roman"/>
              <w:b w:val="0"/>
              <w:noProof/>
              <w:sz w:val="22"/>
              <w:szCs w:val="22"/>
            </w:rPr>
          </w:pPr>
          <w:hyperlink w:anchor="_Toc220662013" w:history="1">
            <w:r w:rsidRPr="00084F2E">
              <w:rPr>
                <w:rStyle w:val="Hyperlink"/>
                <w:rFonts w:eastAsiaTheme="majorEastAsia" w:cs="Times New Roman"/>
                <w:b w:val="0"/>
                <w:bCs/>
                <w:noProof/>
                <w:color w:val="auto"/>
              </w:rPr>
              <w:t>CHAPTER THREE</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_Toc220662013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22</w:t>
            </w:r>
            <w:r w:rsidRPr="00084F2E">
              <w:rPr>
                <w:rFonts w:cs="Times New Roman"/>
                <w:b w:val="0"/>
                <w:noProof/>
                <w:webHidden/>
              </w:rPr>
              <w:fldChar w:fldCharType="end"/>
            </w:r>
          </w:hyperlink>
        </w:p>
        <w:p w14:paraId="7C6D90EE" w14:textId="2C2D6ADD" w:rsidR="00DF3DF8" w:rsidRPr="00084F2E" w:rsidRDefault="00DF3DF8">
          <w:pPr>
            <w:pStyle w:val="TOC1"/>
            <w:tabs>
              <w:tab w:val="right" w:leader="dot" w:pos="9350"/>
            </w:tabs>
            <w:rPr>
              <w:rFonts w:eastAsiaTheme="minorEastAsia" w:cs="Times New Roman"/>
              <w:b w:val="0"/>
              <w:noProof/>
              <w:sz w:val="22"/>
              <w:szCs w:val="22"/>
            </w:rPr>
          </w:pPr>
          <w:hyperlink w:anchor="_Toc220662014" w:history="1">
            <w:r w:rsidRPr="00084F2E">
              <w:rPr>
                <w:rStyle w:val="Hyperlink"/>
                <w:rFonts w:eastAsiaTheme="majorEastAsia" w:cs="Times New Roman"/>
                <w:b w:val="0"/>
                <w:bCs/>
                <w:noProof/>
                <w:color w:val="auto"/>
              </w:rPr>
              <w:t>RESEARCH METHODOLOGY</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_Toc220662014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22</w:t>
            </w:r>
            <w:r w:rsidRPr="00084F2E">
              <w:rPr>
                <w:rFonts w:cs="Times New Roman"/>
                <w:b w:val="0"/>
                <w:noProof/>
                <w:webHidden/>
              </w:rPr>
              <w:fldChar w:fldCharType="end"/>
            </w:r>
          </w:hyperlink>
        </w:p>
        <w:p w14:paraId="125DF1D3" w14:textId="6B3B7537" w:rsidR="00DF3DF8" w:rsidRPr="00084F2E" w:rsidRDefault="00DF3DF8">
          <w:pPr>
            <w:pStyle w:val="TOC2"/>
            <w:tabs>
              <w:tab w:val="right" w:leader="dot" w:pos="9350"/>
            </w:tabs>
            <w:rPr>
              <w:rFonts w:eastAsiaTheme="minorEastAsia" w:cs="Times New Roman"/>
              <w:b w:val="0"/>
              <w:noProof/>
              <w:sz w:val="22"/>
              <w:szCs w:val="22"/>
            </w:rPr>
          </w:pPr>
          <w:hyperlink w:anchor="_Toc220662015" w:history="1">
            <w:r w:rsidRPr="00084F2E">
              <w:rPr>
                <w:rStyle w:val="Hyperlink"/>
                <w:rFonts w:eastAsiaTheme="majorEastAsia" w:cs="Times New Roman"/>
                <w:b w:val="0"/>
                <w:bCs/>
                <w:noProof/>
                <w:color w:val="auto"/>
              </w:rPr>
              <w:t>3.2. Research Approach</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_Toc220662015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22</w:t>
            </w:r>
            <w:r w:rsidRPr="00084F2E">
              <w:rPr>
                <w:rFonts w:cs="Times New Roman"/>
                <w:b w:val="0"/>
                <w:noProof/>
                <w:webHidden/>
              </w:rPr>
              <w:fldChar w:fldCharType="end"/>
            </w:r>
          </w:hyperlink>
        </w:p>
        <w:p w14:paraId="3912ECC4" w14:textId="5F8F9122" w:rsidR="00DF3DF8" w:rsidRPr="00084F2E" w:rsidRDefault="00DF3DF8">
          <w:pPr>
            <w:pStyle w:val="TOC2"/>
            <w:tabs>
              <w:tab w:val="right" w:leader="dot" w:pos="9350"/>
            </w:tabs>
            <w:rPr>
              <w:rFonts w:eastAsiaTheme="minorEastAsia" w:cs="Times New Roman"/>
              <w:b w:val="0"/>
              <w:noProof/>
              <w:sz w:val="22"/>
              <w:szCs w:val="22"/>
            </w:rPr>
          </w:pPr>
          <w:hyperlink w:anchor="_Toc220662016" w:history="1">
            <w:r w:rsidRPr="00084F2E">
              <w:rPr>
                <w:rStyle w:val="Hyperlink"/>
                <w:rFonts w:eastAsiaTheme="majorEastAsia" w:cs="Times New Roman"/>
                <w:b w:val="0"/>
                <w:bCs/>
                <w:noProof/>
                <w:color w:val="auto"/>
              </w:rPr>
              <w:t>3.3. Study Design</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_Toc220662016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24</w:t>
            </w:r>
            <w:r w:rsidRPr="00084F2E">
              <w:rPr>
                <w:rFonts w:cs="Times New Roman"/>
                <w:b w:val="0"/>
                <w:noProof/>
                <w:webHidden/>
              </w:rPr>
              <w:fldChar w:fldCharType="end"/>
            </w:r>
          </w:hyperlink>
        </w:p>
        <w:p w14:paraId="2611EF20" w14:textId="37BCF47A" w:rsidR="00DF3DF8" w:rsidRPr="00084F2E" w:rsidRDefault="00DF3DF8">
          <w:pPr>
            <w:pStyle w:val="TOC2"/>
            <w:tabs>
              <w:tab w:val="right" w:leader="dot" w:pos="9350"/>
            </w:tabs>
            <w:rPr>
              <w:rFonts w:eastAsiaTheme="minorEastAsia" w:cs="Times New Roman"/>
              <w:b w:val="0"/>
              <w:noProof/>
              <w:sz w:val="22"/>
              <w:szCs w:val="22"/>
            </w:rPr>
          </w:pPr>
          <w:hyperlink w:anchor="_Toc220662017" w:history="1">
            <w:r w:rsidRPr="00084F2E">
              <w:rPr>
                <w:rStyle w:val="Hyperlink"/>
                <w:rFonts w:eastAsiaTheme="majorEastAsia" w:cs="Times New Roman"/>
                <w:b w:val="0"/>
                <w:bCs/>
                <w:noProof/>
                <w:color w:val="auto"/>
              </w:rPr>
              <w:t>3.4. Data Type and sources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_Toc220662017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25</w:t>
            </w:r>
            <w:r w:rsidRPr="00084F2E">
              <w:rPr>
                <w:rFonts w:cs="Times New Roman"/>
                <w:b w:val="0"/>
                <w:noProof/>
                <w:webHidden/>
              </w:rPr>
              <w:fldChar w:fldCharType="end"/>
            </w:r>
          </w:hyperlink>
        </w:p>
        <w:p w14:paraId="190F62E3" w14:textId="13982FB8" w:rsidR="00DF3DF8" w:rsidRPr="00084F2E" w:rsidRDefault="00DF3DF8">
          <w:pPr>
            <w:pStyle w:val="TOC2"/>
            <w:tabs>
              <w:tab w:val="right" w:leader="dot" w:pos="9350"/>
            </w:tabs>
            <w:rPr>
              <w:rFonts w:eastAsiaTheme="minorEastAsia" w:cs="Times New Roman"/>
              <w:b w:val="0"/>
              <w:noProof/>
              <w:sz w:val="22"/>
              <w:szCs w:val="22"/>
            </w:rPr>
          </w:pPr>
          <w:hyperlink w:anchor="_Toc220662018" w:history="1">
            <w:r w:rsidRPr="00084F2E">
              <w:rPr>
                <w:rStyle w:val="Hyperlink"/>
                <w:rFonts w:eastAsiaTheme="majorEastAsia" w:cs="Times New Roman"/>
                <w:b w:val="0"/>
                <w:bCs/>
                <w:noProof/>
                <w:color w:val="auto"/>
              </w:rPr>
              <w:t>3.5. Period of the Study</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_Toc220662018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25</w:t>
            </w:r>
            <w:r w:rsidRPr="00084F2E">
              <w:rPr>
                <w:rFonts w:cs="Times New Roman"/>
                <w:b w:val="0"/>
                <w:noProof/>
                <w:webHidden/>
              </w:rPr>
              <w:fldChar w:fldCharType="end"/>
            </w:r>
          </w:hyperlink>
        </w:p>
        <w:p w14:paraId="137BDCCD" w14:textId="519919BF" w:rsidR="00DF3DF8" w:rsidRPr="00084F2E" w:rsidRDefault="00DF3DF8">
          <w:pPr>
            <w:pStyle w:val="TOC2"/>
            <w:tabs>
              <w:tab w:val="right" w:leader="dot" w:pos="9350"/>
            </w:tabs>
            <w:rPr>
              <w:rFonts w:eastAsiaTheme="minorEastAsia" w:cs="Times New Roman"/>
              <w:b w:val="0"/>
              <w:noProof/>
              <w:sz w:val="22"/>
              <w:szCs w:val="22"/>
            </w:rPr>
          </w:pPr>
          <w:hyperlink w:anchor="_Toc220662020" w:history="1">
            <w:r w:rsidRPr="00084F2E">
              <w:rPr>
                <w:rStyle w:val="Hyperlink"/>
                <w:rFonts w:eastAsiaTheme="majorEastAsia" w:cs="Times New Roman"/>
                <w:b w:val="0"/>
                <w:bCs/>
                <w:noProof/>
                <w:color w:val="auto"/>
              </w:rPr>
              <w:t>3.6. Model Specification</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_Toc220662020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26</w:t>
            </w:r>
            <w:r w:rsidRPr="00084F2E">
              <w:rPr>
                <w:rFonts w:cs="Times New Roman"/>
                <w:b w:val="0"/>
                <w:noProof/>
                <w:webHidden/>
              </w:rPr>
              <w:fldChar w:fldCharType="end"/>
            </w:r>
          </w:hyperlink>
        </w:p>
        <w:p w14:paraId="11D2539B" w14:textId="64800BC8" w:rsidR="00DF3DF8" w:rsidRPr="00084F2E" w:rsidRDefault="00DF3DF8">
          <w:pPr>
            <w:pStyle w:val="TOC2"/>
            <w:tabs>
              <w:tab w:val="right" w:leader="dot" w:pos="9350"/>
            </w:tabs>
            <w:rPr>
              <w:rFonts w:eastAsiaTheme="minorEastAsia" w:cs="Times New Roman"/>
              <w:b w:val="0"/>
              <w:noProof/>
              <w:sz w:val="22"/>
              <w:szCs w:val="22"/>
            </w:rPr>
          </w:pPr>
          <w:hyperlink w:anchor="_Toc220662021" w:history="1">
            <w:r w:rsidRPr="00084F2E">
              <w:rPr>
                <w:rStyle w:val="Hyperlink"/>
                <w:rFonts w:eastAsiaTheme="majorEastAsia" w:cs="Times New Roman"/>
                <w:b w:val="0"/>
                <w:bCs/>
                <w:noProof/>
                <w:color w:val="auto"/>
              </w:rPr>
              <w:t>3.7. Description of study variables and measurements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_Toc220662021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28</w:t>
            </w:r>
            <w:r w:rsidRPr="00084F2E">
              <w:rPr>
                <w:rFonts w:cs="Times New Roman"/>
                <w:b w:val="0"/>
                <w:noProof/>
                <w:webHidden/>
              </w:rPr>
              <w:fldChar w:fldCharType="end"/>
            </w:r>
          </w:hyperlink>
        </w:p>
        <w:p w14:paraId="4CDE1E73" w14:textId="777A918E" w:rsidR="00DF3DF8" w:rsidRPr="00084F2E" w:rsidRDefault="00DF3DF8">
          <w:pPr>
            <w:pStyle w:val="TOC2"/>
            <w:tabs>
              <w:tab w:val="right" w:leader="dot" w:pos="9350"/>
            </w:tabs>
            <w:rPr>
              <w:rFonts w:eastAsiaTheme="minorEastAsia" w:cs="Times New Roman"/>
              <w:b w:val="0"/>
              <w:noProof/>
              <w:sz w:val="22"/>
              <w:szCs w:val="22"/>
            </w:rPr>
          </w:pPr>
          <w:hyperlink w:anchor="_Toc220662022" w:history="1">
            <w:r w:rsidRPr="00084F2E">
              <w:rPr>
                <w:rStyle w:val="Hyperlink"/>
                <w:rFonts w:eastAsiaTheme="majorEastAsia" w:cs="Times New Roman"/>
                <w:b w:val="0"/>
                <w:bCs/>
                <w:noProof/>
                <w:color w:val="auto"/>
              </w:rPr>
              <w:t>3.8. Operational definition of study variables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_Toc220662022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30</w:t>
            </w:r>
            <w:r w:rsidRPr="00084F2E">
              <w:rPr>
                <w:rFonts w:cs="Times New Roman"/>
                <w:b w:val="0"/>
                <w:noProof/>
                <w:webHidden/>
              </w:rPr>
              <w:fldChar w:fldCharType="end"/>
            </w:r>
          </w:hyperlink>
        </w:p>
        <w:p w14:paraId="00430403" w14:textId="3797333A" w:rsidR="00DF3DF8" w:rsidRPr="00084F2E" w:rsidRDefault="00DF3DF8">
          <w:pPr>
            <w:pStyle w:val="TOC2"/>
            <w:tabs>
              <w:tab w:val="right" w:leader="dot" w:pos="9350"/>
            </w:tabs>
            <w:rPr>
              <w:rFonts w:eastAsiaTheme="minorEastAsia" w:cs="Times New Roman"/>
              <w:b w:val="0"/>
              <w:noProof/>
              <w:sz w:val="22"/>
              <w:szCs w:val="22"/>
            </w:rPr>
          </w:pPr>
          <w:hyperlink w:anchor="_Toc220662023" w:history="1">
            <w:r w:rsidRPr="00084F2E">
              <w:rPr>
                <w:rStyle w:val="Hyperlink"/>
                <w:rFonts w:cs="Times New Roman"/>
                <w:b w:val="0"/>
                <w:noProof/>
                <w:color w:val="auto"/>
              </w:rPr>
              <w:t>3.9 Method of Data Analysis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_Toc220662023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32</w:t>
            </w:r>
            <w:r w:rsidRPr="00084F2E">
              <w:rPr>
                <w:rFonts w:cs="Times New Roman"/>
                <w:b w:val="0"/>
                <w:noProof/>
                <w:webHidden/>
              </w:rPr>
              <w:fldChar w:fldCharType="end"/>
            </w:r>
          </w:hyperlink>
        </w:p>
        <w:p w14:paraId="25FD9F96" w14:textId="507FB4AE" w:rsidR="00DF3DF8" w:rsidRPr="00084F2E" w:rsidRDefault="00DF3DF8">
          <w:pPr>
            <w:pStyle w:val="TOC3"/>
            <w:tabs>
              <w:tab w:val="right" w:leader="dot" w:pos="9350"/>
            </w:tabs>
            <w:rPr>
              <w:rFonts w:eastAsiaTheme="minorEastAsia" w:cs="Times New Roman"/>
              <w:b w:val="0"/>
              <w:noProof/>
              <w:sz w:val="22"/>
              <w:szCs w:val="22"/>
            </w:rPr>
          </w:pPr>
          <w:hyperlink w:anchor="_Toc220662024" w:history="1">
            <w:r w:rsidRPr="00084F2E">
              <w:rPr>
                <w:rStyle w:val="Hyperlink"/>
                <w:rFonts w:cs="Times New Roman"/>
                <w:b w:val="0"/>
                <w:noProof/>
                <w:color w:val="auto"/>
              </w:rPr>
              <w:t>3.9.1 Descriptive analysis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_Toc220662024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32</w:t>
            </w:r>
            <w:r w:rsidRPr="00084F2E">
              <w:rPr>
                <w:rFonts w:cs="Times New Roman"/>
                <w:b w:val="0"/>
                <w:noProof/>
                <w:webHidden/>
              </w:rPr>
              <w:fldChar w:fldCharType="end"/>
            </w:r>
          </w:hyperlink>
        </w:p>
        <w:p w14:paraId="0DE015B0" w14:textId="32406946" w:rsidR="00DF3DF8" w:rsidRPr="00084F2E" w:rsidRDefault="00DF3DF8">
          <w:pPr>
            <w:pStyle w:val="TOC3"/>
            <w:tabs>
              <w:tab w:val="right" w:leader="dot" w:pos="9350"/>
            </w:tabs>
            <w:rPr>
              <w:rFonts w:eastAsiaTheme="minorEastAsia" w:cs="Times New Roman"/>
              <w:b w:val="0"/>
              <w:noProof/>
              <w:sz w:val="22"/>
              <w:szCs w:val="22"/>
            </w:rPr>
          </w:pPr>
          <w:hyperlink w:anchor="_Toc220662025" w:history="1">
            <w:r w:rsidRPr="00084F2E">
              <w:rPr>
                <w:rStyle w:val="Hyperlink"/>
                <w:rFonts w:cs="Times New Roman"/>
                <w:b w:val="0"/>
                <w:noProof/>
                <w:color w:val="auto"/>
              </w:rPr>
              <w:t>3.9.2 Econometric analysis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_Toc220662025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32</w:t>
            </w:r>
            <w:r w:rsidRPr="00084F2E">
              <w:rPr>
                <w:rFonts w:cs="Times New Roman"/>
                <w:b w:val="0"/>
                <w:noProof/>
                <w:webHidden/>
              </w:rPr>
              <w:fldChar w:fldCharType="end"/>
            </w:r>
          </w:hyperlink>
        </w:p>
        <w:p w14:paraId="68ACBAC8" w14:textId="338E0F96" w:rsidR="00DF3DF8" w:rsidRPr="00084F2E" w:rsidRDefault="00DF3DF8">
          <w:pPr>
            <w:pStyle w:val="TOC1"/>
            <w:tabs>
              <w:tab w:val="right" w:leader="dot" w:pos="9350"/>
            </w:tabs>
            <w:rPr>
              <w:rFonts w:eastAsiaTheme="minorEastAsia" w:cs="Times New Roman"/>
              <w:b w:val="0"/>
              <w:noProof/>
              <w:sz w:val="22"/>
              <w:szCs w:val="22"/>
            </w:rPr>
          </w:pPr>
          <w:hyperlink w:anchor="_Toc220662026" w:history="1">
            <w:r w:rsidRPr="00084F2E">
              <w:rPr>
                <w:rStyle w:val="Hyperlink"/>
                <w:rFonts w:eastAsiaTheme="majorEastAsia" w:cs="Times New Roman"/>
                <w:b w:val="0"/>
                <w:bCs/>
                <w:noProof/>
                <w:color w:val="auto"/>
              </w:rPr>
              <w:t>CHAPTER FOUR</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_Toc220662026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35</w:t>
            </w:r>
            <w:r w:rsidRPr="00084F2E">
              <w:rPr>
                <w:rFonts w:cs="Times New Roman"/>
                <w:b w:val="0"/>
                <w:noProof/>
                <w:webHidden/>
              </w:rPr>
              <w:fldChar w:fldCharType="end"/>
            </w:r>
          </w:hyperlink>
        </w:p>
        <w:p w14:paraId="45866D30" w14:textId="08DF56F9" w:rsidR="00DF3DF8" w:rsidRPr="00084F2E" w:rsidRDefault="00DF3DF8">
          <w:pPr>
            <w:pStyle w:val="TOC1"/>
            <w:tabs>
              <w:tab w:val="right" w:leader="dot" w:pos="9350"/>
            </w:tabs>
            <w:rPr>
              <w:rFonts w:eastAsiaTheme="minorEastAsia" w:cs="Times New Roman"/>
              <w:b w:val="0"/>
              <w:noProof/>
              <w:sz w:val="22"/>
              <w:szCs w:val="22"/>
            </w:rPr>
          </w:pPr>
          <w:hyperlink w:anchor="_Toc220662027" w:history="1">
            <w:r w:rsidRPr="00084F2E">
              <w:rPr>
                <w:rStyle w:val="Hyperlink"/>
                <w:rFonts w:eastAsiaTheme="majorEastAsia" w:cs="Times New Roman"/>
                <w:b w:val="0"/>
                <w:bCs/>
                <w:noProof/>
                <w:color w:val="auto"/>
              </w:rPr>
              <w:t>RESULTS AND DICUSSION</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_Toc220662027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35</w:t>
            </w:r>
            <w:r w:rsidRPr="00084F2E">
              <w:rPr>
                <w:rFonts w:cs="Times New Roman"/>
                <w:b w:val="0"/>
                <w:noProof/>
                <w:webHidden/>
              </w:rPr>
              <w:fldChar w:fldCharType="end"/>
            </w:r>
          </w:hyperlink>
        </w:p>
        <w:p w14:paraId="51179ECE" w14:textId="06DB703F" w:rsidR="00DF3DF8" w:rsidRPr="00084F2E" w:rsidRDefault="00DF3DF8">
          <w:pPr>
            <w:pStyle w:val="TOC2"/>
            <w:tabs>
              <w:tab w:val="right" w:leader="dot" w:pos="9350"/>
            </w:tabs>
            <w:rPr>
              <w:rFonts w:eastAsiaTheme="minorEastAsia" w:cs="Times New Roman"/>
              <w:b w:val="0"/>
              <w:noProof/>
              <w:sz w:val="22"/>
              <w:szCs w:val="22"/>
            </w:rPr>
          </w:pPr>
          <w:hyperlink w:anchor="_Toc220662028" w:history="1">
            <w:r w:rsidRPr="00084F2E">
              <w:rPr>
                <w:rStyle w:val="Hyperlink"/>
                <w:rFonts w:eastAsiaTheme="majorEastAsia" w:cs="Times New Roman"/>
                <w:b w:val="0"/>
                <w:bCs/>
                <w:noProof/>
                <w:color w:val="auto"/>
              </w:rPr>
              <w:t>4.1. Introduction</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_Toc220662028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35</w:t>
            </w:r>
            <w:r w:rsidRPr="00084F2E">
              <w:rPr>
                <w:rFonts w:cs="Times New Roman"/>
                <w:b w:val="0"/>
                <w:noProof/>
                <w:webHidden/>
              </w:rPr>
              <w:fldChar w:fldCharType="end"/>
            </w:r>
          </w:hyperlink>
        </w:p>
        <w:p w14:paraId="123432E9" w14:textId="178C9853" w:rsidR="00DF3DF8" w:rsidRPr="00084F2E" w:rsidRDefault="00DF3DF8">
          <w:pPr>
            <w:pStyle w:val="TOC2"/>
            <w:tabs>
              <w:tab w:val="right" w:leader="dot" w:pos="9350"/>
            </w:tabs>
            <w:rPr>
              <w:rFonts w:eastAsiaTheme="minorEastAsia" w:cs="Times New Roman"/>
              <w:b w:val="0"/>
              <w:noProof/>
              <w:sz w:val="22"/>
              <w:szCs w:val="22"/>
            </w:rPr>
          </w:pPr>
          <w:hyperlink w:anchor="_Toc220662029" w:history="1">
            <w:r w:rsidRPr="00084F2E">
              <w:rPr>
                <w:rStyle w:val="Hyperlink"/>
                <w:rFonts w:cs="Times New Roman"/>
                <w:b w:val="0"/>
                <w:noProof/>
                <w:color w:val="auto"/>
              </w:rPr>
              <w:t>4.2. Descriptive Analysis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_Toc220662029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35</w:t>
            </w:r>
            <w:r w:rsidRPr="00084F2E">
              <w:rPr>
                <w:rFonts w:cs="Times New Roman"/>
                <w:b w:val="0"/>
                <w:noProof/>
                <w:webHidden/>
              </w:rPr>
              <w:fldChar w:fldCharType="end"/>
            </w:r>
          </w:hyperlink>
        </w:p>
        <w:p w14:paraId="7791C199" w14:textId="090A5F06" w:rsidR="00DF3DF8" w:rsidRPr="00084F2E" w:rsidRDefault="00DF3DF8">
          <w:pPr>
            <w:pStyle w:val="TOC2"/>
            <w:tabs>
              <w:tab w:val="right" w:leader="dot" w:pos="9350"/>
            </w:tabs>
            <w:rPr>
              <w:rFonts w:eastAsiaTheme="minorEastAsia" w:cs="Times New Roman"/>
              <w:b w:val="0"/>
              <w:noProof/>
              <w:sz w:val="22"/>
              <w:szCs w:val="22"/>
            </w:rPr>
          </w:pPr>
          <w:hyperlink w:anchor="_Toc220662030" w:history="1">
            <w:r w:rsidRPr="00084F2E">
              <w:rPr>
                <w:rStyle w:val="Hyperlink"/>
                <w:rFonts w:cs="Times New Roman"/>
                <w:b w:val="0"/>
                <w:noProof/>
                <w:color w:val="auto"/>
              </w:rPr>
              <w:t>4.3. Trend Analysis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_Toc220662030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40</w:t>
            </w:r>
            <w:r w:rsidRPr="00084F2E">
              <w:rPr>
                <w:rFonts w:cs="Times New Roman"/>
                <w:b w:val="0"/>
                <w:noProof/>
                <w:webHidden/>
              </w:rPr>
              <w:fldChar w:fldCharType="end"/>
            </w:r>
          </w:hyperlink>
        </w:p>
        <w:p w14:paraId="2DBD0A30" w14:textId="0A806074" w:rsidR="00DF3DF8" w:rsidRPr="00084F2E" w:rsidRDefault="00DF3DF8">
          <w:pPr>
            <w:pStyle w:val="TOC2"/>
            <w:tabs>
              <w:tab w:val="right" w:leader="dot" w:pos="9350"/>
            </w:tabs>
            <w:rPr>
              <w:rFonts w:eastAsiaTheme="minorEastAsia" w:cs="Times New Roman"/>
              <w:b w:val="0"/>
              <w:noProof/>
              <w:sz w:val="22"/>
              <w:szCs w:val="22"/>
            </w:rPr>
          </w:pPr>
          <w:hyperlink w:anchor="_Toc220662031" w:history="1">
            <w:r w:rsidRPr="00084F2E">
              <w:rPr>
                <w:rStyle w:val="Hyperlink"/>
                <w:rFonts w:eastAsiaTheme="majorEastAsia" w:cs="Times New Roman"/>
                <w:b w:val="0"/>
                <w:bCs/>
                <w:noProof/>
                <w:color w:val="auto"/>
              </w:rPr>
              <w:t>4.3 Stationary and Non-Stationary Series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_Toc220662031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43</w:t>
            </w:r>
            <w:r w:rsidRPr="00084F2E">
              <w:rPr>
                <w:rFonts w:cs="Times New Roman"/>
                <w:b w:val="0"/>
                <w:noProof/>
                <w:webHidden/>
              </w:rPr>
              <w:fldChar w:fldCharType="end"/>
            </w:r>
          </w:hyperlink>
        </w:p>
        <w:p w14:paraId="483C93CD" w14:textId="68644DB8" w:rsidR="00DF3DF8" w:rsidRPr="00084F2E" w:rsidRDefault="00DF3DF8">
          <w:pPr>
            <w:pStyle w:val="TOC2"/>
            <w:tabs>
              <w:tab w:val="right" w:leader="dot" w:pos="9350"/>
            </w:tabs>
            <w:rPr>
              <w:rFonts w:eastAsiaTheme="minorEastAsia" w:cs="Times New Roman"/>
              <w:b w:val="0"/>
              <w:noProof/>
              <w:sz w:val="22"/>
              <w:szCs w:val="22"/>
            </w:rPr>
          </w:pPr>
          <w:hyperlink w:anchor="_Toc220662032" w:history="1">
            <w:r w:rsidRPr="00084F2E">
              <w:rPr>
                <w:rStyle w:val="Hyperlink"/>
                <w:rFonts w:cs="Times New Roman"/>
                <w:b w:val="0"/>
                <w:noProof/>
                <w:color w:val="auto"/>
              </w:rPr>
              <w:t>4.4 Econometric Analysis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_Toc220662032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45</w:t>
            </w:r>
            <w:r w:rsidRPr="00084F2E">
              <w:rPr>
                <w:rFonts w:cs="Times New Roman"/>
                <w:b w:val="0"/>
                <w:noProof/>
                <w:webHidden/>
              </w:rPr>
              <w:fldChar w:fldCharType="end"/>
            </w:r>
          </w:hyperlink>
        </w:p>
        <w:p w14:paraId="0EDA61CC" w14:textId="4BFACA96" w:rsidR="00DF3DF8" w:rsidRPr="00084F2E" w:rsidRDefault="00DF3DF8">
          <w:pPr>
            <w:pStyle w:val="TOC2"/>
            <w:tabs>
              <w:tab w:val="right" w:leader="dot" w:pos="9350"/>
            </w:tabs>
            <w:rPr>
              <w:rFonts w:eastAsiaTheme="minorEastAsia" w:cs="Times New Roman"/>
              <w:b w:val="0"/>
              <w:noProof/>
              <w:sz w:val="22"/>
              <w:szCs w:val="22"/>
            </w:rPr>
          </w:pPr>
          <w:hyperlink w:anchor="_Toc220662034" w:history="1">
            <w:r w:rsidRPr="00084F2E">
              <w:rPr>
                <w:rStyle w:val="Hyperlink"/>
                <w:rFonts w:cs="Times New Roman"/>
                <w:b w:val="0"/>
                <w:noProof/>
                <w:color w:val="auto"/>
              </w:rPr>
              <w:t>4.5 Error Correction Mechanism (ECM)</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_Toc220662034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51</w:t>
            </w:r>
            <w:r w:rsidRPr="00084F2E">
              <w:rPr>
                <w:rFonts w:cs="Times New Roman"/>
                <w:b w:val="0"/>
                <w:noProof/>
                <w:webHidden/>
              </w:rPr>
              <w:fldChar w:fldCharType="end"/>
            </w:r>
          </w:hyperlink>
        </w:p>
        <w:p w14:paraId="6AE6910B" w14:textId="2384694F" w:rsidR="00DF3DF8" w:rsidRPr="00084F2E" w:rsidRDefault="00DF3DF8">
          <w:pPr>
            <w:pStyle w:val="TOC2"/>
            <w:tabs>
              <w:tab w:val="right" w:leader="dot" w:pos="9350"/>
            </w:tabs>
            <w:rPr>
              <w:rFonts w:eastAsiaTheme="minorEastAsia" w:cs="Times New Roman"/>
              <w:b w:val="0"/>
              <w:noProof/>
              <w:sz w:val="22"/>
              <w:szCs w:val="22"/>
            </w:rPr>
          </w:pPr>
          <w:hyperlink w:anchor="_Toc220662035" w:history="1">
            <w:r w:rsidRPr="00084F2E">
              <w:rPr>
                <w:rStyle w:val="Hyperlink"/>
                <w:rFonts w:cs="Times New Roman"/>
                <w:b w:val="0"/>
                <w:noProof/>
                <w:color w:val="auto"/>
              </w:rPr>
              <w:t>4.6 Model Assumption tests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_Toc220662035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55</w:t>
            </w:r>
            <w:r w:rsidRPr="00084F2E">
              <w:rPr>
                <w:rFonts w:cs="Times New Roman"/>
                <w:b w:val="0"/>
                <w:noProof/>
                <w:webHidden/>
              </w:rPr>
              <w:fldChar w:fldCharType="end"/>
            </w:r>
          </w:hyperlink>
        </w:p>
        <w:p w14:paraId="2A574D35" w14:textId="33999F09" w:rsidR="00DF3DF8" w:rsidRPr="00084F2E" w:rsidRDefault="00DF3DF8">
          <w:pPr>
            <w:pStyle w:val="TOC3"/>
            <w:tabs>
              <w:tab w:val="right" w:leader="dot" w:pos="9350"/>
            </w:tabs>
            <w:rPr>
              <w:rFonts w:eastAsiaTheme="minorEastAsia" w:cs="Times New Roman"/>
              <w:b w:val="0"/>
              <w:noProof/>
              <w:sz w:val="22"/>
              <w:szCs w:val="22"/>
            </w:rPr>
          </w:pPr>
          <w:hyperlink w:anchor="_Toc220662036" w:history="1">
            <w:r w:rsidRPr="00084F2E">
              <w:rPr>
                <w:rStyle w:val="Hyperlink"/>
                <w:rFonts w:cs="Times New Roman"/>
                <w:b w:val="0"/>
                <w:noProof/>
                <w:color w:val="auto"/>
              </w:rPr>
              <w:t>4.6.1 Information Criteria (AIC &amp; BIC)</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_Toc220662036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55</w:t>
            </w:r>
            <w:r w:rsidRPr="00084F2E">
              <w:rPr>
                <w:rFonts w:cs="Times New Roman"/>
                <w:b w:val="0"/>
                <w:noProof/>
                <w:webHidden/>
              </w:rPr>
              <w:fldChar w:fldCharType="end"/>
            </w:r>
          </w:hyperlink>
        </w:p>
        <w:p w14:paraId="40580D6A" w14:textId="1B616608" w:rsidR="00DF3DF8" w:rsidRPr="00084F2E" w:rsidRDefault="00DF3DF8">
          <w:pPr>
            <w:pStyle w:val="TOC3"/>
            <w:tabs>
              <w:tab w:val="right" w:leader="dot" w:pos="9350"/>
            </w:tabs>
            <w:rPr>
              <w:rFonts w:eastAsiaTheme="minorEastAsia" w:cs="Times New Roman"/>
              <w:b w:val="0"/>
              <w:noProof/>
              <w:sz w:val="22"/>
              <w:szCs w:val="22"/>
            </w:rPr>
          </w:pPr>
          <w:hyperlink w:anchor="_Toc220662039" w:history="1">
            <w:r w:rsidRPr="00084F2E">
              <w:rPr>
                <w:rStyle w:val="Hyperlink"/>
                <w:rFonts w:cs="Times New Roman"/>
                <w:b w:val="0"/>
                <w:noProof/>
                <w:color w:val="auto"/>
              </w:rPr>
              <w:t>4.6.2. Test of auto correlation</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_Toc220662039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60</w:t>
            </w:r>
            <w:r w:rsidRPr="00084F2E">
              <w:rPr>
                <w:rFonts w:cs="Times New Roman"/>
                <w:b w:val="0"/>
                <w:noProof/>
                <w:webHidden/>
              </w:rPr>
              <w:fldChar w:fldCharType="end"/>
            </w:r>
          </w:hyperlink>
        </w:p>
        <w:p w14:paraId="743031DA" w14:textId="22502198" w:rsidR="00DF3DF8" w:rsidRPr="00084F2E" w:rsidRDefault="00DF3DF8">
          <w:pPr>
            <w:pStyle w:val="TOC3"/>
            <w:tabs>
              <w:tab w:val="right" w:leader="dot" w:pos="9350"/>
            </w:tabs>
            <w:rPr>
              <w:rFonts w:eastAsiaTheme="minorEastAsia" w:cs="Times New Roman"/>
              <w:b w:val="0"/>
              <w:noProof/>
              <w:sz w:val="22"/>
              <w:szCs w:val="22"/>
            </w:rPr>
          </w:pPr>
          <w:hyperlink w:anchor="_Toc220662041" w:history="1">
            <w:r w:rsidRPr="00084F2E">
              <w:rPr>
                <w:rStyle w:val="Hyperlink"/>
                <w:rFonts w:cs="Times New Roman"/>
                <w:b w:val="0"/>
                <w:noProof/>
                <w:color w:val="auto"/>
              </w:rPr>
              <w:t>4.6.3 Heteroskedasticity</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_Toc220662041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61</w:t>
            </w:r>
            <w:r w:rsidRPr="00084F2E">
              <w:rPr>
                <w:rFonts w:cs="Times New Roman"/>
                <w:b w:val="0"/>
                <w:noProof/>
                <w:webHidden/>
              </w:rPr>
              <w:fldChar w:fldCharType="end"/>
            </w:r>
          </w:hyperlink>
        </w:p>
        <w:p w14:paraId="77F56F2E" w14:textId="04A956DB" w:rsidR="00DF3DF8" w:rsidRPr="00084F2E" w:rsidRDefault="00DF3DF8">
          <w:pPr>
            <w:pStyle w:val="TOC3"/>
            <w:tabs>
              <w:tab w:val="right" w:leader="dot" w:pos="9350"/>
            </w:tabs>
            <w:rPr>
              <w:rFonts w:eastAsiaTheme="minorEastAsia" w:cs="Times New Roman"/>
              <w:b w:val="0"/>
              <w:noProof/>
              <w:sz w:val="22"/>
              <w:szCs w:val="22"/>
            </w:rPr>
          </w:pPr>
          <w:hyperlink w:anchor="_Toc220662042" w:history="1">
            <w:r w:rsidRPr="00084F2E">
              <w:rPr>
                <w:rStyle w:val="Hyperlink"/>
                <w:rFonts w:cs="Times New Roman"/>
                <w:b w:val="0"/>
                <w:noProof/>
                <w:color w:val="auto"/>
              </w:rPr>
              <w:t>4.6.4 Normality test</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_Toc220662042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62</w:t>
            </w:r>
            <w:r w:rsidRPr="00084F2E">
              <w:rPr>
                <w:rFonts w:cs="Times New Roman"/>
                <w:b w:val="0"/>
                <w:noProof/>
                <w:webHidden/>
              </w:rPr>
              <w:fldChar w:fldCharType="end"/>
            </w:r>
          </w:hyperlink>
        </w:p>
        <w:p w14:paraId="1DB722A3" w14:textId="7A8590BF" w:rsidR="00DF3DF8" w:rsidRPr="00084F2E" w:rsidRDefault="00DF3DF8">
          <w:pPr>
            <w:pStyle w:val="TOC1"/>
            <w:tabs>
              <w:tab w:val="right" w:leader="dot" w:pos="9350"/>
            </w:tabs>
            <w:rPr>
              <w:rFonts w:eastAsiaTheme="minorEastAsia" w:cs="Times New Roman"/>
              <w:b w:val="0"/>
              <w:noProof/>
              <w:sz w:val="22"/>
              <w:szCs w:val="22"/>
            </w:rPr>
          </w:pPr>
          <w:hyperlink w:anchor="_Toc220662043" w:history="1">
            <w:r w:rsidRPr="00084F2E">
              <w:rPr>
                <w:rStyle w:val="Hyperlink"/>
                <w:rFonts w:cs="Times New Roman"/>
                <w:b w:val="0"/>
                <w:noProof/>
                <w:color w:val="auto"/>
              </w:rPr>
              <w:t>CHAPTER FIVE</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_Toc220662043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63</w:t>
            </w:r>
            <w:r w:rsidRPr="00084F2E">
              <w:rPr>
                <w:rFonts w:cs="Times New Roman"/>
                <w:b w:val="0"/>
                <w:noProof/>
                <w:webHidden/>
              </w:rPr>
              <w:fldChar w:fldCharType="end"/>
            </w:r>
          </w:hyperlink>
        </w:p>
        <w:p w14:paraId="15B8827C" w14:textId="380E06EA" w:rsidR="00DF3DF8" w:rsidRPr="00084F2E" w:rsidRDefault="00DF3DF8">
          <w:pPr>
            <w:pStyle w:val="TOC1"/>
            <w:tabs>
              <w:tab w:val="right" w:leader="dot" w:pos="9350"/>
            </w:tabs>
            <w:rPr>
              <w:rFonts w:eastAsiaTheme="minorEastAsia" w:cs="Times New Roman"/>
              <w:b w:val="0"/>
              <w:noProof/>
              <w:sz w:val="22"/>
              <w:szCs w:val="22"/>
            </w:rPr>
          </w:pPr>
          <w:hyperlink w:anchor="_Toc220662044" w:history="1">
            <w:r w:rsidRPr="00084F2E">
              <w:rPr>
                <w:rStyle w:val="Hyperlink"/>
                <w:rFonts w:cs="Times New Roman"/>
                <w:b w:val="0"/>
                <w:noProof/>
                <w:color w:val="auto"/>
              </w:rPr>
              <w:t>SUMMARY OF FINDINGS, CONCLUSION, AND RECOMMENDATIONS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_Toc220662044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63</w:t>
            </w:r>
            <w:r w:rsidRPr="00084F2E">
              <w:rPr>
                <w:rFonts w:cs="Times New Roman"/>
                <w:b w:val="0"/>
                <w:noProof/>
                <w:webHidden/>
              </w:rPr>
              <w:fldChar w:fldCharType="end"/>
            </w:r>
          </w:hyperlink>
        </w:p>
        <w:p w14:paraId="62729C85" w14:textId="5710A55D" w:rsidR="00DF3DF8" w:rsidRPr="00084F2E" w:rsidRDefault="00DF3DF8">
          <w:pPr>
            <w:pStyle w:val="TOC2"/>
            <w:tabs>
              <w:tab w:val="right" w:leader="dot" w:pos="9350"/>
            </w:tabs>
            <w:rPr>
              <w:rFonts w:eastAsiaTheme="minorEastAsia" w:cs="Times New Roman"/>
              <w:b w:val="0"/>
              <w:noProof/>
              <w:sz w:val="22"/>
              <w:szCs w:val="22"/>
            </w:rPr>
          </w:pPr>
          <w:hyperlink w:anchor="_Toc220662045" w:history="1">
            <w:r w:rsidRPr="00084F2E">
              <w:rPr>
                <w:rStyle w:val="Hyperlink"/>
                <w:rFonts w:cs="Times New Roman"/>
                <w:b w:val="0"/>
                <w:noProof/>
                <w:color w:val="auto"/>
              </w:rPr>
              <w:t>5.1. Summary of Findings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_Toc220662045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63</w:t>
            </w:r>
            <w:r w:rsidRPr="00084F2E">
              <w:rPr>
                <w:rFonts w:cs="Times New Roman"/>
                <w:b w:val="0"/>
                <w:noProof/>
                <w:webHidden/>
              </w:rPr>
              <w:fldChar w:fldCharType="end"/>
            </w:r>
          </w:hyperlink>
        </w:p>
        <w:p w14:paraId="61EB9379" w14:textId="272F3530" w:rsidR="00DF3DF8" w:rsidRPr="00084F2E" w:rsidRDefault="00DF3DF8">
          <w:pPr>
            <w:pStyle w:val="TOC2"/>
            <w:tabs>
              <w:tab w:val="right" w:leader="dot" w:pos="9350"/>
            </w:tabs>
            <w:rPr>
              <w:rFonts w:eastAsiaTheme="minorEastAsia" w:cs="Times New Roman"/>
              <w:b w:val="0"/>
              <w:noProof/>
              <w:sz w:val="22"/>
              <w:szCs w:val="22"/>
            </w:rPr>
          </w:pPr>
          <w:hyperlink w:anchor="_Toc220662046" w:history="1">
            <w:r w:rsidRPr="00084F2E">
              <w:rPr>
                <w:rStyle w:val="Hyperlink"/>
                <w:rFonts w:cs="Times New Roman"/>
                <w:b w:val="0"/>
                <w:noProof/>
                <w:color w:val="auto"/>
              </w:rPr>
              <w:t>5.2. Conclusion</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_Toc220662046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64</w:t>
            </w:r>
            <w:r w:rsidRPr="00084F2E">
              <w:rPr>
                <w:rFonts w:cs="Times New Roman"/>
                <w:b w:val="0"/>
                <w:noProof/>
                <w:webHidden/>
              </w:rPr>
              <w:fldChar w:fldCharType="end"/>
            </w:r>
          </w:hyperlink>
        </w:p>
        <w:p w14:paraId="25857E26" w14:textId="50761999" w:rsidR="00DF3DF8" w:rsidRPr="00084F2E" w:rsidRDefault="00DF3DF8">
          <w:pPr>
            <w:pStyle w:val="TOC2"/>
            <w:tabs>
              <w:tab w:val="right" w:leader="dot" w:pos="9350"/>
            </w:tabs>
            <w:rPr>
              <w:rFonts w:eastAsiaTheme="minorEastAsia" w:cs="Times New Roman"/>
              <w:b w:val="0"/>
              <w:noProof/>
              <w:sz w:val="22"/>
              <w:szCs w:val="22"/>
            </w:rPr>
          </w:pPr>
          <w:hyperlink w:anchor="_Toc220662047" w:history="1">
            <w:r w:rsidRPr="00084F2E">
              <w:rPr>
                <w:rStyle w:val="Hyperlink"/>
                <w:rFonts w:cs="Times New Roman"/>
                <w:b w:val="0"/>
                <w:noProof/>
                <w:color w:val="auto"/>
              </w:rPr>
              <w:t>5.3. Recommendations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_Toc220662047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65</w:t>
            </w:r>
            <w:r w:rsidRPr="00084F2E">
              <w:rPr>
                <w:rFonts w:cs="Times New Roman"/>
                <w:b w:val="0"/>
                <w:noProof/>
                <w:webHidden/>
              </w:rPr>
              <w:fldChar w:fldCharType="end"/>
            </w:r>
          </w:hyperlink>
        </w:p>
        <w:p w14:paraId="0D452E95" w14:textId="21387662" w:rsidR="00DF3DF8" w:rsidRPr="00084F2E" w:rsidRDefault="00DF3DF8">
          <w:pPr>
            <w:pStyle w:val="TOC2"/>
            <w:tabs>
              <w:tab w:val="right" w:leader="dot" w:pos="9350"/>
            </w:tabs>
            <w:rPr>
              <w:rFonts w:eastAsiaTheme="minorEastAsia" w:cs="Times New Roman"/>
              <w:b w:val="0"/>
              <w:noProof/>
              <w:sz w:val="22"/>
              <w:szCs w:val="22"/>
            </w:rPr>
          </w:pPr>
          <w:hyperlink w:anchor="_Toc220662048" w:history="1">
            <w:r w:rsidRPr="00084F2E">
              <w:rPr>
                <w:rStyle w:val="Hyperlink"/>
                <w:rFonts w:cs="Times New Roman"/>
                <w:b w:val="0"/>
                <w:noProof/>
                <w:color w:val="auto"/>
              </w:rPr>
              <w:t>5.4. Direction for Future Studies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_Toc220662048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65</w:t>
            </w:r>
            <w:r w:rsidRPr="00084F2E">
              <w:rPr>
                <w:rFonts w:cs="Times New Roman"/>
                <w:b w:val="0"/>
                <w:noProof/>
                <w:webHidden/>
              </w:rPr>
              <w:fldChar w:fldCharType="end"/>
            </w:r>
          </w:hyperlink>
        </w:p>
        <w:p w14:paraId="3218B524" w14:textId="31F132FD" w:rsidR="00DF3DF8" w:rsidRPr="00084F2E" w:rsidRDefault="00DF3DF8">
          <w:pPr>
            <w:pStyle w:val="TOC1"/>
            <w:tabs>
              <w:tab w:val="right" w:leader="dot" w:pos="9350"/>
            </w:tabs>
            <w:rPr>
              <w:rFonts w:eastAsiaTheme="minorEastAsia" w:cs="Times New Roman"/>
              <w:b w:val="0"/>
              <w:noProof/>
              <w:sz w:val="22"/>
              <w:szCs w:val="22"/>
            </w:rPr>
          </w:pPr>
          <w:hyperlink w:anchor="_Toc220662049" w:history="1">
            <w:r w:rsidRPr="00084F2E">
              <w:rPr>
                <w:rStyle w:val="Hyperlink"/>
                <w:rFonts w:cs="Times New Roman"/>
                <w:b w:val="0"/>
                <w:noProof/>
                <w:color w:val="auto"/>
              </w:rPr>
              <w:t>References</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_Toc220662049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67</w:t>
            </w:r>
            <w:r w:rsidRPr="00084F2E">
              <w:rPr>
                <w:rFonts w:cs="Times New Roman"/>
                <w:b w:val="0"/>
                <w:noProof/>
                <w:webHidden/>
              </w:rPr>
              <w:fldChar w:fldCharType="end"/>
            </w:r>
          </w:hyperlink>
        </w:p>
        <w:p w14:paraId="78E9E397" w14:textId="42868C47" w:rsidR="00DF3DF8" w:rsidRPr="00084F2E" w:rsidRDefault="00DF3DF8">
          <w:pPr>
            <w:pStyle w:val="TOC1"/>
            <w:tabs>
              <w:tab w:val="right" w:leader="dot" w:pos="9350"/>
            </w:tabs>
            <w:rPr>
              <w:rFonts w:eastAsiaTheme="minorEastAsia" w:cs="Times New Roman"/>
              <w:b w:val="0"/>
              <w:noProof/>
              <w:sz w:val="22"/>
              <w:szCs w:val="22"/>
            </w:rPr>
          </w:pPr>
          <w:hyperlink w:anchor="_Toc220662050" w:history="1">
            <w:r w:rsidRPr="00084F2E">
              <w:rPr>
                <w:rStyle w:val="Hyperlink"/>
                <w:rFonts w:cs="Times New Roman"/>
                <w:b w:val="0"/>
                <w:noProof/>
                <w:color w:val="auto"/>
              </w:rPr>
              <w:t>Appendix</w:t>
            </w:r>
            <w:r w:rsidRPr="00084F2E">
              <w:rPr>
                <w:rFonts w:cs="Times New Roman"/>
                <w:b w:val="0"/>
                <w:noProof/>
                <w:webHidden/>
              </w:rPr>
              <w:tab/>
            </w:r>
            <w:r w:rsidRPr="00084F2E">
              <w:rPr>
                <w:rFonts w:cs="Times New Roman"/>
                <w:b w:val="0"/>
                <w:noProof/>
                <w:webHidden/>
              </w:rPr>
              <w:fldChar w:fldCharType="begin"/>
            </w:r>
            <w:r w:rsidRPr="00084F2E">
              <w:rPr>
                <w:rFonts w:cs="Times New Roman"/>
                <w:b w:val="0"/>
                <w:noProof/>
                <w:webHidden/>
              </w:rPr>
              <w:instrText xml:space="preserve"> PAGEREF _Toc220662050 \h </w:instrText>
            </w:r>
            <w:r w:rsidRPr="00084F2E">
              <w:rPr>
                <w:rFonts w:cs="Times New Roman"/>
                <w:b w:val="0"/>
                <w:noProof/>
                <w:webHidden/>
              </w:rPr>
            </w:r>
            <w:r w:rsidRPr="00084F2E">
              <w:rPr>
                <w:rFonts w:cs="Times New Roman"/>
                <w:b w:val="0"/>
                <w:noProof/>
                <w:webHidden/>
              </w:rPr>
              <w:fldChar w:fldCharType="separate"/>
            </w:r>
            <w:r w:rsidRPr="00084F2E">
              <w:rPr>
                <w:rFonts w:cs="Times New Roman"/>
                <w:b w:val="0"/>
                <w:noProof/>
                <w:webHidden/>
              </w:rPr>
              <w:t>83</w:t>
            </w:r>
            <w:r w:rsidRPr="00084F2E">
              <w:rPr>
                <w:rFonts w:cs="Times New Roman"/>
                <w:b w:val="0"/>
                <w:noProof/>
                <w:webHidden/>
              </w:rPr>
              <w:fldChar w:fldCharType="end"/>
            </w:r>
          </w:hyperlink>
        </w:p>
        <w:p w14:paraId="7F6C6A17" w14:textId="7819235C" w:rsidR="0072282A" w:rsidRPr="00084F2E" w:rsidRDefault="00AC5C64" w:rsidP="00E95C9D">
          <w:pPr>
            <w:spacing w:line="276" w:lineRule="auto"/>
            <w:jc w:val="both"/>
            <w:rPr>
              <w:rFonts w:cs="Times New Roman"/>
              <w:b w:val="0"/>
              <w:lang w:val="en-US"/>
            </w:rPr>
          </w:pPr>
          <w:r w:rsidRPr="00084F2E">
            <w:rPr>
              <w:rFonts w:cs="Times New Roman"/>
              <w:b w:val="0"/>
              <w:bCs/>
              <w:lang w:val="en-US"/>
            </w:rPr>
            <w:fldChar w:fldCharType="end"/>
          </w:r>
        </w:p>
      </w:sdtContent>
    </w:sdt>
    <w:p w14:paraId="7D2EED23" w14:textId="77777777" w:rsidR="0072282A" w:rsidRPr="00084F2E" w:rsidRDefault="00AB1BEC">
      <w:pPr>
        <w:spacing w:after="200" w:line="276" w:lineRule="auto"/>
        <w:rPr>
          <w:rFonts w:eastAsiaTheme="majorEastAsia" w:cstheme="majorBidi"/>
          <w:bCs/>
          <w:sz w:val="32"/>
          <w:szCs w:val="28"/>
          <w:lang w:val="en-US"/>
        </w:rPr>
      </w:pPr>
      <w:r w:rsidRPr="00084F2E">
        <w:rPr>
          <w:rFonts w:eastAsiaTheme="majorEastAsia" w:cstheme="majorBidi"/>
          <w:bCs/>
          <w:sz w:val="32"/>
          <w:szCs w:val="28"/>
          <w:lang w:val="en-US"/>
        </w:rPr>
        <w:br w:type="page"/>
      </w:r>
      <w:r w:rsidRPr="00084F2E">
        <w:rPr>
          <w:rFonts w:eastAsiaTheme="majorEastAsia" w:cstheme="majorBidi"/>
          <w:bCs/>
          <w:sz w:val="32"/>
          <w:szCs w:val="28"/>
          <w:lang w:val="en-US"/>
        </w:rPr>
        <w:lastRenderedPageBreak/>
        <w:t>List of Tables</w:t>
      </w:r>
    </w:p>
    <w:p w14:paraId="0C4C506E" w14:textId="77777777" w:rsidR="0072282A" w:rsidRPr="00084F2E" w:rsidRDefault="00AB1BEC">
      <w:pPr>
        <w:pStyle w:val="TOC3"/>
        <w:tabs>
          <w:tab w:val="right" w:leader="dot" w:pos="9350"/>
        </w:tabs>
        <w:ind w:left="0"/>
        <w:rPr>
          <w:rFonts w:asciiTheme="minorHAnsi" w:eastAsiaTheme="minorEastAsia" w:hAnsiTheme="minorHAnsi" w:cstheme="minorBidi"/>
          <w:b w:val="0"/>
          <w:sz w:val="22"/>
          <w:szCs w:val="22"/>
        </w:rPr>
      </w:pPr>
      <w:hyperlink w:anchor="_Toc214281276" w:history="1">
        <w:r w:rsidRPr="00084F2E">
          <w:rPr>
            <w:rStyle w:val="Hyperlink"/>
            <w:rFonts w:eastAsiaTheme="majorEastAsia" w:cs="Times New Roman"/>
            <w:b w:val="0"/>
            <w:bCs/>
            <w:color w:val="auto"/>
            <w:u w:val="none"/>
          </w:rPr>
          <w:t>Table 4: Breusch-Godfrey LM Test for Autocorrelation</w:t>
        </w:r>
        <w:r w:rsidRPr="00084F2E">
          <w:rPr>
            <w:b w:val="0"/>
          </w:rPr>
          <w:tab/>
        </w:r>
        <w:r w:rsidR="00AC5C64" w:rsidRPr="00084F2E">
          <w:rPr>
            <w:b w:val="0"/>
          </w:rPr>
          <w:fldChar w:fldCharType="begin"/>
        </w:r>
        <w:r w:rsidRPr="00084F2E">
          <w:rPr>
            <w:b w:val="0"/>
          </w:rPr>
          <w:instrText xml:space="preserve"> PAGEREF _Toc214281276 \h </w:instrText>
        </w:r>
        <w:r w:rsidR="00AC5C64" w:rsidRPr="00084F2E">
          <w:rPr>
            <w:b w:val="0"/>
          </w:rPr>
        </w:r>
        <w:r w:rsidR="00AC5C64" w:rsidRPr="00084F2E">
          <w:rPr>
            <w:b w:val="0"/>
          </w:rPr>
          <w:fldChar w:fldCharType="separate"/>
        </w:r>
        <w:r w:rsidRPr="00084F2E">
          <w:rPr>
            <w:b w:val="0"/>
          </w:rPr>
          <w:t>76</w:t>
        </w:r>
        <w:r w:rsidR="00AC5C64" w:rsidRPr="00084F2E">
          <w:rPr>
            <w:b w:val="0"/>
          </w:rPr>
          <w:fldChar w:fldCharType="end"/>
        </w:r>
      </w:hyperlink>
    </w:p>
    <w:p w14:paraId="66B6310C" w14:textId="77777777" w:rsidR="0072282A" w:rsidRPr="00084F2E" w:rsidRDefault="00AB1BEC">
      <w:pPr>
        <w:pStyle w:val="TOC3"/>
        <w:tabs>
          <w:tab w:val="right" w:leader="dot" w:pos="9350"/>
        </w:tabs>
        <w:ind w:left="0"/>
        <w:rPr>
          <w:rFonts w:asciiTheme="minorHAnsi" w:eastAsiaTheme="minorEastAsia" w:hAnsiTheme="minorHAnsi" w:cstheme="minorBidi"/>
          <w:b w:val="0"/>
          <w:sz w:val="22"/>
          <w:szCs w:val="22"/>
        </w:rPr>
      </w:pPr>
      <w:hyperlink w:anchor="_Toc214281273" w:history="1">
        <w:r w:rsidRPr="00084F2E">
          <w:rPr>
            <w:rStyle w:val="Hyperlink"/>
            <w:rFonts w:eastAsiaTheme="majorEastAsia" w:cs="Times New Roman"/>
            <w:b w:val="0"/>
            <w:bCs/>
            <w:color w:val="auto"/>
            <w:u w:val="none"/>
          </w:rPr>
          <w:t>Table 2: Model Selection Criteria</w:t>
        </w:r>
        <w:r w:rsidRPr="00084F2E">
          <w:rPr>
            <w:b w:val="0"/>
          </w:rPr>
          <w:tab/>
        </w:r>
        <w:r w:rsidR="00AC5C64" w:rsidRPr="00084F2E">
          <w:rPr>
            <w:b w:val="0"/>
          </w:rPr>
          <w:fldChar w:fldCharType="begin"/>
        </w:r>
        <w:r w:rsidRPr="00084F2E">
          <w:rPr>
            <w:b w:val="0"/>
          </w:rPr>
          <w:instrText xml:space="preserve"> PAGEREF _Toc214281273 \h </w:instrText>
        </w:r>
        <w:r w:rsidR="00AC5C64" w:rsidRPr="00084F2E">
          <w:rPr>
            <w:b w:val="0"/>
          </w:rPr>
        </w:r>
        <w:r w:rsidR="00AC5C64" w:rsidRPr="00084F2E">
          <w:rPr>
            <w:b w:val="0"/>
          </w:rPr>
          <w:fldChar w:fldCharType="separate"/>
        </w:r>
        <w:r w:rsidRPr="00084F2E">
          <w:rPr>
            <w:b w:val="0"/>
          </w:rPr>
          <w:t>72</w:t>
        </w:r>
        <w:r w:rsidR="00AC5C64" w:rsidRPr="00084F2E">
          <w:rPr>
            <w:b w:val="0"/>
          </w:rPr>
          <w:fldChar w:fldCharType="end"/>
        </w:r>
      </w:hyperlink>
    </w:p>
    <w:p w14:paraId="76849630" w14:textId="77777777" w:rsidR="0072282A" w:rsidRPr="00084F2E" w:rsidRDefault="00AB1BEC">
      <w:pPr>
        <w:pStyle w:val="TOC3"/>
        <w:tabs>
          <w:tab w:val="right" w:leader="dot" w:pos="9350"/>
        </w:tabs>
        <w:ind w:left="0"/>
        <w:rPr>
          <w:rFonts w:asciiTheme="minorHAnsi" w:eastAsiaTheme="minorEastAsia" w:hAnsiTheme="minorHAnsi" w:cstheme="minorBidi"/>
          <w:b w:val="0"/>
          <w:sz w:val="22"/>
          <w:szCs w:val="22"/>
        </w:rPr>
      </w:pPr>
      <w:hyperlink w:anchor="_Toc214281274" w:history="1">
        <w:r w:rsidRPr="00084F2E">
          <w:rPr>
            <w:rStyle w:val="Hyperlink"/>
            <w:rFonts w:eastAsiaTheme="majorEastAsia" w:cs="Times New Roman"/>
            <w:b w:val="0"/>
            <w:bCs/>
            <w:color w:val="auto"/>
            <w:u w:val="none"/>
          </w:rPr>
          <w:t>Table 3: Optimal Lag Length Selection Criteria</w:t>
        </w:r>
        <w:r w:rsidRPr="00084F2E">
          <w:rPr>
            <w:b w:val="0"/>
          </w:rPr>
          <w:tab/>
        </w:r>
        <w:r w:rsidR="00AC5C64" w:rsidRPr="00084F2E">
          <w:rPr>
            <w:b w:val="0"/>
          </w:rPr>
          <w:fldChar w:fldCharType="begin"/>
        </w:r>
        <w:r w:rsidRPr="00084F2E">
          <w:rPr>
            <w:b w:val="0"/>
          </w:rPr>
          <w:instrText xml:space="preserve"> PAGEREF _Toc214281274 \h </w:instrText>
        </w:r>
        <w:r w:rsidR="00AC5C64" w:rsidRPr="00084F2E">
          <w:rPr>
            <w:b w:val="0"/>
          </w:rPr>
        </w:r>
        <w:r w:rsidR="00AC5C64" w:rsidRPr="00084F2E">
          <w:rPr>
            <w:b w:val="0"/>
          </w:rPr>
          <w:fldChar w:fldCharType="separate"/>
        </w:r>
        <w:r w:rsidRPr="00084F2E">
          <w:rPr>
            <w:b w:val="0"/>
          </w:rPr>
          <w:t>74</w:t>
        </w:r>
        <w:r w:rsidR="00AC5C64" w:rsidRPr="00084F2E">
          <w:rPr>
            <w:b w:val="0"/>
          </w:rPr>
          <w:fldChar w:fldCharType="end"/>
        </w:r>
      </w:hyperlink>
    </w:p>
    <w:p w14:paraId="5782A0CE" w14:textId="77777777" w:rsidR="0072282A" w:rsidRPr="00084F2E" w:rsidRDefault="00AB1BEC">
      <w:pPr>
        <w:pStyle w:val="TOC3"/>
        <w:tabs>
          <w:tab w:val="right" w:leader="dot" w:pos="9350"/>
        </w:tabs>
        <w:ind w:left="0"/>
        <w:rPr>
          <w:rFonts w:asciiTheme="minorHAnsi" w:eastAsiaTheme="minorEastAsia" w:hAnsiTheme="minorHAnsi" w:cstheme="minorBidi"/>
          <w:b w:val="0"/>
          <w:sz w:val="22"/>
          <w:szCs w:val="22"/>
        </w:rPr>
      </w:pPr>
      <w:hyperlink w:anchor="_Toc214281269" w:history="1">
        <w:r w:rsidRPr="00084F2E">
          <w:rPr>
            <w:rStyle w:val="Hyperlink"/>
            <w:rFonts w:eastAsiaTheme="majorEastAsia" w:cs="Times New Roman"/>
            <w:b w:val="0"/>
            <w:bCs/>
            <w:color w:val="auto"/>
            <w:u w:val="none"/>
          </w:rPr>
          <w:t>Table 1: ARDL Model Estimation Results</w:t>
        </w:r>
        <w:r w:rsidRPr="00084F2E">
          <w:rPr>
            <w:b w:val="0"/>
          </w:rPr>
          <w:tab/>
        </w:r>
        <w:r w:rsidR="00AC5C64" w:rsidRPr="00084F2E">
          <w:rPr>
            <w:b w:val="0"/>
          </w:rPr>
          <w:fldChar w:fldCharType="begin"/>
        </w:r>
        <w:r w:rsidRPr="00084F2E">
          <w:rPr>
            <w:b w:val="0"/>
          </w:rPr>
          <w:instrText xml:space="preserve"> PAGEREF _Toc214281269 \h </w:instrText>
        </w:r>
        <w:r w:rsidR="00AC5C64" w:rsidRPr="00084F2E">
          <w:rPr>
            <w:b w:val="0"/>
          </w:rPr>
        </w:r>
        <w:r w:rsidR="00AC5C64" w:rsidRPr="00084F2E">
          <w:rPr>
            <w:b w:val="0"/>
          </w:rPr>
          <w:fldChar w:fldCharType="separate"/>
        </w:r>
        <w:r w:rsidRPr="00084F2E">
          <w:rPr>
            <w:b w:val="0"/>
          </w:rPr>
          <w:t>61</w:t>
        </w:r>
        <w:r w:rsidR="00AC5C64" w:rsidRPr="00084F2E">
          <w:rPr>
            <w:b w:val="0"/>
          </w:rPr>
          <w:fldChar w:fldCharType="end"/>
        </w:r>
      </w:hyperlink>
    </w:p>
    <w:p w14:paraId="495FD1EE" w14:textId="77777777" w:rsidR="0072282A" w:rsidRPr="00084F2E" w:rsidRDefault="00AB1BEC">
      <w:pPr>
        <w:spacing w:after="200" w:line="276" w:lineRule="auto"/>
        <w:rPr>
          <w:rFonts w:eastAsiaTheme="majorEastAsia" w:cstheme="majorBidi"/>
          <w:bCs/>
          <w:sz w:val="32"/>
          <w:szCs w:val="28"/>
          <w:lang w:val="en-US"/>
        </w:rPr>
      </w:pPr>
      <w:r w:rsidRPr="00084F2E">
        <w:rPr>
          <w:rFonts w:eastAsiaTheme="majorEastAsia" w:cstheme="majorBidi"/>
          <w:bCs/>
          <w:sz w:val="32"/>
          <w:szCs w:val="28"/>
          <w:lang w:val="en-US"/>
        </w:rPr>
        <w:br w:type="page"/>
      </w:r>
    </w:p>
    <w:p w14:paraId="7C058228" w14:textId="77777777" w:rsidR="0072282A" w:rsidRPr="00084F2E" w:rsidRDefault="0072282A">
      <w:pPr>
        <w:spacing w:after="200" w:line="276" w:lineRule="auto"/>
        <w:rPr>
          <w:rFonts w:eastAsiaTheme="majorEastAsia" w:cstheme="majorBidi"/>
          <w:bCs/>
          <w:sz w:val="32"/>
          <w:szCs w:val="28"/>
          <w:lang w:val="en-US"/>
        </w:rPr>
      </w:pPr>
    </w:p>
    <w:p w14:paraId="7A5F2B8B" w14:textId="77777777" w:rsidR="0072282A" w:rsidRPr="00084F2E" w:rsidRDefault="00AB1BEC">
      <w:pPr>
        <w:keepNext/>
        <w:keepLines/>
        <w:spacing w:before="480"/>
        <w:jc w:val="center"/>
        <w:outlineLvl w:val="0"/>
        <w:rPr>
          <w:rFonts w:eastAsiaTheme="majorEastAsia" w:cstheme="majorBidi"/>
          <w:bCs/>
          <w:sz w:val="32"/>
          <w:szCs w:val="28"/>
          <w:lang w:val="en-US"/>
        </w:rPr>
      </w:pPr>
      <w:bookmarkStart w:id="12" w:name="_Toc220661986"/>
      <w:r w:rsidRPr="00084F2E">
        <w:rPr>
          <w:rFonts w:eastAsiaTheme="majorEastAsia" w:cstheme="majorBidi"/>
          <w:bCs/>
          <w:sz w:val="32"/>
          <w:szCs w:val="28"/>
          <w:lang w:val="en-US"/>
        </w:rPr>
        <w:t>List of Acronyms and Abbreviations</w:t>
      </w:r>
      <w:bookmarkEnd w:id="12"/>
    </w:p>
    <w:p w14:paraId="30166CCE" w14:textId="77777777" w:rsidR="0072282A" w:rsidRPr="00084F2E" w:rsidRDefault="0072282A">
      <w:pPr>
        <w:rPr>
          <w:lang w:val="en-US"/>
        </w:rPr>
      </w:pPr>
    </w:p>
    <w:p w14:paraId="6758F7AC" w14:textId="77777777" w:rsidR="0072282A" w:rsidRPr="00084F2E" w:rsidRDefault="00AB1BEC">
      <w:pPr>
        <w:spacing w:after="200" w:line="276" w:lineRule="auto"/>
        <w:rPr>
          <w:rFonts w:cs="Times New Roman"/>
          <w:b w:val="0"/>
          <w:bCs/>
          <w:lang w:val="en-US"/>
        </w:rPr>
      </w:pPr>
      <w:r w:rsidRPr="00084F2E">
        <w:rPr>
          <w:rFonts w:cs="Times New Roman"/>
          <w:b w:val="0"/>
          <w:bCs/>
          <w:lang w:val="en-US"/>
        </w:rPr>
        <w:t xml:space="preserve">ARDL: Autoregressive Distributed Lag </w:t>
      </w:r>
    </w:p>
    <w:p w14:paraId="5B225D58" w14:textId="77777777" w:rsidR="0072282A" w:rsidRPr="00084F2E" w:rsidRDefault="00AB1BEC">
      <w:pPr>
        <w:spacing w:after="200" w:line="276" w:lineRule="auto"/>
        <w:rPr>
          <w:rFonts w:cs="Times New Roman"/>
          <w:b w:val="0"/>
          <w:bCs/>
          <w:lang w:val="en-US"/>
        </w:rPr>
      </w:pPr>
      <w:r w:rsidRPr="00084F2E">
        <w:rPr>
          <w:rFonts w:cs="Times New Roman"/>
          <w:b w:val="0"/>
          <w:bCs/>
          <w:lang w:val="en-US"/>
        </w:rPr>
        <w:t>BR: Birr</w:t>
      </w:r>
    </w:p>
    <w:p w14:paraId="5063ED55" w14:textId="77777777" w:rsidR="0072282A" w:rsidRPr="00084F2E" w:rsidRDefault="00AB1BEC">
      <w:pPr>
        <w:spacing w:after="200" w:line="276" w:lineRule="auto"/>
        <w:rPr>
          <w:rFonts w:cs="Times New Roman"/>
          <w:b w:val="0"/>
          <w:bCs/>
          <w:lang w:val="en-US"/>
        </w:rPr>
      </w:pPr>
      <w:r w:rsidRPr="00084F2E">
        <w:rPr>
          <w:rFonts w:cs="Times New Roman"/>
          <w:b w:val="0"/>
          <w:bCs/>
          <w:lang w:val="en-US"/>
        </w:rPr>
        <w:t>CI: Corruption Index</w:t>
      </w:r>
    </w:p>
    <w:p w14:paraId="2494B317" w14:textId="77777777" w:rsidR="0072282A" w:rsidRPr="00084F2E" w:rsidRDefault="00AB1BEC">
      <w:pPr>
        <w:spacing w:after="200" w:line="276" w:lineRule="auto"/>
        <w:rPr>
          <w:rFonts w:cs="Times New Roman"/>
          <w:b w:val="0"/>
          <w:bCs/>
          <w:lang w:val="en-US"/>
        </w:rPr>
      </w:pPr>
      <w:r w:rsidRPr="00084F2E">
        <w:rPr>
          <w:rFonts w:cs="Times New Roman"/>
          <w:b w:val="0"/>
          <w:bCs/>
          <w:lang w:val="en-US"/>
        </w:rPr>
        <w:t>CPI: Consumer Price Index</w:t>
      </w:r>
    </w:p>
    <w:p w14:paraId="77A751B1" w14:textId="77777777" w:rsidR="0072282A" w:rsidRPr="00084F2E" w:rsidRDefault="00AB1BEC">
      <w:pPr>
        <w:spacing w:after="200" w:line="276" w:lineRule="auto"/>
        <w:rPr>
          <w:rFonts w:cs="Times New Roman"/>
          <w:b w:val="0"/>
          <w:bCs/>
          <w:lang w:val="en-US"/>
        </w:rPr>
      </w:pPr>
      <w:r w:rsidRPr="00084F2E">
        <w:rPr>
          <w:rFonts w:cs="Times New Roman"/>
          <w:b w:val="0"/>
          <w:bCs/>
          <w:lang w:val="en-US"/>
        </w:rPr>
        <w:t xml:space="preserve">ECM: Error Correction Mechanism </w:t>
      </w:r>
    </w:p>
    <w:p w14:paraId="68F5F96C" w14:textId="77777777" w:rsidR="0072282A" w:rsidRPr="00084F2E" w:rsidRDefault="00AB1BEC">
      <w:pPr>
        <w:spacing w:after="200" w:line="276" w:lineRule="auto"/>
        <w:rPr>
          <w:rFonts w:cs="Times New Roman"/>
          <w:b w:val="0"/>
          <w:bCs/>
          <w:lang w:val="en-US"/>
        </w:rPr>
      </w:pPr>
      <w:r w:rsidRPr="00084F2E">
        <w:rPr>
          <w:rFonts w:cs="Times New Roman"/>
          <w:b w:val="0"/>
          <w:bCs/>
          <w:lang w:val="en-US"/>
        </w:rPr>
        <w:t>ER: Exchange Rate</w:t>
      </w:r>
    </w:p>
    <w:p w14:paraId="3F6E8378" w14:textId="77777777" w:rsidR="0072282A" w:rsidRPr="00084F2E" w:rsidRDefault="00AB1BEC">
      <w:pPr>
        <w:spacing w:after="200" w:line="276" w:lineRule="auto"/>
        <w:rPr>
          <w:rFonts w:cs="Times New Roman"/>
          <w:b w:val="0"/>
          <w:bCs/>
          <w:lang w:val="en-US"/>
        </w:rPr>
      </w:pPr>
      <w:r w:rsidRPr="00084F2E">
        <w:rPr>
          <w:rFonts w:cs="Times New Roman"/>
          <w:b w:val="0"/>
          <w:bCs/>
          <w:lang w:val="en-US"/>
        </w:rPr>
        <w:t>FAO: Food and Agriculture Organization</w:t>
      </w:r>
    </w:p>
    <w:p w14:paraId="0DB66744" w14:textId="77777777" w:rsidR="0072282A" w:rsidRPr="00084F2E" w:rsidRDefault="00AB1BEC">
      <w:pPr>
        <w:spacing w:after="200" w:line="276" w:lineRule="auto"/>
        <w:rPr>
          <w:rFonts w:cs="Times New Roman"/>
          <w:b w:val="0"/>
          <w:bCs/>
          <w:lang w:val="en-US"/>
        </w:rPr>
      </w:pPr>
      <w:r w:rsidRPr="00084F2E">
        <w:rPr>
          <w:rFonts w:cs="Times New Roman"/>
          <w:b w:val="0"/>
          <w:bCs/>
          <w:lang w:val="en-US"/>
        </w:rPr>
        <w:t>FDI: Foreign Direct Investment</w:t>
      </w:r>
    </w:p>
    <w:p w14:paraId="29A458EC" w14:textId="77777777" w:rsidR="0072282A" w:rsidRPr="00084F2E" w:rsidRDefault="00AB1BEC">
      <w:pPr>
        <w:spacing w:after="200" w:line="276" w:lineRule="auto"/>
        <w:rPr>
          <w:rFonts w:cs="Times New Roman"/>
          <w:b w:val="0"/>
          <w:bCs/>
          <w:lang w:val="en-US"/>
        </w:rPr>
      </w:pPr>
      <w:r w:rsidRPr="00084F2E">
        <w:rPr>
          <w:rFonts w:cs="Times New Roman"/>
          <w:b w:val="0"/>
          <w:bCs/>
          <w:lang w:val="en-US"/>
        </w:rPr>
        <w:t>GDP: Gross Domestic Product</w:t>
      </w:r>
    </w:p>
    <w:p w14:paraId="20F41893" w14:textId="77777777" w:rsidR="0072282A" w:rsidRPr="00084F2E" w:rsidRDefault="00AB1BEC">
      <w:pPr>
        <w:spacing w:after="200" w:line="276" w:lineRule="auto"/>
        <w:rPr>
          <w:rFonts w:cs="Times New Roman"/>
          <w:b w:val="0"/>
          <w:bCs/>
          <w:lang w:val="en-US"/>
        </w:rPr>
      </w:pPr>
      <w:r w:rsidRPr="00084F2E">
        <w:rPr>
          <w:rFonts w:cs="Times New Roman"/>
          <w:b w:val="0"/>
          <w:bCs/>
          <w:lang w:val="en-US"/>
        </w:rPr>
        <w:t>ILO: International Labour Organization</w:t>
      </w:r>
    </w:p>
    <w:p w14:paraId="4F5F73C7" w14:textId="77777777" w:rsidR="0072282A" w:rsidRPr="00084F2E" w:rsidRDefault="00AB1BEC">
      <w:pPr>
        <w:spacing w:after="200" w:line="276" w:lineRule="auto"/>
        <w:rPr>
          <w:rFonts w:cs="Times New Roman"/>
          <w:b w:val="0"/>
          <w:bCs/>
          <w:lang w:val="en-US"/>
        </w:rPr>
      </w:pPr>
      <w:r w:rsidRPr="00084F2E">
        <w:rPr>
          <w:rFonts w:cs="Times New Roman"/>
          <w:b w:val="0"/>
          <w:bCs/>
          <w:lang w:val="en-US"/>
        </w:rPr>
        <w:t>OECD: Organisation for Economic Co-operation and Development</w:t>
      </w:r>
    </w:p>
    <w:p w14:paraId="1BE971DC" w14:textId="77777777" w:rsidR="0072282A" w:rsidRPr="00084F2E" w:rsidRDefault="00AB1BEC">
      <w:pPr>
        <w:spacing w:after="200" w:line="276" w:lineRule="auto"/>
        <w:rPr>
          <w:rFonts w:cs="Times New Roman"/>
          <w:b w:val="0"/>
          <w:bCs/>
          <w:lang w:val="en-US"/>
        </w:rPr>
      </w:pPr>
      <w:r w:rsidRPr="00084F2E">
        <w:rPr>
          <w:rFonts w:cs="Times New Roman"/>
          <w:b w:val="0"/>
          <w:bCs/>
          <w:lang w:val="en-US"/>
        </w:rPr>
        <w:t>S: Total Savings</w:t>
      </w:r>
    </w:p>
    <w:p w14:paraId="65C1D338" w14:textId="77777777" w:rsidR="0072282A" w:rsidRPr="00084F2E" w:rsidRDefault="00AB1BEC">
      <w:pPr>
        <w:spacing w:after="200" w:line="276" w:lineRule="auto"/>
        <w:rPr>
          <w:rFonts w:cs="Times New Roman"/>
          <w:b w:val="0"/>
          <w:bCs/>
          <w:lang w:val="en-US"/>
        </w:rPr>
      </w:pPr>
      <w:r w:rsidRPr="00084F2E">
        <w:rPr>
          <w:rFonts w:cs="Times New Roman"/>
          <w:b w:val="0"/>
          <w:bCs/>
          <w:lang w:val="en-US"/>
        </w:rPr>
        <w:t>TR: Tariff Revenues</w:t>
      </w:r>
    </w:p>
    <w:p w14:paraId="57D1046D" w14:textId="77777777" w:rsidR="0072282A" w:rsidRPr="00084F2E" w:rsidRDefault="00AB1BEC">
      <w:pPr>
        <w:spacing w:after="200" w:line="276" w:lineRule="auto"/>
        <w:rPr>
          <w:rFonts w:cs="Times New Roman"/>
          <w:b w:val="0"/>
          <w:bCs/>
          <w:lang w:val="en-US"/>
        </w:rPr>
      </w:pPr>
      <w:r w:rsidRPr="00084F2E">
        <w:rPr>
          <w:rFonts w:cs="Times New Roman"/>
          <w:b w:val="0"/>
          <w:bCs/>
          <w:lang w:val="en-US"/>
        </w:rPr>
        <w:t>UNCTAD: United Nations Conference on Trade and Development</w:t>
      </w:r>
    </w:p>
    <w:p w14:paraId="08A3B7D2" w14:textId="77777777" w:rsidR="0072282A" w:rsidRPr="00084F2E" w:rsidRDefault="00AB1BEC">
      <w:pPr>
        <w:spacing w:after="200" w:line="276" w:lineRule="auto"/>
        <w:rPr>
          <w:rFonts w:cs="Times New Roman"/>
          <w:b w:val="0"/>
          <w:bCs/>
          <w:lang w:val="en-US"/>
        </w:rPr>
      </w:pPr>
      <w:r w:rsidRPr="00084F2E">
        <w:rPr>
          <w:rFonts w:cs="Times New Roman"/>
          <w:b w:val="0"/>
          <w:bCs/>
          <w:lang w:val="en-US"/>
        </w:rPr>
        <w:t>WB: World Bank</w:t>
      </w:r>
    </w:p>
    <w:p w14:paraId="0BCFAE30" w14:textId="77777777" w:rsidR="0072282A" w:rsidRPr="00084F2E" w:rsidRDefault="00AB1BEC">
      <w:pPr>
        <w:spacing w:after="200" w:line="276" w:lineRule="auto"/>
        <w:rPr>
          <w:rFonts w:cs="Times New Roman"/>
          <w:b w:val="0"/>
          <w:bCs/>
          <w:lang w:val="en-US"/>
        </w:rPr>
      </w:pPr>
      <w:r w:rsidRPr="00084F2E">
        <w:rPr>
          <w:rFonts w:cs="Times New Roman"/>
          <w:b w:val="0"/>
          <w:bCs/>
          <w:lang w:val="en-US"/>
        </w:rPr>
        <w:t>WDI: World Development Indicators</w:t>
      </w:r>
    </w:p>
    <w:p w14:paraId="395A1213" w14:textId="77777777" w:rsidR="0072282A" w:rsidRPr="00084F2E" w:rsidRDefault="00AB1BEC">
      <w:pPr>
        <w:spacing w:after="200" w:line="276" w:lineRule="auto"/>
        <w:rPr>
          <w:rFonts w:cs="Times New Roman"/>
          <w:b w:val="0"/>
          <w:bCs/>
          <w:lang w:val="en-US"/>
        </w:rPr>
      </w:pPr>
      <w:r w:rsidRPr="00084F2E">
        <w:rPr>
          <w:rFonts w:cs="Times New Roman"/>
          <w:b w:val="0"/>
          <w:bCs/>
          <w:lang w:val="en-US"/>
        </w:rPr>
        <w:t>WTO: World Trade Organization</w:t>
      </w:r>
    </w:p>
    <w:p w14:paraId="4F7423F1" w14:textId="77777777" w:rsidR="0072282A" w:rsidRPr="00084F2E" w:rsidRDefault="0072282A">
      <w:pPr>
        <w:spacing w:after="200" w:line="276" w:lineRule="auto"/>
        <w:rPr>
          <w:rFonts w:cs="Times New Roman"/>
          <w:b w:val="0"/>
          <w:bCs/>
          <w:lang w:val="en-US"/>
        </w:rPr>
      </w:pPr>
    </w:p>
    <w:p w14:paraId="3593A181" w14:textId="77777777" w:rsidR="0072282A" w:rsidRPr="00084F2E" w:rsidRDefault="0072282A">
      <w:pPr>
        <w:spacing w:after="200" w:line="276" w:lineRule="auto"/>
        <w:rPr>
          <w:rFonts w:cs="Times New Roman"/>
          <w:b w:val="0"/>
          <w:sz w:val="32"/>
          <w:lang w:val="en-US"/>
        </w:rPr>
      </w:pPr>
    </w:p>
    <w:p w14:paraId="7BA79A3E" w14:textId="77777777" w:rsidR="0072282A" w:rsidRPr="00084F2E" w:rsidRDefault="0072282A">
      <w:pPr>
        <w:keepNext/>
        <w:keepLines/>
        <w:spacing w:before="480"/>
        <w:jc w:val="center"/>
        <w:outlineLvl w:val="0"/>
        <w:rPr>
          <w:rFonts w:eastAsiaTheme="majorEastAsia" w:cstheme="majorBidi"/>
          <w:bCs/>
          <w:sz w:val="32"/>
          <w:szCs w:val="28"/>
          <w:lang w:val="en-US"/>
        </w:rPr>
        <w:sectPr w:rsidR="0072282A" w:rsidRPr="00084F2E">
          <w:pgSz w:w="12240" w:h="15840"/>
          <w:pgMar w:top="1440" w:right="1440" w:bottom="1440" w:left="1440" w:header="720" w:footer="720" w:gutter="0"/>
          <w:pgNumType w:fmt="upperRoman" w:start="1"/>
          <w:cols w:space="720"/>
          <w:docGrid w:linePitch="360"/>
        </w:sectPr>
      </w:pPr>
    </w:p>
    <w:p w14:paraId="67D52831" w14:textId="77777777" w:rsidR="0072282A" w:rsidRPr="00084F2E" w:rsidRDefault="00AB1BEC">
      <w:pPr>
        <w:keepNext/>
        <w:keepLines/>
        <w:spacing w:before="480"/>
        <w:jc w:val="center"/>
        <w:outlineLvl w:val="0"/>
        <w:rPr>
          <w:rFonts w:eastAsiaTheme="majorEastAsia" w:cstheme="majorBidi"/>
          <w:bCs/>
          <w:sz w:val="32"/>
          <w:szCs w:val="28"/>
          <w:lang w:val="en-US"/>
        </w:rPr>
      </w:pPr>
      <w:bookmarkStart w:id="13" w:name="_Toc220661987"/>
      <w:r w:rsidRPr="00084F2E">
        <w:rPr>
          <w:rFonts w:eastAsiaTheme="majorEastAsia" w:cstheme="majorBidi"/>
          <w:bCs/>
          <w:sz w:val="32"/>
          <w:szCs w:val="28"/>
          <w:lang w:val="en-US"/>
        </w:rPr>
        <w:lastRenderedPageBreak/>
        <w:t>Abstract</w:t>
      </w:r>
      <w:bookmarkEnd w:id="13"/>
      <w:r w:rsidRPr="00084F2E">
        <w:rPr>
          <w:rFonts w:eastAsiaTheme="majorEastAsia" w:cstheme="majorBidi"/>
          <w:bCs/>
          <w:sz w:val="32"/>
          <w:szCs w:val="28"/>
          <w:lang w:val="en-US"/>
        </w:rPr>
        <w:t xml:space="preserve"> </w:t>
      </w:r>
    </w:p>
    <w:p w14:paraId="7773E0C0" w14:textId="6B4D4C27" w:rsidR="0072282A" w:rsidRPr="00084F2E" w:rsidRDefault="00AB1BEC">
      <w:pPr>
        <w:spacing w:before="100" w:beforeAutospacing="1" w:after="100" w:afterAutospacing="1" w:line="276" w:lineRule="auto"/>
        <w:jc w:val="both"/>
        <w:rPr>
          <w:rFonts w:cs="Times New Roman"/>
          <w:b w:val="0"/>
          <w:i/>
          <w:lang w:val="en-US"/>
        </w:rPr>
      </w:pPr>
      <w:r w:rsidRPr="00084F2E">
        <w:rPr>
          <w:rFonts w:cs="Times New Roman"/>
          <w:b w:val="0"/>
          <w:i/>
          <w:lang w:val="en-US"/>
        </w:rPr>
        <w:t>The paper has explored the factors that determine agricultural product export performance in Ethiopia (1993-2022) with a highlight on the major trends, issues, and opportunities that influence the performance of exporting agricultural products.</w:t>
      </w:r>
      <w:r w:rsidR="00FE2F8E" w:rsidRPr="00084F2E">
        <w:t xml:space="preserve"> </w:t>
      </w:r>
      <w:r w:rsidR="00FE2F8E" w:rsidRPr="00084F2E">
        <w:rPr>
          <w:rFonts w:cs="Times New Roman"/>
          <w:b w:val="0"/>
          <w:i/>
          <w:lang w:val="en-US"/>
        </w:rPr>
        <w:t xml:space="preserve">While agriculture remains the backbone of Ethiopia’s economy—driving GDP growth and providing the bulk of national employment—its export potential is stifled by low productivity, fragmented supply chains, and limited access to modern farming technology. </w:t>
      </w:r>
      <w:r w:rsidRPr="00084F2E">
        <w:rPr>
          <w:rFonts w:cs="Times New Roman"/>
          <w:b w:val="0"/>
          <w:i/>
          <w:lang w:val="en-US"/>
        </w:rPr>
        <w:t xml:space="preserve">The mixed-methods research design was used, which involves quantitative method in order to offer a thorough analysis of the factors that influence the performance of agricultural </w:t>
      </w:r>
      <w:r w:rsidR="00FE2F8E" w:rsidRPr="00084F2E">
        <w:rPr>
          <w:rFonts w:cs="Times New Roman"/>
          <w:b w:val="0"/>
          <w:i/>
          <w:lang w:val="en-US"/>
        </w:rPr>
        <w:t>exports.</w:t>
      </w:r>
      <w:r w:rsidRPr="00084F2E">
        <w:rPr>
          <w:rFonts w:cs="Times New Roman"/>
          <w:b w:val="0"/>
          <w:i/>
          <w:lang w:val="en-US"/>
        </w:rPr>
        <w:t xml:space="preserve"> Secondary sources such as trade statistics, economic reports, were used to collect data, which were analyzed with the help of Autoregressive Distributed Lag model and Error Correction Mechanism to determine both short and long run association between the variables. This research established that GDP growth, government debt, corruption</w:t>
      </w:r>
      <w:r w:rsidR="00FE2F8E" w:rsidRPr="00084F2E">
        <w:rPr>
          <w:rFonts w:cs="Times New Roman"/>
          <w:b w:val="0"/>
          <w:i/>
          <w:lang w:val="en-US"/>
        </w:rPr>
        <w:t xml:space="preserve"> </w:t>
      </w:r>
      <w:r w:rsidRPr="00084F2E">
        <w:rPr>
          <w:rFonts w:cs="Times New Roman"/>
          <w:b w:val="0"/>
          <w:i/>
          <w:lang w:val="en-US"/>
        </w:rPr>
        <w:t xml:space="preserve">level, infrastructure quality, and Consumer Price Index have a major determinant on the export performance. </w:t>
      </w:r>
      <w:r w:rsidR="009069C5" w:rsidRPr="00084F2E">
        <w:rPr>
          <w:rFonts w:cs="Times New Roman"/>
          <w:b w:val="0"/>
          <w:i/>
          <w:lang w:val="en-US"/>
        </w:rPr>
        <w:t>It is worth noting that although the first attempts at controlling corruption adversely affected exports, it later had a positive effect on the growth</w:t>
      </w:r>
      <w:r w:rsidR="00E04F28" w:rsidRPr="00084F2E">
        <w:rPr>
          <w:rFonts w:cs="Times New Roman"/>
          <w:b w:val="0"/>
          <w:i/>
          <w:lang w:val="en-US"/>
        </w:rPr>
        <w:t>.</w:t>
      </w:r>
      <w:r w:rsidR="009069C5" w:rsidRPr="00084F2E">
        <w:rPr>
          <w:rFonts w:cs="Times New Roman"/>
          <w:b w:val="0"/>
          <w:i/>
          <w:lang w:val="en-US"/>
        </w:rPr>
        <w:t xml:space="preserve"> </w:t>
      </w:r>
      <w:r w:rsidRPr="00084F2E">
        <w:rPr>
          <w:rFonts w:cs="Times New Roman"/>
          <w:b w:val="0"/>
          <w:i/>
          <w:lang w:val="en-US"/>
        </w:rPr>
        <w:t xml:space="preserve">The analysis showed that there was a quick adjustment process applying an average of 67.25 percent of any imbalance in export performance within a year. The results indicate that a long-term economic growth and strong domestic capital formation are critical in increasing the export capacity. Nonetheless, the existence of high levels of indirect taxation always discourages the competitiveness of exports, which means that the policy changes are to be implemented. The </w:t>
      </w:r>
      <w:r w:rsidR="00C2704E" w:rsidRPr="00084F2E">
        <w:rPr>
          <w:rFonts w:cs="Times New Roman"/>
          <w:b w:val="0"/>
          <w:i/>
          <w:lang w:val="en-US"/>
        </w:rPr>
        <w:t>report</w:t>
      </w:r>
      <w:r w:rsidRPr="00084F2E">
        <w:rPr>
          <w:rFonts w:cs="Times New Roman"/>
          <w:b w:val="0"/>
          <w:i/>
          <w:lang w:val="en-US"/>
        </w:rPr>
        <w:t xml:space="preserve"> concludes that specific actions are needed to help deal with the structural inefficiency of the agricultural export sector in Ethiopia. Some of the recommendations involve the use of fiscal policies to lower the indirect taxes imposed on exports, investment in infrastructure and the enhancement of governance to allow trade. </w:t>
      </w:r>
    </w:p>
    <w:p w14:paraId="338216BE" w14:textId="77777777" w:rsidR="0072282A" w:rsidRPr="00084F2E" w:rsidRDefault="00AB1BEC">
      <w:pPr>
        <w:spacing w:before="100" w:beforeAutospacing="1" w:after="100" w:afterAutospacing="1" w:line="276" w:lineRule="auto"/>
        <w:jc w:val="both"/>
        <w:rPr>
          <w:rFonts w:cs="Times New Roman"/>
          <w:b w:val="0"/>
          <w:lang w:val="en-US"/>
        </w:rPr>
      </w:pPr>
      <w:r w:rsidRPr="00084F2E">
        <w:rPr>
          <w:rFonts w:cs="Times New Roman"/>
          <w:b w:val="0"/>
          <w:lang w:val="en-US"/>
        </w:rPr>
        <w:t>Keywords: Agricultural exports, Ethiopia, Export performance, Corruption, Infrastructure, Economic growth, Autoregressive Distributed Lag Model, Error Correction Mechanism.</w:t>
      </w:r>
    </w:p>
    <w:p w14:paraId="20AF4D91" w14:textId="77777777" w:rsidR="0072282A" w:rsidRPr="00084F2E" w:rsidRDefault="00AB1BEC">
      <w:pPr>
        <w:spacing w:after="200" w:line="276" w:lineRule="auto"/>
        <w:rPr>
          <w:rFonts w:cs="Times New Roman"/>
          <w:b w:val="0"/>
          <w:lang w:val="en-US"/>
        </w:rPr>
      </w:pPr>
      <w:r w:rsidRPr="00084F2E">
        <w:rPr>
          <w:rFonts w:cs="Times New Roman"/>
          <w:b w:val="0"/>
          <w:lang w:val="en-US"/>
        </w:rPr>
        <w:br w:type="page"/>
      </w:r>
    </w:p>
    <w:p w14:paraId="003F85A7" w14:textId="77777777" w:rsidR="0072282A" w:rsidRPr="00084F2E" w:rsidRDefault="0072282A">
      <w:pPr>
        <w:spacing w:before="100" w:beforeAutospacing="1" w:after="100" w:afterAutospacing="1" w:line="276" w:lineRule="auto"/>
        <w:jc w:val="both"/>
        <w:rPr>
          <w:rFonts w:cs="Times New Roman"/>
          <w:b w:val="0"/>
          <w:lang w:val="en-US"/>
        </w:rPr>
        <w:sectPr w:rsidR="0072282A" w:rsidRPr="00084F2E">
          <w:pgSz w:w="12240" w:h="15840"/>
          <w:pgMar w:top="1440" w:right="1440" w:bottom="1440" w:left="1440" w:header="720" w:footer="720" w:gutter="0"/>
          <w:pgNumType w:fmt="upperRoman"/>
          <w:cols w:space="720"/>
          <w:titlePg/>
          <w:docGrid w:linePitch="360"/>
        </w:sectPr>
      </w:pPr>
    </w:p>
    <w:p w14:paraId="1FF70035" w14:textId="77777777" w:rsidR="0072282A" w:rsidRPr="00084F2E" w:rsidRDefault="0072282A">
      <w:pPr>
        <w:spacing w:before="100" w:beforeAutospacing="1" w:after="100" w:afterAutospacing="1" w:line="276" w:lineRule="auto"/>
        <w:jc w:val="both"/>
        <w:rPr>
          <w:rFonts w:cs="Times New Roman"/>
          <w:b w:val="0"/>
          <w:lang w:val="en-US"/>
        </w:rPr>
      </w:pPr>
    </w:p>
    <w:p w14:paraId="61CFAEFF" w14:textId="77777777" w:rsidR="0072282A" w:rsidRPr="00084F2E" w:rsidRDefault="00AB1BEC">
      <w:pPr>
        <w:keepNext/>
        <w:keepLines/>
        <w:spacing w:before="480"/>
        <w:jc w:val="center"/>
        <w:outlineLvl w:val="0"/>
        <w:rPr>
          <w:rFonts w:eastAsiaTheme="majorEastAsia" w:cstheme="majorBidi"/>
          <w:bCs/>
          <w:sz w:val="32"/>
          <w:szCs w:val="28"/>
          <w:lang w:val="en-US"/>
        </w:rPr>
      </w:pPr>
      <w:bookmarkStart w:id="14" w:name="_Toc220661988"/>
      <w:r w:rsidRPr="00084F2E">
        <w:rPr>
          <w:rFonts w:eastAsiaTheme="majorEastAsia" w:cstheme="majorBidi"/>
          <w:bCs/>
          <w:sz w:val="32"/>
          <w:szCs w:val="28"/>
          <w:lang w:val="en-US"/>
        </w:rPr>
        <w:t>CHAPTER ONE</w:t>
      </w:r>
      <w:bookmarkEnd w:id="14"/>
    </w:p>
    <w:p w14:paraId="02D684E4" w14:textId="77777777" w:rsidR="0072282A" w:rsidRPr="00084F2E" w:rsidRDefault="00AB1BEC">
      <w:pPr>
        <w:pStyle w:val="Heading2"/>
        <w:rPr>
          <w:lang w:val="en-US"/>
        </w:rPr>
      </w:pPr>
      <w:bookmarkStart w:id="15" w:name="_Toc220661989"/>
      <w:r w:rsidRPr="00084F2E">
        <w:rPr>
          <w:lang w:val="en-US"/>
        </w:rPr>
        <w:t>1.2 Background of the study</w:t>
      </w:r>
      <w:bookmarkEnd w:id="15"/>
      <w:r w:rsidRPr="00084F2E">
        <w:rPr>
          <w:lang w:val="en-US"/>
        </w:rPr>
        <w:t xml:space="preserve"> </w:t>
      </w:r>
    </w:p>
    <w:p w14:paraId="7AB4E22F" w14:textId="77777777" w:rsidR="0072282A" w:rsidRPr="00084F2E" w:rsidRDefault="00AB1BEC">
      <w:pPr>
        <w:shd w:val="clear" w:color="auto" w:fill="FFFFFF"/>
        <w:tabs>
          <w:tab w:val="left" w:pos="6750"/>
        </w:tabs>
        <w:spacing w:after="240" w:line="360" w:lineRule="auto"/>
        <w:jc w:val="both"/>
        <w:rPr>
          <w:rFonts w:cs="Times New Roman"/>
          <w:b w:val="0"/>
          <w:szCs w:val="21"/>
          <w:lang w:val="en-US"/>
        </w:rPr>
      </w:pPr>
      <w:r w:rsidRPr="00084F2E">
        <w:rPr>
          <w:rFonts w:cs="Times New Roman"/>
          <w:b w:val="0"/>
          <w:szCs w:val="21"/>
          <w:lang w:val="en-US"/>
        </w:rPr>
        <w:t>The agricultural industry in Ethiopia plays an important role in the economy of the country with an estimated contribution of around 40 percent to the GDP of the country and it provides more than 70 percent of the population with employment (</w:t>
      </w:r>
      <w:r w:rsidR="00AC5C64" w:rsidRPr="00084F2E">
        <w:rPr>
          <w:rFonts w:cs="Times New Roman"/>
          <w:b w:val="0"/>
          <w:szCs w:val="21"/>
          <w:lang w:val="en-US"/>
        </w:rPr>
        <w:fldChar w:fldCharType="begin" w:fldLock="1"/>
      </w:r>
      <w:r w:rsidRPr="00084F2E">
        <w:rPr>
          <w:rFonts w:cs="Times New Roman"/>
          <w:b w:val="0"/>
          <w:szCs w:val="21"/>
          <w:lang w:val="en-US"/>
        </w:rPr>
        <w:instrText>ADDIN CSL_CITATION {"citationItems":[{"id":"ITEM-1","itemData":{"author":[{"dropping-particle":"","family":"World Bank","given":"","non-dropping-particle":"","parse-names":false,"suffix":""}],"container-title":"Ethiopia Country Program Evaluation","id":"ITEM-1","issued":{"date-parts":[["2023"]]},"page":"1-25","title":"Ethiopia Country Program Evaluation","type":"article-journal","volume":"2017"},"uris":["http://www.mendeley.com/documents/?uuid=3ba21b71-92e4-4f6c-82ef-25c7e7eb0d4c"]}],"mendeley":{"formattedCitation":"(World Bank, 2023)","plainTextFormattedCitation":"(World Bank, 2023)","previouslyFormattedCitation":"(World Bank, 2023)"},"properties":{"noteIndex":0},"schema":"https://github.com/citation-style-language/schema/raw/master/csl-citation.json"}</w:instrText>
      </w:r>
      <w:r w:rsidR="00AC5C64" w:rsidRPr="00084F2E">
        <w:rPr>
          <w:rFonts w:cs="Times New Roman"/>
          <w:b w:val="0"/>
          <w:szCs w:val="21"/>
          <w:lang w:val="en-US"/>
        </w:rPr>
        <w:fldChar w:fldCharType="separate"/>
      </w:r>
      <w:r w:rsidRPr="00084F2E">
        <w:rPr>
          <w:rFonts w:cs="Times New Roman"/>
          <w:b w:val="0"/>
          <w:noProof/>
          <w:szCs w:val="21"/>
          <w:lang w:val="en-US"/>
        </w:rPr>
        <w:t>(World Bank, 2023)</w:t>
      </w:r>
      <w:r w:rsidR="00AC5C64" w:rsidRPr="00084F2E">
        <w:rPr>
          <w:rFonts w:cs="Times New Roman"/>
          <w:b w:val="0"/>
          <w:szCs w:val="21"/>
          <w:lang w:val="en-US"/>
        </w:rPr>
        <w:fldChar w:fldCharType="end"/>
      </w:r>
      <w:r w:rsidRPr="00084F2E">
        <w:rPr>
          <w:rFonts w:cs="Times New Roman"/>
          <w:b w:val="0"/>
          <w:szCs w:val="21"/>
          <w:lang w:val="en-US"/>
        </w:rPr>
        <w:t xml:space="preserve">; </w:t>
      </w:r>
      <w:r w:rsidR="00AC5C64" w:rsidRPr="00084F2E">
        <w:rPr>
          <w:rFonts w:cs="Times New Roman"/>
          <w:b w:val="0"/>
          <w:szCs w:val="21"/>
          <w:lang w:val="en-US"/>
        </w:rPr>
        <w:fldChar w:fldCharType="begin" w:fldLock="1"/>
      </w:r>
      <w:r w:rsidRPr="00084F2E">
        <w:rPr>
          <w:rFonts w:cs="Times New Roman"/>
          <w:b w:val="0"/>
          <w:szCs w:val="21"/>
          <w:lang w:val="en-US"/>
        </w:rPr>
        <w:instrText>ADDIN CSL_CITATION {"citationItems":[{"id":"ITEM-1","itemData":{"DOI":"10.4060/cc3751en","abstract":"The 2030 Agenda of the United Nations (UN) sets ambitious objectives for the world to preserve natural resources and achieve climate neutrality by 2050. Within this vision, the agricultural sector assumes a key role in meeting the Sustainable Development Goals (SDGs) to ensure access to nutritious and healthy food, create circular agricultural systems and reduce waste in the supply chain. Feeding the growing population without overexploiting resources is a concern that can be addressed through the adoption of long-term sustainable production techniques. The global sustainability challenge, in turn, impacts differently on each territory depending on its own specificities. Therefore, significant efforts and investments are needed from all actors and institutions involved at the various stages to promote coordinated and effective actions. The Statistics Division (ESS) of the Food and Agriculture Organization of the United Nations (FAO) contributes key data that harmonize agricultural production data collected for 199 countries and territories. This analytical brief summarizes and highlights relevant patterns from 2000 up to 2022 featured by the latest data published on the FAOSTAT data platform","author":[{"dropping-particle":"","family":"Brief","given":"Faostat Analytical","non-dropping-particle":"","parse-names":false,"suffix":""}],"container-title":"Agricultural production statistics 2000–2021","id":"ITEM-1","issued":{"date-parts":[["2022"]]},"title":"Agricultural production statistics 2000–2021","type":"article-journal"},"uris":["http://www.mendeley.com/documents/?uuid=435ea39b-9882-44cd-bb3f-ca1a463289e2"]}],"mendeley":{"formattedCitation":"(Brief, 2022)","plainTextFormattedCitation":"(Brief, 2022)","previouslyFormattedCitation":"(Brief, 2022)"},"properties":{"noteIndex":0},"schema":"https://github.com/citation-style-language/schema/raw/master/csl-citation.json"}</w:instrText>
      </w:r>
      <w:r w:rsidR="00AC5C64" w:rsidRPr="00084F2E">
        <w:rPr>
          <w:rFonts w:cs="Times New Roman"/>
          <w:b w:val="0"/>
          <w:szCs w:val="21"/>
          <w:lang w:val="en-US"/>
        </w:rPr>
        <w:fldChar w:fldCharType="separate"/>
      </w:r>
      <w:r w:rsidRPr="00084F2E">
        <w:rPr>
          <w:rFonts w:cs="Times New Roman"/>
          <w:b w:val="0"/>
          <w:noProof/>
          <w:szCs w:val="21"/>
          <w:lang w:val="en-US"/>
        </w:rPr>
        <w:t>(Brief, 2022)</w:t>
      </w:r>
      <w:r w:rsidR="00AC5C64" w:rsidRPr="00084F2E">
        <w:rPr>
          <w:rFonts w:cs="Times New Roman"/>
          <w:b w:val="0"/>
          <w:szCs w:val="21"/>
          <w:lang w:val="en-US"/>
        </w:rPr>
        <w:fldChar w:fldCharType="end"/>
      </w:r>
      <w:r w:rsidRPr="00084F2E">
        <w:rPr>
          <w:rFonts w:cs="Times New Roman"/>
          <w:b w:val="0"/>
          <w:szCs w:val="21"/>
          <w:lang w:val="en-US"/>
        </w:rPr>
        <w:t>. This sector provides crucial livelihoods to the majority of Ethiopians and is a major part of the country's export economy. Produce from agriculture, particularly coffee, teff, and other horticultural products, contribute substantially to this sector of the economy.</w:t>
      </w:r>
    </w:p>
    <w:p w14:paraId="08563099" w14:textId="4CABDEED" w:rsidR="0072282A" w:rsidRPr="00084F2E" w:rsidRDefault="00AB1BEC">
      <w:pPr>
        <w:shd w:val="clear" w:color="auto" w:fill="FFFFFF"/>
        <w:tabs>
          <w:tab w:val="left" w:pos="6750"/>
        </w:tabs>
        <w:spacing w:after="240" w:line="360" w:lineRule="auto"/>
        <w:jc w:val="both"/>
        <w:rPr>
          <w:rFonts w:cs="Times New Roman"/>
          <w:b w:val="0"/>
          <w:szCs w:val="21"/>
          <w:lang w:val="en-US"/>
        </w:rPr>
      </w:pPr>
      <w:r w:rsidRPr="00084F2E">
        <w:rPr>
          <w:rFonts w:cs="Times New Roman"/>
          <w:b w:val="0"/>
          <w:szCs w:val="21"/>
          <w:lang w:val="en-US"/>
        </w:rPr>
        <w:t xml:space="preserve">Ethiopia, also referred to as the birthplace of </w:t>
      </w:r>
      <w:r w:rsidR="001A5810" w:rsidRPr="00084F2E">
        <w:rPr>
          <w:rFonts w:cs="Times New Roman"/>
          <w:b w:val="0"/>
          <w:szCs w:val="21"/>
          <w:lang w:val="en-US"/>
        </w:rPr>
        <w:t>coffee, is</w:t>
      </w:r>
      <w:r w:rsidRPr="00084F2E">
        <w:rPr>
          <w:rFonts w:cs="Times New Roman"/>
          <w:b w:val="0"/>
          <w:szCs w:val="21"/>
          <w:lang w:val="en-US"/>
        </w:rPr>
        <w:t xml:space="preserve"> responsible for generating around 30% of total export revenues </w:t>
      </w:r>
      <w:r w:rsidR="00AC5C64" w:rsidRPr="00084F2E">
        <w:rPr>
          <w:rFonts w:cs="Times New Roman"/>
          <w:b w:val="0"/>
          <w:szCs w:val="21"/>
          <w:lang w:val="en-US"/>
        </w:rPr>
        <w:fldChar w:fldCharType="begin" w:fldLock="1"/>
      </w:r>
      <w:r w:rsidRPr="00084F2E">
        <w:rPr>
          <w:rFonts w:cs="Times New Roman"/>
          <w:b w:val="0"/>
          <w:szCs w:val="21"/>
          <w:lang w:val="en-US"/>
        </w:rPr>
        <w:instrText>ADDIN CSL_CITATION {"citationItems":[{"id":"ITEM-1","itemData":{"author":[{"dropping-particle":"","family":"Stevinstraat","given":"","non-dropping-particle":"","parse-names":false,"suffix":""}],"id":"ITEM-1","issue":"295","issued":{"date-parts":[["2022"]]},"title":"Europe External Programme with Africa SITUATION REPORT - HORN OF AFRICA","type":"article-journal"},"uris":["http://www.mendeley.com/documents/?uuid=45334521-f245-43e9-9874-8b2fd6f31552"]}],"mendeley":{"formattedCitation":"(Stevinstraat, 2022)","plainTextFormattedCitation":"(Stevinstraat, 2022)","previouslyFormattedCitation":"(Stevinstraat, 2022)"},"properties":{"noteIndex":0},"schema":"https://github.com/citation-style-language/schema/raw/master/csl-citation.json"}</w:instrText>
      </w:r>
      <w:r w:rsidR="00AC5C64" w:rsidRPr="00084F2E">
        <w:rPr>
          <w:rFonts w:cs="Times New Roman"/>
          <w:b w:val="0"/>
          <w:szCs w:val="21"/>
          <w:lang w:val="en-US"/>
        </w:rPr>
        <w:fldChar w:fldCharType="separate"/>
      </w:r>
      <w:r w:rsidRPr="00084F2E">
        <w:rPr>
          <w:rFonts w:cs="Times New Roman"/>
          <w:b w:val="0"/>
          <w:noProof/>
          <w:szCs w:val="21"/>
          <w:lang w:val="en-US"/>
        </w:rPr>
        <w:t>(Stevinstraat, 2022)</w:t>
      </w:r>
      <w:r w:rsidR="00AC5C64" w:rsidRPr="00084F2E">
        <w:rPr>
          <w:rFonts w:cs="Times New Roman"/>
          <w:b w:val="0"/>
          <w:szCs w:val="21"/>
          <w:lang w:val="en-US"/>
        </w:rPr>
        <w:fldChar w:fldCharType="end"/>
      </w:r>
      <w:r w:rsidRPr="00084F2E">
        <w:rPr>
          <w:rFonts w:cs="Times New Roman"/>
          <w:b w:val="0"/>
          <w:szCs w:val="21"/>
          <w:lang w:val="en-US"/>
        </w:rPr>
        <w:t xml:space="preserve">. In 2022, total agricultural exports reached nearly $3 billion, of which coffee accounted for more than $1 billion.  This truly illustrates the significance of this industry for the inflow of foreign capital and economic growth </w:t>
      </w:r>
      <w:r w:rsidR="00AC5C64" w:rsidRPr="00084F2E">
        <w:rPr>
          <w:rFonts w:cs="Times New Roman"/>
          <w:b w:val="0"/>
          <w:szCs w:val="21"/>
          <w:lang w:val="en-US"/>
        </w:rPr>
        <w:fldChar w:fldCharType="begin" w:fldLock="1"/>
      </w:r>
      <w:r w:rsidRPr="00084F2E">
        <w:rPr>
          <w:rFonts w:cs="Times New Roman"/>
          <w:b w:val="0"/>
          <w:szCs w:val="21"/>
          <w:lang w:val="en-US"/>
        </w:rPr>
        <w:instrText>ADDIN CSL_CITATION {"citationItems":[{"id":"ITEM-1","itemData":{"author":[{"dropping-particle":"","family":"Abdelmeguid","given":"Mohamed","non-dropping-particle":"","parse-names":false,"suffix":""},{"dropping-particle":"","family":"Birch","given":"Cailin","non-dropping-particle":"","parse-names":false,"suffix":""},{"dropping-particle":"","family":"King","given":"Charlotte","non-dropping-particle":"","parse-names":false,"suffix":""},{"dropping-particle":"","family":"Delbruck","given":"Felix","non-dropping-particle":"","parse-names":false,"suffix":""},{"dropping-particle":"","family":"Ferguson","given":"John","non-dropping-particle":"","parse-names":false,"suffix":""},{"dropping-particle":"","family":"Haralambous","given":"Danielle","non-dropping-particle":"","parse-names":false,"suffix":""},{"dropping-particle":"","family":"Jakeman","given":"Mike","non-dropping-particle":"","parse-names":false,"suffix":""},{"dropping-particle":"","family":"Homme","given":"Agathe L","non-dropping-particle":"","parse-names":false,"suffix":""},{"dropping-particle":"","family":"Walker","given":"Philip","non-dropping-particle":"","parse-names":false,"suffix":""},{"dropping-particle":"","family":"Wood","given":"Robert","non-dropping-particle":"","parse-names":false,"suffix":""}],"id":"ITEM-1","issue":"January","issued":{"date-parts":[["2022"]]},"page":"1-64","title":"Global outlook","type":"article-journal"},"uris":["http://www.mendeley.com/documents/?uuid=bba10698-b455-45fe-8b6c-9ff9fa6cd774"]}],"mendeley":{"formattedCitation":"(Abdelmeguid et al., 2022)","plainTextFormattedCitation":"(Abdelmeguid et al., 2022)","previouslyFormattedCitation":"(Abdelmeguid et al., 2022)"},"properties":{"noteIndex":0},"schema":"https://github.com/citation-style-language/schema/raw/master/csl-citation.json"}</w:instrText>
      </w:r>
      <w:r w:rsidR="00AC5C64" w:rsidRPr="00084F2E">
        <w:rPr>
          <w:rFonts w:cs="Times New Roman"/>
          <w:b w:val="0"/>
          <w:szCs w:val="21"/>
          <w:lang w:val="en-US"/>
        </w:rPr>
        <w:fldChar w:fldCharType="separate"/>
      </w:r>
      <w:r w:rsidRPr="00084F2E">
        <w:rPr>
          <w:rFonts w:cs="Times New Roman"/>
          <w:b w:val="0"/>
          <w:noProof/>
          <w:szCs w:val="21"/>
          <w:lang w:val="en-US"/>
        </w:rPr>
        <w:t>(Abdelmeguid et al., 2022)</w:t>
      </w:r>
      <w:r w:rsidR="00AC5C64" w:rsidRPr="00084F2E">
        <w:rPr>
          <w:rFonts w:cs="Times New Roman"/>
          <w:b w:val="0"/>
          <w:szCs w:val="21"/>
          <w:lang w:val="en-US"/>
        </w:rPr>
        <w:fldChar w:fldCharType="end"/>
      </w:r>
      <w:r w:rsidRPr="00084F2E">
        <w:rPr>
          <w:rFonts w:cs="Times New Roman"/>
          <w:b w:val="0"/>
          <w:szCs w:val="21"/>
          <w:lang w:val="en-US"/>
        </w:rPr>
        <w:t>.</w:t>
      </w:r>
    </w:p>
    <w:p w14:paraId="6D930A03" w14:textId="77777777" w:rsidR="0072282A" w:rsidRPr="00084F2E" w:rsidRDefault="00AB1BEC">
      <w:pPr>
        <w:shd w:val="clear" w:color="auto" w:fill="FFFFFF"/>
        <w:spacing w:after="240" w:line="360" w:lineRule="auto"/>
        <w:jc w:val="both"/>
        <w:rPr>
          <w:rFonts w:cs="Times New Roman"/>
          <w:b w:val="0"/>
          <w:szCs w:val="21"/>
          <w:lang w:val="en-US"/>
        </w:rPr>
      </w:pPr>
      <w:r w:rsidRPr="00084F2E">
        <w:rPr>
          <w:rFonts w:cs="Times New Roman"/>
          <w:b w:val="0"/>
          <w:szCs w:val="21"/>
          <w:lang w:val="en-US"/>
        </w:rPr>
        <w:t xml:space="preserve">Agriculture is responsible for around 40% of Ethiopia's GDP, which makes it an important factor of economic development. The GDP of the country was roughly estimated as $111 billion in 2022 </w:t>
      </w:r>
      <w:r w:rsidR="00AC5C64" w:rsidRPr="00084F2E">
        <w:rPr>
          <w:rFonts w:cs="Times New Roman"/>
          <w:b w:val="0"/>
          <w:szCs w:val="21"/>
          <w:lang w:val="en-US"/>
        </w:rPr>
        <w:fldChar w:fldCharType="begin" w:fldLock="1"/>
      </w:r>
      <w:r w:rsidRPr="00084F2E">
        <w:rPr>
          <w:rFonts w:cs="Times New Roman"/>
          <w:b w:val="0"/>
          <w:szCs w:val="21"/>
          <w:lang w:val="en-US"/>
        </w:rPr>
        <w:instrText>ADDIN CSL_CITATION {"citationItems":[{"id":"ITEM-1","itemData":{"id":"ITEM-1","issue":"1997","issued":{"date-parts":[["2004"]]},"title":"Ethiopia : Macroeconomic and Social Indicators","type":"article-journal","volume":"05"},"uris":["http://www.mendeley.com/documents/?uuid=18057d9f-ab1f-4135-bae8-f03f20a95282"]}],"mendeley":{"formattedCitation":"(&lt;i&gt;Ethiopia : Macroeconomic and Social Indicators&lt;/i&gt;, 2004)","plainTextFormattedCitation":"(Ethiopia : Macroeconomic and Social Indicators, 2004)","previouslyFormattedCitation":"(&lt;i&gt;Ethiopia : Macroeconomic and Social Indicators&lt;/i&gt;, 2004)"},"properties":{"noteIndex":0},"schema":"https://github.com/citation-style-language/schema/raw/master/csl-citation.json"}</w:instrText>
      </w:r>
      <w:r w:rsidR="00AC5C64" w:rsidRPr="00084F2E">
        <w:rPr>
          <w:rFonts w:cs="Times New Roman"/>
          <w:b w:val="0"/>
          <w:szCs w:val="21"/>
          <w:lang w:val="en-US"/>
        </w:rPr>
        <w:fldChar w:fldCharType="separate"/>
      </w:r>
      <w:r w:rsidRPr="00084F2E">
        <w:rPr>
          <w:rFonts w:cs="Times New Roman"/>
          <w:b w:val="0"/>
          <w:noProof/>
          <w:szCs w:val="21"/>
          <w:lang w:val="en-US"/>
        </w:rPr>
        <w:t>(</w:t>
      </w:r>
      <w:r w:rsidRPr="00084F2E">
        <w:rPr>
          <w:rFonts w:cs="Times New Roman"/>
          <w:b w:val="0"/>
          <w:i/>
          <w:noProof/>
          <w:szCs w:val="21"/>
          <w:lang w:val="en-US"/>
        </w:rPr>
        <w:t>Ethiopia : Macroeconomic and Social Indicators</w:t>
      </w:r>
      <w:r w:rsidRPr="00084F2E">
        <w:rPr>
          <w:rFonts w:cs="Times New Roman"/>
          <w:b w:val="0"/>
          <w:noProof/>
          <w:szCs w:val="21"/>
          <w:lang w:val="en-US"/>
        </w:rPr>
        <w:t>, 2004)</w:t>
      </w:r>
      <w:r w:rsidR="00AC5C64" w:rsidRPr="00084F2E">
        <w:rPr>
          <w:rFonts w:cs="Times New Roman"/>
          <w:b w:val="0"/>
          <w:szCs w:val="21"/>
          <w:lang w:val="en-US"/>
        </w:rPr>
        <w:fldChar w:fldCharType="end"/>
      </w:r>
      <w:r w:rsidRPr="00084F2E">
        <w:rPr>
          <w:rFonts w:cs="Times New Roman"/>
          <w:b w:val="0"/>
          <w:szCs w:val="21"/>
          <w:lang w:val="en-US"/>
        </w:rPr>
        <w:t xml:space="preserve">, the agricultural sector constitutes a fundamental sector that underpins the livelihoods of rural populations as well as the economic frameworks of urban areas. Furthermore, the agricultural domain plays a crucial role in generating indirect tax revenue, representing an estimated 25% of the total indirect tax revenue for the year 2022 </w:t>
      </w:r>
      <w:r w:rsidR="00AC5C64" w:rsidRPr="00084F2E">
        <w:rPr>
          <w:rFonts w:cs="Times New Roman"/>
          <w:b w:val="0"/>
          <w:szCs w:val="21"/>
          <w:lang w:val="en-US"/>
        </w:rPr>
        <w:fldChar w:fldCharType="begin" w:fldLock="1"/>
      </w:r>
      <w:r w:rsidRPr="00084F2E">
        <w:rPr>
          <w:rFonts w:cs="Times New Roman"/>
          <w:b w:val="0"/>
          <w:szCs w:val="21"/>
          <w:lang w:val="en-US"/>
        </w:rPr>
        <w:instrText>ADDIN CSL_CITATION {"citationItems":[{"id":"ITEM-1","itemData":{"author":[{"dropping-particle":"","family":"Ababa","given":"Addis","non-dropping-particle":"","parse-names":false,"suffix":""}],"id":"ITEM-1","issue":"August","issued":{"date-parts":[["2024"]]},"page":"1-69","title":"FEDERAL DEMOCRATIC REPUBLIC OF National Medium-Term Revenue Strategy","type":"article-journal"},"uris":["http://www.mendeley.com/documents/?uuid=57b62125-e3c4-4c0c-9520-e99883389cf1"]}],"mendeley":{"formattedCitation":"(Ababa, 2024)","plainTextFormattedCitation":"(Ababa, 2024)","previouslyFormattedCitation":"(Ababa, 2024)"},"properties":{"noteIndex":0},"schema":"https://github.com/citation-style-language/schema/raw/master/csl-citation.json"}</w:instrText>
      </w:r>
      <w:r w:rsidR="00AC5C64" w:rsidRPr="00084F2E">
        <w:rPr>
          <w:rFonts w:cs="Times New Roman"/>
          <w:b w:val="0"/>
          <w:szCs w:val="21"/>
          <w:lang w:val="en-US"/>
        </w:rPr>
        <w:fldChar w:fldCharType="separate"/>
      </w:r>
      <w:r w:rsidRPr="00084F2E">
        <w:rPr>
          <w:rFonts w:cs="Times New Roman"/>
          <w:b w:val="0"/>
          <w:noProof/>
          <w:szCs w:val="21"/>
          <w:lang w:val="en-US"/>
        </w:rPr>
        <w:t>(Ababa, 2024)</w:t>
      </w:r>
      <w:r w:rsidR="00AC5C64" w:rsidRPr="00084F2E">
        <w:rPr>
          <w:rFonts w:cs="Times New Roman"/>
          <w:b w:val="0"/>
          <w:szCs w:val="21"/>
          <w:lang w:val="en-US"/>
        </w:rPr>
        <w:fldChar w:fldCharType="end"/>
      </w:r>
      <w:r w:rsidRPr="00084F2E">
        <w:rPr>
          <w:rFonts w:cs="Times New Roman"/>
          <w:b w:val="0"/>
          <w:szCs w:val="21"/>
          <w:lang w:val="en-US"/>
        </w:rPr>
        <w:t>.</w:t>
      </w:r>
    </w:p>
    <w:p w14:paraId="3CF40A47" w14:textId="77777777" w:rsidR="0072282A" w:rsidRPr="00084F2E" w:rsidRDefault="00AB1BEC">
      <w:pPr>
        <w:shd w:val="clear" w:color="auto" w:fill="FFFFFF"/>
        <w:spacing w:after="240" w:line="360" w:lineRule="auto"/>
        <w:jc w:val="both"/>
        <w:rPr>
          <w:rFonts w:cs="Times New Roman"/>
          <w:b w:val="0"/>
          <w:szCs w:val="21"/>
          <w:lang w:val="en-US"/>
        </w:rPr>
      </w:pPr>
      <w:r w:rsidRPr="00084F2E">
        <w:rPr>
          <w:rFonts w:cs="Times New Roman"/>
          <w:b w:val="0"/>
          <w:szCs w:val="21"/>
          <w:lang w:val="en-US"/>
        </w:rPr>
        <w:t>The Consumer Price Index (CPI) in Ethiopia has been volatile due to the factors of agricultural production and the forces in the market. In 2023, Consumer Price Index recorded 15 percent annual increase with most of the prices increment being recorded in the staple crops (Loening et al., 2009). Climatic and infrastructure issues that change the agricultural production pattern lead to increased consumer prices that make the economy volatile.</w:t>
      </w:r>
    </w:p>
    <w:p w14:paraId="793B22ED" w14:textId="77777777" w:rsidR="0072282A" w:rsidRPr="00084F2E" w:rsidRDefault="00AB1BEC">
      <w:pPr>
        <w:shd w:val="clear" w:color="auto" w:fill="FFFFFF"/>
        <w:spacing w:after="240" w:line="360" w:lineRule="auto"/>
        <w:jc w:val="both"/>
        <w:rPr>
          <w:rFonts w:cs="Times New Roman"/>
          <w:b w:val="0"/>
          <w:szCs w:val="21"/>
          <w:lang w:val="en-US"/>
        </w:rPr>
      </w:pPr>
      <w:r w:rsidRPr="00084F2E">
        <w:rPr>
          <w:rFonts w:cs="Times New Roman"/>
          <w:b w:val="0"/>
          <w:szCs w:val="21"/>
          <w:lang w:val="en-US"/>
        </w:rPr>
        <w:t xml:space="preserve">Corruption poses significant problems in Ethiopia that diminish the opportunities of economic development as well as new investments. According to studies conducted by Diriba (2020) </w:t>
      </w:r>
      <w:r w:rsidRPr="00084F2E">
        <w:rPr>
          <w:rFonts w:cs="Times New Roman"/>
          <w:b w:val="0"/>
          <w:szCs w:val="21"/>
          <w:lang w:val="en-US"/>
        </w:rPr>
        <w:lastRenderedPageBreak/>
        <w:t>Ethiopia scored 37 out of 100 meaning that there is high perceived corruption. The current state of the environment acts as a barrier to be able to welcome foreign direct investment flows and prevent effective agricultural development projects. More research is necessary to ascertain the extent to which the extent of corruption poses a hindrance to companies investing directly under foreign operations in agricultural sectors.</w:t>
      </w:r>
    </w:p>
    <w:p w14:paraId="6CB7D5D5" w14:textId="77777777" w:rsidR="0072282A" w:rsidRPr="00084F2E" w:rsidRDefault="00AB1BEC">
      <w:pPr>
        <w:shd w:val="clear" w:color="auto" w:fill="FFFFFF"/>
        <w:spacing w:after="240" w:line="360" w:lineRule="auto"/>
        <w:jc w:val="both"/>
        <w:rPr>
          <w:rFonts w:cs="Times New Roman"/>
          <w:b w:val="0"/>
          <w:szCs w:val="21"/>
          <w:lang w:val="en-US"/>
        </w:rPr>
      </w:pPr>
      <w:r w:rsidRPr="00084F2E">
        <w:rPr>
          <w:rFonts w:cs="Times New Roman"/>
          <w:b w:val="0"/>
          <w:szCs w:val="21"/>
          <w:lang w:val="en-US"/>
        </w:rPr>
        <w:t>Ethiopian smallholder farmers face significant difficulties as far as access to financing resources are concerned. Studies indicate that farmers constitute about 25 percent of the people that use formal financial services (Zone &amp; State, 2022). The farmers should have improved access to financial products and credit in order to be in a position to buy sophisticated technologies and embrace better practices that would enhance their production output and export levels. Smallholder farmers have needs that require specific financial products yet the existing research has never been able to confirm the appropriate solutions.</w:t>
      </w:r>
    </w:p>
    <w:p w14:paraId="63933068" w14:textId="77777777" w:rsidR="0072282A" w:rsidRPr="00084F2E" w:rsidRDefault="00AB1BEC">
      <w:pPr>
        <w:shd w:val="clear" w:color="auto" w:fill="FFFFFF"/>
        <w:spacing w:after="240" w:line="360" w:lineRule="auto"/>
        <w:jc w:val="both"/>
        <w:rPr>
          <w:b w:val="0"/>
          <w:lang w:val="en-US"/>
        </w:rPr>
      </w:pPr>
      <w:r w:rsidRPr="00084F2E">
        <w:rPr>
          <w:rFonts w:cs="Times New Roman"/>
          <w:b w:val="0"/>
          <w:szCs w:val="21"/>
          <w:lang w:val="en-US"/>
        </w:rPr>
        <w:t xml:space="preserve">The research of Kitila (2023) shows that intra-African trade flows are stronger with the degree centrality of a country in the world trade network showing the countries with more trading partners to be more successful in trade. Performance of trade is also degraded as countries have trading partners closely related to one another as this raises the value of the clustering coefficient. These dynamics are validated by the negative binomial regression analysis that indicates the significance of the network structures in the performance of trade between African countries.  </w:t>
      </w:r>
      <w:r w:rsidRPr="00084F2E">
        <w:rPr>
          <w:b w:val="0"/>
          <w:lang w:val="en-US"/>
        </w:rPr>
        <w:t>More research is needed in order to know how the structure of trade networks can be optimized to boost the performance of Ethiopian trade with both regional and international perspectives.</w:t>
      </w:r>
    </w:p>
    <w:p w14:paraId="20B4F281" w14:textId="77777777" w:rsidR="0072282A" w:rsidRPr="00084F2E" w:rsidRDefault="00AB1BEC">
      <w:pPr>
        <w:shd w:val="clear" w:color="auto" w:fill="FFFFFF"/>
        <w:spacing w:after="240" w:line="360" w:lineRule="auto"/>
        <w:jc w:val="both"/>
        <w:rPr>
          <w:rFonts w:cs="Times New Roman"/>
          <w:b w:val="0"/>
          <w:szCs w:val="21"/>
          <w:lang w:val="en-US"/>
        </w:rPr>
      </w:pPr>
      <w:r w:rsidRPr="00084F2E">
        <w:rPr>
          <w:b w:val="0"/>
          <w:lang w:val="en-US"/>
        </w:rPr>
        <w:t xml:space="preserve">Ethiopia has also invested heavily in the road infrastructure that is essential in agricultural exportation. Nonetheless, there are still challenges that are facing it, as only a quarter of rural roads are paved </w:t>
      </w:r>
      <w:r w:rsidR="00AC5C64" w:rsidRPr="00084F2E">
        <w:rPr>
          <w:rFonts w:cs="Times New Roman"/>
          <w:b w:val="0"/>
          <w:szCs w:val="21"/>
          <w:lang w:val="en-US"/>
        </w:rPr>
        <w:fldChar w:fldCharType="begin" w:fldLock="1"/>
      </w:r>
      <w:r w:rsidRPr="00084F2E">
        <w:rPr>
          <w:rFonts w:cs="Times New Roman"/>
          <w:b w:val="0"/>
          <w:szCs w:val="21"/>
          <w:lang w:val="en-US"/>
        </w:rPr>
        <w:instrText>ADDIN CSL_CITATION {"citationItems":[{"id":"ITEM-1","itemData":{"author":[{"dropping-particle":"","family":"Bekele","given":"Semen","non-dropping-particle":"","parse-names":false,"suffix":""},{"dropping-particle":"","family":"Ferede","given":"Tadele","non-dropping-particle":"","parse-names":false,"suffix":""}],"id":"ITEM-1","issued":{"date-parts":[["0"]]},"title":"Economy-wide Impact of Investment in Road Infrastructure in Ethiopia : A Recursive Dynamic CGE Approach","type":"article-journal"},"uris":["http://www.mendeley.com/documents/?uuid=0bd0bdf5-a062-4a05-81d5-edbe5bb38d2f"]}],"mendeley":{"formattedCitation":"(Bekele &amp; Ferede, n.d.)","plainTextFormattedCitation":"(Bekele &amp; Ferede, n.d.)","previouslyFormattedCitation":"(Bekele &amp; Ferede, n.d.)"},"properties":{"noteIndex":0},"schema":"https://github.com/citation-style-language/schema/raw/master/csl-citation.json"}</w:instrText>
      </w:r>
      <w:r w:rsidR="00AC5C64" w:rsidRPr="00084F2E">
        <w:rPr>
          <w:rFonts w:cs="Times New Roman"/>
          <w:b w:val="0"/>
          <w:szCs w:val="21"/>
          <w:lang w:val="en-US"/>
        </w:rPr>
        <w:fldChar w:fldCharType="separate"/>
      </w:r>
      <w:r w:rsidRPr="00084F2E">
        <w:rPr>
          <w:rFonts w:cs="Times New Roman"/>
          <w:b w:val="0"/>
          <w:noProof/>
          <w:szCs w:val="21"/>
          <w:lang w:val="en-US"/>
        </w:rPr>
        <w:t>(Bekele &amp; Ferede, n.d.)</w:t>
      </w:r>
      <w:r w:rsidR="00AC5C64" w:rsidRPr="00084F2E">
        <w:rPr>
          <w:rFonts w:cs="Times New Roman"/>
          <w:b w:val="0"/>
          <w:szCs w:val="21"/>
          <w:lang w:val="en-US"/>
        </w:rPr>
        <w:fldChar w:fldCharType="end"/>
      </w:r>
      <w:r w:rsidRPr="00084F2E">
        <w:rPr>
          <w:rFonts w:cs="Times New Roman"/>
          <w:b w:val="0"/>
          <w:szCs w:val="21"/>
          <w:lang w:val="en-US"/>
        </w:rPr>
        <w:t>. Enhanced road connectivity can also be used to increase accessibility to the markets, decrease transportation expenses and raise product quality. The work force is typified by enormous informality and low productivity and hence skill improvement and training is crucial in enhancing productivity and the quality of agricultural products to be exported. The improvement in rural road connectivity and its effects on agricultural productivity and local and national market integration require studies that evaluate the long-term impacts of these improvements.</w:t>
      </w:r>
    </w:p>
    <w:p w14:paraId="58C807D8" w14:textId="77777777" w:rsidR="0072282A" w:rsidRPr="00084F2E" w:rsidRDefault="00AB1BEC">
      <w:pPr>
        <w:shd w:val="clear" w:color="auto" w:fill="FFFFFF"/>
        <w:spacing w:after="240" w:line="360" w:lineRule="auto"/>
        <w:jc w:val="both"/>
        <w:rPr>
          <w:rFonts w:cs="Times New Roman"/>
          <w:b w:val="0"/>
          <w:szCs w:val="21"/>
          <w:lang w:val="en-US"/>
        </w:rPr>
      </w:pPr>
      <w:r w:rsidRPr="00084F2E">
        <w:rPr>
          <w:rFonts w:cs="Times New Roman"/>
          <w:b w:val="0"/>
          <w:szCs w:val="21"/>
          <w:lang w:val="en-US"/>
        </w:rPr>
        <w:lastRenderedPageBreak/>
        <w:t xml:space="preserve">The level of foreign direct investment in agricultural sector has been on the rise with the overall amount of FDI totaling about 3 billion in 2022 </w:t>
      </w:r>
      <w:r w:rsidR="00AC5C64" w:rsidRPr="00084F2E">
        <w:rPr>
          <w:rFonts w:cs="Times New Roman"/>
          <w:b w:val="0"/>
          <w:szCs w:val="21"/>
          <w:lang w:val="en-US"/>
        </w:rPr>
        <w:fldChar w:fldCharType="begin" w:fldLock="1"/>
      </w:r>
      <w:r w:rsidRPr="00084F2E">
        <w:rPr>
          <w:rFonts w:cs="Times New Roman"/>
          <w:b w:val="0"/>
          <w:szCs w:val="21"/>
          <w:lang w:val="en-US"/>
        </w:rPr>
        <w:instrText>ADDIN CSL_CITATION {"citationItems":[{"id":"ITEM-1","itemData":{"DOI":"10.1080/23322039.2024.2308670","author":[{"dropping-particle":"","family":"Ashine","given":"Surafel Getahun","non-dropping-particle":"","parse-names":false,"suffix":""}],"container-title":"Cogent Economics &amp; Finance","id":"ITEM-1","issue":"1","issued":{"date-parts":[["2024"]]},"page":"-","publisher":"Cogent","title":"Assessment of foreign direct investment inflows into Ethiopia in light of peace and security challenges from 2018 to 2022","type":"article-journal","volume":"12"},"uris":["http://www.mendeley.com/documents/?uuid=ccdcc602-b425-4b06-be32-f96a2ca93792"]}],"mendeley":{"formattedCitation":"(Ashine, 2024)","plainTextFormattedCitation":"(Ashine, 2024)","previouslyFormattedCitation":"(Ashine, 2024)"},"properties":{"noteIndex":0},"schema":"https://github.com/citation-style-language/schema/raw/master/csl-citation.json"}</w:instrText>
      </w:r>
      <w:r w:rsidR="00AC5C64" w:rsidRPr="00084F2E">
        <w:rPr>
          <w:rFonts w:cs="Times New Roman"/>
          <w:b w:val="0"/>
          <w:szCs w:val="21"/>
          <w:lang w:val="en-US"/>
        </w:rPr>
        <w:fldChar w:fldCharType="separate"/>
      </w:r>
      <w:r w:rsidRPr="00084F2E">
        <w:rPr>
          <w:rFonts w:cs="Times New Roman"/>
          <w:b w:val="0"/>
          <w:noProof/>
          <w:szCs w:val="21"/>
          <w:lang w:val="en-US"/>
        </w:rPr>
        <w:t>(Ashine, 2024)</w:t>
      </w:r>
      <w:r w:rsidR="00AC5C64" w:rsidRPr="00084F2E">
        <w:rPr>
          <w:rFonts w:cs="Times New Roman"/>
          <w:b w:val="0"/>
          <w:szCs w:val="21"/>
          <w:lang w:val="en-US"/>
        </w:rPr>
        <w:fldChar w:fldCharType="end"/>
      </w:r>
      <w:r w:rsidRPr="00084F2E">
        <w:rPr>
          <w:rFonts w:cs="Times New Roman"/>
          <w:b w:val="0"/>
          <w:szCs w:val="21"/>
          <w:lang w:val="en-US"/>
        </w:rPr>
        <w:t>. Nevertheless, the industry continues to receive comparatively low proportion of total FDI, which implies that it can be expanded. Productivity and export capacity can be improved through promotion of agribusiness.</w:t>
      </w:r>
    </w:p>
    <w:p w14:paraId="0CE1C02A" w14:textId="77777777" w:rsidR="001A5810" w:rsidRPr="00084F2E" w:rsidRDefault="00AB1BEC" w:rsidP="001A5810">
      <w:pPr>
        <w:shd w:val="clear" w:color="auto" w:fill="FFFFFF"/>
        <w:spacing w:after="240" w:line="360" w:lineRule="auto"/>
        <w:jc w:val="both"/>
        <w:rPr>
          <w:rFonts w:cs="Times New Roman"/>
          <w:b w:val="0"/>
          <w:szCs w:val="21"/>
          <w:lang w:val="en-US"/>
        </w:rPr>
      </w:pPr>
      <w:r w:rsidRPr="00084F2E">
        <w:rPr>
          <w:rFonts w:cs="Times New Roman"/>
          <w:b w:val="0"/>
          <w:szCs w:val="21"/>
          <w:lang w:val="en-US"/>
        </w:rPr>
        <w:t>In Ethiopia, total savings have been on the increase up to the country national savings rate of 20-percent of GDP in 2022 (FED, 2007). The resulting higher savings may generate the required investment capital in the form of agriculture, infrastructure and technology, which will eventually enhance performance in exports. Growth into the agricultural sector through improvement of skills and training is also a way of boosting production and quality products to the international markets. More research on the impediments to converting more national savings into productive investments in agriculture and technology is needed to point to key gaps.</w:t>
      </w:r>
      <w:r w:rsidR="001A5810" w:rsidRPr="00084F2E">
        <w:t xml:space="preserve"> </w:t>
      </w:r>
    </w:p>
    <w:p w14:paraId="4B95C4CD" w14:textId="194F7A92" w:rsidR="0072282A" w:rsidRPr="00084F2E" w:rsidRDefault="001A5810" w:rsidP="001A5810">
      <w:pPr>
        <w:shd w:val="clear" w:color="auto" w:fill="FFFFFF"/>
        <w:spacing w:after="240" w:line="360" w:lineRule="auto"/>
        <w:jc w:val="both"/>
        <w:rPr>
          <w:rFonts w:cs="Times New Roman"/>
          <w:b w:val="0"/>
          <w:szCs w:val="21"/>
          <w:lang w:val="en-US"/>
        </w:rPr>
      </w:pPr>
      <w:r w:rsidRPr="00084F2E">
        <w:rPr>
          <w:rFonts w:cs="Times New Roman"/>
          <w:b w:val="0"/>
          <w:szCs w:val="21"/>
          <w:lang w:val="en-US"/>
        </w:rPr>
        <w:t>The justification for this study resides in the urgent need to reconcile Ethiopia’s heavy economic reliance on agriculture with the systemic structural bottlenecks that currently impede its modernization and export competitiveness. Despite contributing 40% to the national GDP and sustaining over 70% of the workforce, the sector remains constrained by a significant financial inclusion gap, where only 25% of smallholders’ access formal credit, and a critical infrastructure deficit, characterized by 75% of rural roads remaining unpaved. Furthermore, the volatility of the Consumer Price Index (CPI) and the high perception of institutional corruption necessitate an empirical investigation into how these factors deter Foreign Direct Investment (FDI) and hinder the effective conversion of national savings into productive agricultural technology. By analyzing the complexities of trade network structures and the inefficiencies in current value chains, this research provides a vital scientific framework for identifying the specific interventions required to enhance productivity, stabilize the macro economy, and optimize Ethiopia’s position within regional and global trade networks. Consequently, this study is essential for providing evidence-based solutions that transform traditional farming into a high-value, export-oriented industry capable of driving sustainable economic growth.</w:t>
      </w:r>
    </w:p>
    <w:p w14:paraId="4BABD97E" w14:textId="77777777" w:rsidR="0072282A" w:rsidRPr="00084F2E" w:rsidRDefault="00AB1BEC">
      <w:pPr>
        <w:keepNext/>
        <w:keepLines/>
        <w:spacing w:before="200" w:after="240"/>
        <w:outlineLvl w:val="1"/>
        <w:rPr>
          <w:rFonts w:eastAsiaTheme="majorEastAsia" w:cstheme="majorBidi"/>
          <w:bCs/>
          <w:sz w:val="28"/>
          <w:szCs w:val="26"/>
          <w:lang w:val="en-US"/>
        </w:rPr>
      </w:pPr>
      <w:bookmarkStart w:id="16" w:name="_Toc220661990"/>
      <w:r w:rsidRPr="00084F2E">
        <w:rPr>
          <w:rFonts w:eastAsiaTheme="majorEastAsia" w:cstheme="majorBidi"/>
          <w:bCs/>
          <w:sz w:val="28"/>
          <w:szCs w:val="26"/>
          <w:lang w:val="en-US"/>
        </w:rPr>
        <w:t>1.3 Statement of the problem</w:t>
      </w:r>
      <w:bookmarkEnd w:id="16"/>
      <w:r w:rsidRPr="00084F2E">
        <w:rPr>
          <w:rFonts w:eastAsiaTheme="majorEastAsia" w:cstheme="majorBidi"/>
          <w:bCs/>
          <w:sz w:val="28"/>
          <w:szCs w:val="26"/>
          <w:lang w:val="en-US"/>
        </w:rPr>
        <w:t xml:space="preserve"> </w:t>
      </w:r>
    </w:p>
    <w:p w14:paraId="1AC39BA1" w14:textId="06CE1B72" w:rsidR="0072282A" w:rsidRPr="00084F2E" w:rsidRDefault="00AB1BEC">
      <w:pPr>
        <w:shd w:val="clear" w:color="auto" w:fill="FFFFFF"/>
        <w:spacing w:before="100" w:beforeAutospacing="1" w:after="100" w:afterAutospacing="1" w:line="360" w:lineRule="auto"/>
        <w:jc w:val="both"/>
        <w:rPr>
          <w:rFonts w:cs="Times New Roman"/>
          <w:b w:val="0"/>
          <w:szCs w:val="23"/>
          <w:lang w:val="en-US"/>
        </w:rPr>
      </w:pPr>
      <w:r w:rsidRPr="00084F2E">
        <w:rPr>
          <w:rFonts w:cs="Times New Roman"/>
          <w:b w:val="0"/>
          <w:szCs w:val="23"/>
          <w:lang w:val="en-US"/>
        </w:rPr>
        <w:t xml:space="preserve">The agricultural industry in Ethiopia plays a crucial role in the economic development of the country and it ranks highly in terms of exports, GDP and foreign direct investment (FDI). </w:t>
      </w:r>
      <w:r w:rsidRPr="00084F2E">
        <w:rPr>
          <w:rFonts w:cs="Times New Roman"/>
          <w:b w:val="0"/>
          <w:szCs w:val="23"/>
          <w:lang w:val="en-US"/>
        </w:rPr>
        <w:lastRenderedPageBreak/>
        <w:t xml:space="preserve">Nevertheless, there are some challenges that impede the potential of the sector. In 2022, the volume of agricultural exports in Ethiopia was about 3 billion dollars with the exports of coffee, teff and horticultural products playing a major role </w:t>
      </w:r>
      <w:r w:rsidR="00AC5C64" w:rsidRPr="00084F2E">
        <w:rPr>
          <w:rFonts w:cs="Times New Roman"/>
          <w:b w:val="0"/>
          <w:szCs w:val="23"/>
          <w:lang w:val="en-US"/>
        </w:rPr>
        <w:fldChar w:fldCharType="begin" w:fldLock="1"/>
      </w:r>
      <w:r w:rsidR="007B1CFD" w:rsidRPr="00084F2E">
        <w:rPr>
          <w:rFonts w:cs="Times New Roman"/>
          <w:b w:val="0"/>
          <w:szCs w:val="23"/>
          <w:lang w:val="en-US"/>
        </w:rPr>
        <w:instrText>ADDIN CSL_CITATION {"citationItems":[{"id":"ITEM-1","itemData":{"DOI":"10.13140/RG.2.2.24164.18569","author":[{"dropping-particle":"","family":"Ahmed","given":"Abdella Mohammed","non-dropping-particle":"","parse-names":false,"suffix":""}],"id":"ITEM-1","issue":"August","issued":{"date-parts":[["2024"]]},"title":"Impact of agricultural exports on economic growth in ethiopia: the case of coffee, oil seed and pulses","type":"article-journal"},"uris":["http://www.mendeley.com/documents/?uuid=aefe1d91-a8ab-4b3b-814e-28f620dd781a"]}],"mendeley":{"formattedCitation":"(Ahmed, 2024)","plainTextFormattedCitation":"(Ahmed, 2024)","previouslyFormattedCitation":"(Ahmed, 2024)"},"properties":{"noteIndex":0},"schema":"https://github.com/citation-style-language/schema/raw/master/csl-citation.json"}</w:instrText>
      </w:r>
      <w:r w:rsidR="00AC5C64" w:rsidRPr="00084F2E">
        <w:rPr>
          <w:rFonts w:cs="Times New Roman"/>
          <w:b w:val="0"/>
          <w:szCs w:val="23"/>
          <w:lang w:val="en-US"/>
        </w:rPr>
        <w:fldChar w:fldCharType="separate"/>
      </w:r>
      <w:r w:rsidR="001A5810" w:rsidRPr="00084F2E">
        <w:rPr>
          <w:rFonts w:cs="Times New Roman"/>
          <w:b w:val="0"/>
          <w:noProof/>
          <w:szCs w:val="23"/>
          <w:lang w:val="en-US"/>
        </w:rPr>
        <w:t>(Ahmed, 2024)</w:t>
      </w:r>
      <w:r w:rsidR="00AC5C64" w:rsidRPr="00084F2E">
        <w:rPr>
          <w:rFonts w:cs="Times New Roman"/>
          <w:b w:val="0"/>
          <w:szCs w:val="23"/>
          <w:lang w:val="en-US"/>
        </w:rPr>
        <w:fldChar w:fldCharType="end"/>
      </w:r>
      <w:r w:rsidRPr="00084F2E">
        <w:rPr>
          <w:rFonts w:cs="Times New Roman"/>
          <w:b w:val="0"/>
          <w:szCs w:val="23"/>
          <w:lang w:val="en-US"/>
        </w:rPr>
        <w:t>. Even with this growth, the level of export is not as much as it can be because of several obstacles. According to a study conducted by (At, 2024), the agricultural exports can be boosted by up to 30 by enhancing the accessibility of the market and lowering trade barriers.</w:t>
      </w:r>
    </w:p>
    <w:p w14:paraId="5D3635B2" w14:textId="4B31446B" w:rsidR="0072282A" w:rsidRPr="00084F2E" w:rsidRDefault="00AB1BEC">
      <w:pPr>
        <w:shd w:val="clear" w:color="auto" w:fill="FFFFFF"/>
        <w:spacing w:before="100" w:beforeAutospacing="1" w:after="100" w:afterAutospacing="1" w:line="360" w:lineRule="auto"/>
        <w:jc w:val="both"/>
        <w:rPr>
          <w:rFonts w:cs="Times New Roman"/>
          <w:b w:val="0"/>
          <w:szCs w:val="23"/>
          <w:lang w:val="en-US"/>
        </w:rPr>
      </w:pPr>
      <w:r w:rsidRPr="00084F2E">
        <w:rPr>
          <w:rFonts w:cs="Times New Roman"/>
          <w:b w:val="0"/>
          <w:szCs w:val="23"/>
          <w:lang w:val="en-US"/>
        </w:rPr>
        <w:t xml:space="preserve">Approximately 40 percent of the Ethiopian GDP is through agriculture </w:t>
      </w:r>
      <w:r w:rsidR="00AC5C64" w:rsidRPr="00084F2E">
        <w:rPr>
          <w:rFonts w:cs="Times New Roman"/>
          <w:b w:val="0"/>
          <w:szCs w:val="23"/>
          <w:lang w:val="en-US"/>
        </w:rPr>
        <w:fldChar w:fldCharType="begin" w:fldLock="1"/>
      </w:r>
      <w:r w:rsidR="007B1CFD" w:rsidRPr="00084F2E">
        <w:rPr>
          <w:rFonts w:cs="Times New Roman"/>
          <w:b w:val="0"/>
          <w:szCs w:val="23"/>
          <w:lang w:val="en-US"/>
        </w:rPr>
        <w:instrText>ADDIN CSL_CITATION {"citationItems":[{"id":"ITEM-1","itemData":{"author":[{"dropping-particle":"","family":"Profile","given":"Country","non-dropping-particle":"","parse-names":false,"suffix":""}],"id":"ITEM-1","issued":{"date-parts":[["2022"]]},"title":"Ethiopia : Macroeconomic and Social Indicators Indicators Continued ….","type":"article-journal"},"uris":["http://www.mendeley.com/documents/?uuid=dd343dab-6b54-46d3-a504-754ce693fd1f"]}],"mendeley":{"formattedCitation":"(Profile, 2022)","plainTextFormattedCitation":"(Profile, 2022)","previouslyFormattedCitation":"(Profile, 2022)"},"properties":{"noteIndex":0},"schema":"https://github.com/citation-style-language/schema/raw/master/csl-citation.json"}</w:instrText>
      </w:r>
      <w:r w:rsidR="00AC5C64" w:rsidRPr="00084F2E">
        <w:rPr>
          <w:rFonts w:cs="Times New Roman"/>
          <w:b w:val="0"/>
          <w:szCs w:val="23"/>
          <w:lang w:val="en-US"/>
        </w:rPr>
        <w:fldChar w:fldCharType="separate"/>
      </w:r>
      <w:r w:rsidR="001A5810" w:rsidRPr="00084F2E">
        <w:rPr>
          <w:rFonts w:cs="Times New Roman"/>
          <w:b w:val="0"/>
          <w:noProof/>
          <w:szCs w:val="23"/>
          <w:lang w:val="en-US"/>
        </w:rPr>
        <w:t>(Profile, 2022)</w:t>
      </w:r>
      <w:r w:rsidR="00AC5C64" w:rsidRPr="00084F2E">
        <w:rPr>
          <w:rFonts w:cs="Times New Roman"/>
          <w:b w:val="0"/>
          <w:szCs w:val="23"/>
          <w:lang w:val="en-US"/>
        </w:rPr>
        <w:fldChar w:fldCharType="end"/>
      </w:r>
      <w:r w:rsidRPr="00084F2E">
        <w:rPr>
          <w:rFonts w:cs="Times New Roman"/>
          <w:b w:val="0"/>
          <w:szCs w:val="23"/>
          <w:lang w:val="en-US"/>
        </w:rPr>
        <w:t>. Nonetheless, the climate change and inadequate infrastructural facilities have facilitated variable growth in agricultural production hence in the GDP per capita. According to a report by the (Hårsmar, 2022), it was estimated that a 10 percent growth in the agricultural sector would result in a 1.5 percent increment in the GDP, which highlighted the value of the agricultural sector to the overall economic wellbeing.</w:t>
      </w:r>
    </w:p>
    <w:p w14:paraId="03B6CF13" w14:textId="77777777" w:rsidR="0072282A" w:rsidRPr="00084F2E" w:rsidRDefault="00AB1BEC">
      <w:pPr>
        <w:shd w:val="clear" w:color="auto" w:fill="FFFFFF"/>
        <w:spacing w:before="100" w:beforeAutospacing="1" w:after="100" w:afterAutospacing="1" w:line="360" w:lineRule="auto"/>
        <w:jc w:val="both"/>
        <w:rPr>
          <w:rFonts w:cs="Times New Roman"/>
          <w:b w:val="0"/>
          <w:szCs w:val="23"/>
          <w:lang w:val="en-US"/>
        </w:rPr>
      </w:pPr>
      <w:r w:rsidRPr="00084F2E">
        <w:rPr>
          <w:rFonts w:cs="Times New Roman"/>
          <w:b w:val="0"/>
          <w:szCs w:val="23"/>
          <w:lang w:val="en-US"/>
        </w:rPr>
        <w:t>In 2022, FDI in the agricultural sector had reached about 3 billion (</w:t>
      </w:r>
      <w:r w:rsidR="00AC5C64" w:rsidRPr="00084F2E">
        <w:rPr>
          <w:rFonts w:cs="Times New Roman"/>
          <w:b w:val="0"/>
          <w:szCs w:val="23"/>
          <w:lang w:val="en-US"/>
        </w:rPr>
        <w:fldChar w:fldCharType="begin" w:fldLock="1"/>
      </w:r>
      <w:r w:rsidRPr="00084F2E">
        <w:rPr>
          <w:rFonts w:cs="Times New Roman"/>
          <w:b w:val="0"/>
          <w:szCs w:val="23"/>
          <w:lang w:val="en-US"/>
        </w:rPr>
        <w:instrText>ADDIN CSL_CITATION {"citationItems":[{"id":"ITEM-1","itemData":{"author":[{"dropping-particle":"","family":"Andarga","given":"Yewbdar Tadesse","non-dropping-particle":"","parse-names":false,"suffix":""}],"id":"ITEM-1","issue":"July","issued":{"date-parts":[["2023"]]},"title":"The Impact of Foreign Direct Investment on the Performance of Agricultural Sector : The Case of Ethiopia July 2023","type":"article-journal"},"uris":["http://www.mendeley.com/documents/?uuid=14b18a06-65d1-47b9-a802-8c5a0f97b75f"]}],"mendeley":{"formattedCitation":"(Andarga, 2023)","plainTextFormattedCitation":"(Andarga, 2023)","previouslyFormattedCitation":"(Andarga, 2023)"},"properties":{"noteIndex":0},"schema":"https://github.com/citation-style-language/schema/raw/master/csl-citation.json"}</w:instrText>
      </w:r>
      <w:r w:rsidR="00AC5C64" w:rsidRPr="00084F2E">
        <w:rPr>
          <w:rFonts w:cs="Times New Roman"/>
          <w:b w:val="0"/>
          <w:szCs w:val="23"/>
          <w:lang w:val="en-US"/>
        </w:rPr>
        <w:fldChar w:fldCharType="separate"/>
      </w:r>
      <w:r w:rsidRPr="00084F2E">
        <w:rPr>
          <w:rFonts w:cs="Times New Roman"/>
          <w:b w:val="0"/>
          <w:noProof/>
          <w:szCs w:val="23"/>
          <w:lang w:val="en-US"/>
        </w:rPr>
        <w:t>(Andarga, 2023)</w:t>
      </w:r>
      <w:r w:rsidR="00AC5C64" w:rsidRPr="00084F2E">
        <w:rPr>
          <w:rFonts w:cs="Times New Roman"/>
          <w:b w:val="0"/>
          <w:szCs w:val="23"/>
          <w:lang w:val="en-US"/>
        </w:rPr>
        <w:fldChar w:fldCharType="end"/>
      </w:r>
      <w:r w:rsidRPr="00084F2E">
        <w:rPr>
          <w:rFonts w:cs="Times New Roman"/>
          <w:b w:val="0"/>
          <w:szCs w:val="23"/>
          <w:lang w:val="en-US"/>
        </w:rPr>
        <w:t>. This is however just a small portion of total FDI.  Hornberger and Kusek (2010), established that greater FDI inflow of $1 billion an annum was likely to be attracted with the improvement of investment climate by better governance and fewer bottlenecks.</w:t>
      </w:r>
    </w:p>
    <w:p w14:paraId="1732C47A" w14:textId="77777777" w:rsidR="0072282A" w:rsidRPr="00084F2E" w:rsidRDefault="00AB1BEC">
      <w:pPr>
        <w:shd w:val="clear" w:color="auto" w:fill="FFFFFF"/>
        <w:spacing w:before="100" w:beforeAutospacing="1" w:after="100" w:afterAutospacing="1" w:line="360" w:lineRule="auto"/>
        <w:jc w:val="both"/>
        <w:rPr>
          <w:rFonts w:cs="Times New Roman"/>
          <w:b w:val="0"/>
          <w:szCs w:val="23"/>
          <w:lang w:val="en-US"/>
        </w:rPr>
      </w:pPr>
      <w:r w:rsidRPr="00084F2E">
        <w:rPr>
          <w:rFonts w:cs="Times New Roman"/>
          <w:b w:val="0"/>
          <w:szCs w:val="23"/>
          <w:lang w:val="en-US"/>
        </w:rPr>
        <w:t xml:space="preserve">Corruption has been a major setback to economic growth </w:t>
      </w:r>
      <w:r w:rsidR="00AC5C64" w:rsidRPr="00084F2E">
        <w:rPr>
          <w:rFonts w:cs="Times New Roman"/>
          <w:b w:val="0"/>
          <w:szCs w:val="23"/>
          <w:lang w:val="en-US"/>
        </w:rPr>
        <w:fldChar w:fldCharType="begin" w:fldLock="1"/>
      </w:r>
      <w:r w:rsidRPr="00084F2E">
        <w:rPr>
          <w:rFonts w:cs="Times New Roman"/>
          <w:b w:val="0"/>
          <w:szCs w:val="23"/>
          <w:lang w:val="en-US"/>
        </w:rPr>
        <w:instrText>ADDIN CSL_CITATION {"citationItems":[{"id":"ITEM-1","itemData":{"ISBN":"9780821395318","author":[{"dropping-particle":"","family":"Burns","given":"Tony","non-dropping-particle":"","parse-names":false,"suffix":""},{"dropping-particle":"","family":"Dalrymple","given":"Kate","non-dropping-particle":"","parse-names":false,"suffix":""}],"container-title":"Diagnosing Corruption in Ethiopia: Perceptions, Realities, and the Way Forward for Key Sectors","id":"ITEM-1","issued":{"date-parts":[["2012"]]},"number-of-pages":"285-375","title":"Land Sector Corruption in Ethiopia","type":"book"},"uris":["http://www.mendeley.com/documents/?uuid=fcf90b51-1cbc-4ec9-8eca-0f816d684d64"]}],"mendeley":{"formattedCitation":"(Burns &amp; Dalrymple, 2012)","plainTextFormattedCitation":"(Burns &amp; Dalrymple, 2012)","previouslyFormattedCitation":"(Burns &amp; Dalrymple, 2012)"},"properties":{"noteIndex":0},"schema":"https://github.com/citation-style-language/schema/raw/master/csl-citation.json"}</w:instrText>
      </w:r>
      <w:r w:rsidR="00AC5C64" w:rsidRPr="00084F2E">
        <w:rPr>
          <w:rFonts w:cs="Times New Roman"/>
          <w:b w:val="0"/>
          <w:szCs w:val="23"/>
          <w:lang w:val="en-US"/>
        </w:rPr>
        <w:fldChar w:fldCharType="separate"/>
      </w:r>
      <w:r w:rsidRPr="00084F2E">
        <w:rPr>
          <w:rFonts w:cs="Times New Roman"/>
          <w:b w:val="0"/>
          <w:noProof/>
          <w:szCs w:val="23"/>
          <w:lang w:val="en-US"/>
        </w:rPr>
        <w:t>(Burns &amp; Dalrymple, 2012)</w:t>
      </w:r>
      <w:r w:rsidR="00AC5C64" w:rsidRPr="00084F2E">
        <w:rPr>
          <w:rFonts w:cs="Times New Roman"/>
          <w:b w:val="0"/>
          <w:szCs w:val="23"/>
          <w:lang w:val="en-US"/>
        </w:rPr>
        <w:fldChar w:fldCharType="end"/>
      </w:r>
      <w:r w:rsidRPr="00084F2E">
        <w:rPr>
          <w:rFonts w:cs="Times New Roman"/>
          <w:b w:val="0"/>
          <w:szCs w:val="23"/>
          <w:lang w:val="en-US"/>
        </w:rPr>
        <w:t xml:space="preserve"> registered 37 out of 100 score on Ethiopia. In one (Raphael, 2023) study, it was found that corruption should be reduced to boost investor confidence, which would translate into more FDI and greater agricultural output.</w:t>
      </w:r>
    </w:p>
    <w:p w14:paraId="11A8351E" w14:textId="3DAB5F49" w:rsidR="0072282A" w:rsidRPr="00084F2E" w:rsidRDefault="002B16E9">
      <w:pPr>
        <w:shd w:val="clear" w:color="auto" w:fill="FFFFFF"/>
        <w:spacing w:before="100" w:beforeAutospacing="1" w:after="100" w:afterAutospacing="1" w:line="360" w:lineRule="auto"/>
        <w:jc w:val="both"/>
        <w:rPr>
          <w:rFonts w:cs="Times New Roman"/>
          <w:b w:val="0"/>
          <w:szCs w:val="23"/>
          <w:lang w:val="en-US"/>
        </w:rPr>
      </w:pPr>
      <w:r w:rsidRPr="00084F2E">
        <w:rPr>
          <w:rFonts w:cs="Times New Roman"/>
          <w:b w:val="0"/>
          <w:szCs w:val="23"/>
          <w:lang w:val="en-US"/>
        </w:rPr>
        <w:t xml:space="preserve">The </w:t>
      </w:r>
      <w:r w:rsidRPr="00084F2E">
        <w:rPr>
          <w:rFonts w:cs="Times New Roman"/>
          <w:b w:val="0"/>
          <w:szCs w:val="23"/>
          <w:lang w:val="en-US"/>
        </w:rPr>
        <w:fldChar w:fldCharType="begin" w:fldLock="1"/>
      </w:r>
      <w:r w:rsidRPr="00084F2E">
        <w:rPr>
          <w:rFonts w:cs="Times New Roman"/>
          <w:b w:val="0"/>
          <w:szCs w:val="23"/>
          <w:lang w:val="en-US"/>
        </w:rPr>
        <w:instrText>ADDIN CSL_CITATION {"citationItems":[{"id":"ITEM-1","itemData":{"author":[{"dropping-particle":"","family":"Profile","given":"Labour Market","non-dropping-particle":"","parse-names":false,"suffix":""}],"id":"ITEM-1","issued":{"date-parts":[["2025"]]},"title":"Ethiopia","type":"article-journal"},"uris":["http://www.mendeley.com/documents/?uuid=57f91b68-3ed6-45bd-afd2-d36c55dc5d4a"]}],"mendeley":{"formattedCitation":"(L. M. Profile, 2025)","plainTextFormattedCitation":"(L. M. Profile, 2025)","previouslyFormattedCitation":"(L. M. Profile, 2025)"},"properties":{"noteIndex":0},"schema":"https://github.com/citation-style-language/schema/raw/master/csl-citation.json"}</w:instrText>
      </w:r>
      <w:r w:rsidRPr="00084F2E">
        <w:rPr>
          <w:rFonts w:cs="Times New Roman"/>
          <w:b w:val="0"/>
          <w:szCs w:val="23"/>
          <w:lang w:val="en-US"/>
        </w:rPr>
        <w:fldChar w:fldCharType="separate"/>
      </w:r>
      <w:r w:rsidRPr="00084F2E">
        <w:rPr>
          <w:rFonts w:cs="Times New Roman"/>
          <w:b w:val="0"/>
          <w:szCs w:val="23"/>
          <w:lang w:val="en-US"/>
        </w:rPr>
        <w:t>(L. M. Profile, 2025)</w:t>
      </w:r>
      <w:r w:rsidRPr="00084F2E">
        <w:rPr>
          <w:rFonts w:cs="Times New Roman"/>
          <w:b w:val="0"/>
          <w:szCs w:val="23"/>
          <w:lang w:val="en-US"/>
        </w:rPr>
        <w:fldChar w:fldCharType="end"/>
      </w:r>
      <w:r w:rsidRPr="00084F2E">
        <w:rPr>
          <w:rFonts w:cs="Times New Roman"/>
          <w:b w:val="0"/>
          <w:szCs w:val="23"/>
          <w:lang w:val="en-US"/>
        </w:rPr>
        <w:t xml:space="preserve"> Over 70% of the Ethiopian population works in agriculture, but productivity remains low. Research by Eyitayo Raji et al. (2024) showed that focused training programs could boost productivity by 20%</w:t>
      </w:r>
      <w:r w:rsidR="00AB1BEC" w:rsidRPr="00084F2E">
        <w:rPr>
          <w:rFonts w:cs="Times New Roman"/>
          <w:b w:val="0"/>
          <w:szCs w:val="23"/>
          <w:lang w:val="en-US"/>
        </w:rPr>
        <w:t xml:space="preserve">. This increase would greatly improve both the quality and quantity of agricultural exports. However, infrastructure gaps, especially in rural areas, hold back agricultural growth. According to the </w:t>
      </w:r>
      <w:r w:rsidR="00AC5C64" w:rsidRPr="00084F2E">
        <w:rPr>
          <w:rFonts w:cs="Times New Roman"/>
          <w:b w:val="0"/>
          <w:szCs w:val="23"/>
          <w:lang w:val="en-US"/>
        </w:rPr>
        <w:fldChar w:fldCharType="begin" w:fldLock="1"/>
      </w:r>
      <w:r w:rsidR="00AB1BEC" w:rsidRPr="00084F2E">
        <w:rPr>
          <w:rFonts w:cs="Times New Roman"/>
          <w:b w:val="0"/>
          <w:szCs w:val="23"/>
          <w:lang w:val="en-US"/>
        </w:rPr>
        <w:instrText>ADDIN CSL_CITATION {"citationItems":[{"id":"ITEM-1","itemData":{"DOI":"10.1108/JED-10-2022-0213","author":[{"dropping-particle":"","family":"Anega","given":"Naod Mekonnen","non-dropping-particle":"","parse-names":false,"suffix":""},{"dropping-particle":"","family":"Alemu","given":"Bamlaku","non-dropping-particle":"","parse-names":false,"suffix":""}],"id":"ITEM-1","issue":"March 2023","issued":{"date-parts":[["2024"]]},"title":"The effect of rural roads on consumption in Ethiopia","type":"article-journal"},"uris":["http://www.mendeley.com/documents/?uuid=c67deadc-56cb-4e08-b590-8afd0f9ac44c"]}],"mendeley":{"formattedCitation":"(Anega &amp; Alemu, 2024)","plainTextFormattedCitation":"(Anega &amp; Alemu, 2024)","previouslyFormattedCitation":"(Anega &amp; Alemu, 2024)"},"properties":{"noteIndex":0},"schema":"https://github.com/citation-style-language/schema/raw/master/csl-citation.json"}</w:instrText>
      </w:r>
      <w:r w:rsidR="00AC5C64" w:rsidRPr="00084F2E">
        <w:rPr>
          <w:rFonts w:cs="Times New Roman"/>
          <w:b w:val="0"/>
          <w:szCs w:val="23"/>
          <w:lang w:val="en-US"/>
        </w:rPr>
        <w:fldChar w:fldCharType="separate"/>
      </w:r>
      <w:r w:rsidR="00AB1BEC" w:rsidRPr="00084F2E">
        <w:rPr>
          <w:rFonts w:cs="Times New Roman"/>
          <w:b w:val="0"/>
          <w:noProof/>
          <w:szCs w:val="23"/>
          <w:lang w:val="en-US"/>
        </w:rPr>
        <w:t>(Anega &amp; Alemu, 2024)</w:t>
      </w:r>
      <w:r w:rsidR="00AC5C64" w:rsidRPr="00084F2E">
        <w:rPr>
          <w:rFonts w:cs="Times New Roman"/>
          <w:b w:val="0"/>
          <w:szCs w:val="23"/>
          <w:lang w:val="en-US"/>
        </w:rPr>
        <w:fldChar w:fldCharType="end"/>
      </w:r>
      <w:r w:rsidR="00AB1BEC" w:rsidRPr="00084F2E">
        <w:rPr>
          <w:rFonts w:cs="Times New Roman"/>
          <w:b w:val="0"/>
          <w:szCs w:val="23"/>
          <w:lang w:val="en-US"/>
        </w:rPr>
        <w:t xml:space="preserve">, Only about 40% of rural roads are paved. Mosa et al. (2020) completed research findings about improving road infrastructure could reduce transport costs by 15-20% in Africa, which would improve farmers' reach to markets and ultimately increase exports. The International Food Policy Research Institute (IFPRI) reported </w:t>
      </w:r>
      <w:r w:rsidR="00AB1BEC" w:rsidRPr="00084F2E">
        <w:rPr>
          <w:rFonts w:cs="Times New Roman"/>
          <w:b w:val="0"/>
          <w:szCs w:val="23"/>
          <w:lang w:val="en-US"/>
        </w:rPr>
        <w:lastRenderedPageBreak/>
        <w:t xml:space="preserve">that countries that had a focus on agricultural exports tend to experience rapid GDP growth, compared to countries that are not focused on agricultural exports (Abate &amp; Badiane, 2018). Furthermore, rapid GDP growth usually includes job growth, as agricultural sectors tend to be labor-intensive. The Food and Agriculture Organization (FAO) reported that agricultural exports could fuel millions of jobs, especially in rural areas that lack employment opportunities, </w:t>
      </w:r>
      <w:r w:rsidR="001A5810" w:rsidRPr="00084F2E">
        <w:rPr>
          <w:rFonts w:cs="Times New Roman"/>
          <w:b w:val="0"/>
          <w:szCs w:val="23"/>
          <w:lang w:val="en-US"/>
        </w:rPr>
        <w:t>to do</w:t>
      </w:r>
      <w:r w:rsidR="00AB1BEC" w:rsidRPr="00084F2E">
        <w:rPr>
          <w:rFonts w:cs="Times New Roman"/>
          <w:b w:val="0"/>
          <w:szCs w:val="23"/>
          <w:lang w:val="en-US"/>
        </w:rPr>
        <w:t xml:space="preserve"> so (Bank, 2014).</w:t>
      </w:r>
    </w:p>
    <w:p w14:paraId="7D0A8D98" w14:textId="77777777" w:rsidR="0072282A" w:rsidRPr="00084F2E" w:rsidRDefault="00AB1BEC">
      <w:pPr>
        <w:shd w:val="clear" w:color="auto" w:fill="FFFFFF"/>
        <w:spacing w:before="100" w:beforeAutospacing="1" w:after="100" w:afterAutospacing="1" w:line="360" w:lineRule="auto"/>
        <w:jc w:val="both"/>
        <w:rPr>
          <w:rFonts w:cs="Times New Roman"/>
          <w:b w:val="0"/>
          <w:szCs w:val="23"/>
          <w:lang w:val="en-US"/>
        </w:rPr>
      </w:pPr>
      <w:r w:rsidRPr="00084F2E">
        <w:rPr>
          <w:rFonts w:cs="Times New Roman"/>
          <w:b w:val="0"/>
          <w:szCs w:val="23"/>
          <w:lang w:val="en-US"/>
        </w:rPr>
        <w:t>Research from (Kitila, 2023) presents solutions found that Increasing the degree centrality of African nations accelerates international trade flows, although a larger clustering coefficient has a detrimental effect on exports. Countries with greater out-degree centrality generally export larger amounts, since these nations have many trading relationships. At the same time, a higher clustering coefficient indicates that countries are more interconnected, are trading with each other more frequently, and might be trading less with the rest of the world because of the stronger interconnections of trade in general.</w:t>
      </w:r>
    </w:p>
    <w:p w14:paraId="18E70E49" w14:textId="77777777" w:rsidR="0072282A" w:rsidRPr="00084F2E" w:rsidRDefault="00AB1BEC">
      <w:pPr>
        <w:shd w:val="clear" w:color="auto" w:fill="FFFFFF"/>
        <w:spacing w:before="100" w:beforeAutospacing="1" w:after="100" w:afterAutospacing="1" w:line="360" w:lineRule="auto"/>
        <w:jc w:val="both"/>
        <w:rPr>
          <w:rFonts w:cs="Times New Roman"/>
          <w:b w:val="0"/>
          <w:szCs w:val="23"/>
          <w:lang w:val="en-US"/>
        </w:rPr>
      </w:pPr>
      <w:r w:rsidRPr="00084F2E">
        <w:rPr>
          <w:rFonts w:cs="Times New Roman"/>
          <w:b w:val="0"/>
          <w:szCs w:val="23"/>
          <w:lang w:val="en-US"/>
        </w:rPr>
        <w:t>Increased savings are important for investment in export-oriented industries. Increased savings means more money is readily available for companies to expand output. This assumption was supported by TLS research in Turkey indicating that when the country saved more, they were able to expand exports. This led to the ability of the country to invest in production and infrastructure including roads and sources (Ribaj &amp; Mexhuani, 2021).</w:t>
      </w:r>
    </w:p>
    <w:p w14:paraId="731BC8FA" w14:textId="77777777" w:rsidR="0072282A" w:rsidRPr="00084F2E" w:rsidRDefault="00AB1BEC">
      <w:pPr>
        <w:shd w:val="clear" w:color="auto" w:fill="FFFFFF"/>
        <w:spacing w:before="100" w:beforeAutospacing="1" w:after="100" w:afterAutospacing="1" w:line="360" w:lineRule="auto"/>
        <w:jc w:val="both"/>
        <w:rPr>
          <w:rFonts w:cs="Times New Roman"/>
          <w:b w:val="0"/>
          <w:szCs w:val="23"/>
          <w:lang w:val="en-US"/>
        </w:rPr>
      </w:pPr>
      <w:r w:rsidRPr="00084F2E">
        <w:rPr>
          <w:rFonts w:cs="Times New Roman"/>
          <w:b w:val="0"/>
          <w:szCs w:val="23"/>
          <w:lang w:val="en-US"/>
        </w:rPr>
        <w:t>The Consumer Price Index (CPI) is a measure of whether prices are increasing or decreasing. This can interfere with what people buy and how much output is available for exports. Brazil demonstrated that when the CPI increased, exports decreased (and was insufficient) in response to CPI (Lokshin, 2023).</w:t>
      </w:r>
    </w:p>
    <w:p w14:paraId="0BFA2372" w14:textId="77777777" w:rsidR="0072282A" w:rsidRPr="00084F2E" w:rsidRDefault="00AB1BEC">
      <w:pPr>
        <w:shd w:val="clear" w:color="auto" w:fill="FFFFFF"/>
        <w:spacing w:after="100" w:afterAutospacing="1" w:line="360" w:lineRule="auto"/>
        <w:jc w:val="both"/>
        <w:rPr>
          <w:rFonts w:cs="Times New Roman"/>
          <w:b w:val="0"/>
          <w:szCs w:val="23"/>
          <w:lang w:val="en-US"/>
        </w:rPr>
      </w:pPr>
      <w:r w:rsidRPr="00084F2E">
        <w:rPr>
          <w:rFonts w:cs="Times New Roman"/>
          <w:b w:val="0"/>
          <w:szCs w:val="23"/>
          <w:lang w:val="en-US"/>
        </w:rPr>
        <w:t xml:space="preserve">Tariffs, which function similarly to taxes that governments impose on imports, can have a significant impact on a country's export competitiveness and trade activities. If a nation reinvests tariff revenue into valuable trade-infrastructure improvements, then it might greatly increase exports. Edwards (2005), for example, explains that in South Africa once nations reinvested tariff income into trade-enhancing developments, exports improved and trade became easier. </w:t>
      </w:r>
    </w:p>
    <w:p w14:paraId="162E9360" w14:textId="77777777" w:rsidR="0072282A" w:rsidRPr="00084F2E" w:rsidRDefault="00AB1BEC">
      <w:pPr>
        <w:shd w:val="clear" w:color="auto" w:fill="FFFFFF"/>
        <w:spacing w:after="100" w:afterAutospacing="1" w:line="360" w:lineRule="auto"/>
        <w:jc w:val="both"/>
        <w:rPr>
          <w:rFonts w:cs="Times New Roman"/>
          <w:b w:val="0"/>
          <w:szCs w:val="23"/>
          <w:lang w:val="en-US"/>
        </w:rPr>
      </w:pPr>
      <w:r w:rsidRPr="00084F2E">
        <w:rPr>
          <w:rFonts w:cs="Times New Roman"/>
          <w:b w:val="0"/>
          <w:szCs w:val="23"/>
          <w:lang w:val="en-US"/>
        </w:rPr>
        <w:lastRenderedPageBreak/>
        <w:t>Exports are important too, when cultivating and exporting local crops, it is an important consideration for ensuring that communities’ food needs are met to meet adequate dietary needs. The Food and Agricultural Organization (FAO) states that countries with high export levels of crops tend to have better food security than countries who do not have high levels of crop exports. If a country is more adept at producing crop exports, then a portion of the revenue can be reinvested into growing food locally (Pawlak, 2020). Additionally, if countries are able to export a variety of crops and/or high nutrient crops, they will help provide communities with needed dietary nutrients. For example, one study provided evidence in Ethiopia that following an export of special nutrient-dense crops local people began consuming more dietary varieties, evidenced by not only population samples but dietary surveys.</w:t>
      </w:r>
    </w:p>
    <w:p w14:paraId="13D87DE1" w14:textId="77777777" w:rsidR="0072282A" w:rsidRPr="00084F2E" w:rsidRDefault="00AB1BEC">
      <w:pPr>
        <w:shd w:val="clear" w:color="auto" w:fill="FFFFFF"/>
        <w:spacing w:after="100" w:afterAutospacing="1" w:line="360" w:lineRule="auto"/>
        <w:jc w:val="both"/>
        <w:rPr>
          <w:rFonts w:cs="Times New Roman"/>
          <w:b w:val="0"/>
          <w:szCs w:val="23"/>
          <w:lang w:val="en-US"/>
        </w:rPr>
      </w:pPr>
      <w:r w:rsidRPr="00084F2E">
        <w:rPr>
          <w:rFonts w:cs="Times New Roman"/>
          <w:b w:val="0"/>
          <w:szCs w:val="23"/>
          <w:lang w:val="en-US"/>
        </w:rPr>
        <w:t xml:space="preserve">Several studies indicate there is a relationship between the Consumer Price Index (CPI) and a country’s exportation levels. A rise in domestic prices may deter pricing competitiveness in foreign markets (Lokshin, 2023). However, we know little about how changes in CPI relate to individual crops, which makes it difficult to fully comprehend the totality of the effects on export performance and the policy implications of this phenomenon. </w:t>
      </w:r>
    </w:p>
    <w:p w14:paraId="7361D676" w14:textId="77777777" w:rsidR="0072282A" w:rsidRPr="00084F2E" w:rsidRDefault="00AB1BEC">
      <w:pPr>
        <w:shd w:val="clear" w:color="auto" w:fill="FFFFFF"/>
        <w:spacing w:after="100" w:afterAutospacing="1" w:line="360" w:lineRule="auto"/>
        <w:jc w:val="both"/>
        <w:rPr>
          <w:rFonts w:cs="Times New Roman"/>
          <w:b w:val="0"/>
          <w:szCs w:val="23"/>
          <w:lang w:val="en-US"/>
        </w:rPr>
      </w:pPr>
      <w:r w:rsidRPr="00084F2E">
        <w:rPr>
          <w:rFonts w:cs="Times New Roman"/>
          <w:b w:val="0"/>
          <w:szCs w:val="23"/>
          <w:lang w:val="en-US"/>
        </w:rPr>
        <w:t xml:space="preserve">Corruption is a huge constraint to economic growth in Ethiopia. The country received a corruption perception score of 37 out of 100 (Burns &amp; Dalrymple, 2012). While it is a topic of conversation, it has not been operationalized or studied to properly frame corruption in relation to trade agreements and export performance. Understanding how corruption posits constraints to exporting would contribute to developing solutions. </w:t>
      </w:r>
    </w:p>
    <w:p w14:paraId="0B6D4FC7" w14:textId="77777777" w:rsidR="0072282A" w:rsidRPr="00084F2E" w:rsidRDefault="00AB1BEC">
      <w:pPr>
        <w:shd w:val="clear" w:color="auto" w:fill="FFFFFF"/>
        <w:spacing w:after="100" w:afterAutospacing="1" w:line="360" w:lineRule="auto"/>
        <w:jc w:val="both"/>
        <w:rPr>
          <w:rFonts w:cs="Times New Roman"/>
          <w:b w:val="0"/>
          <w:szCs w:val="23"/>
          <w:lang w:val="en-US"/>
        </w:rPr>
      </w:pPr>
      <w:r w:rsidRPr="00084F2E">
        <w:rPr>
          <w:rFonts w:cs="Times New Roman"/>
          <w:b w:val="0"/>
          <w:szCs w:val="23"/>
          <w:lang w:val="en-US"/>
        </w:rPr>
        <w:t>Additionally, one source suggests that agricultural exports may increase by almost 30% if given market access (At, 2024), while increased competitive capabilities could reach as high as 25% through removing tariffs (Karugia, et al., 2009). However, studies often are either looking at Nigeria as a case or have a northern emphasis through overall economic improvement, rather than identifying specific policy or infrastructure strategies to realize the aforementioned exports.</w:t>
      </w:r>
    </w:p>
    <w:p w14:paraId="7B9A2FC6" w14:textId="77777777" w:rsidR="0072282A" w:rsidRPr="00084F2E" w:rsidRDefault="00AB1BEC">
      <w:pPr>
        <w:shd w:val="clear" w:color="auto" w:fill="FFFFFF"/>
        <w:spacing w:after="100" w:afterAutospacing="1" w:line="360" w:lineRule="auto"/>
        <w:jc w:val="both"/>
        <w:rPr>
          <w:rFonts w:cs="Times New Roman"/>
          <w:b w:val="0"/>
          <w:szCs w:val="23"/>
          <w:lang w:val="en-US"/>
        </w:rPr>
      </w:pPr>
      <w:r w:rsidRPr="00084F2E">
        <w:rPr>
          <w:rFonts w:cs="Times New Roman"/>
          <w:b w:val="0"/>
          <w:szCs w:val="23"/>
          <w:lang w:val="en-US"/>
        </w:rPr>
        <w:t xml:space="preserve">Enhancing governance could facilitate the inflow of an additional $1 billion in foreign direct investment (FDI) (Hornberger &amp; Kusek, 2010). Nevertheless, existing literature does not examine the effects of higher FDI on agricultural productivity and export performance indicator. The </w:t>
      </w:r>
      <w:r w:rsidRPr="00084F2E">
        <w:rPr>
          <w:rFonts w:cs="Times New Roman"/>
          <w:b w:val="0"/>
          <w:szCs w:val="23"/>
          <w:lang w:val="en-US"/>
        </w:rPr>
        <w:lastRenderedPageBreak/>
        <w:t>absence of research into the productivity-export performance link contributes to a movement towards nonperforming FDI without any discernable economic growth.</w:t>
      </w:r>
    </w:p>
    <w:p w14:paraId="6527BEC1" w14:textId="26758515" w:rsidR="0072282A" w:rsidRPr="00084F2E" w:rsidRDefault="00AB1BEC">
      <w:pPr>
        <w:shd w:val="clear" w:color="auto" w:fill="FFFFFF"/>
        <w:spacing w:after="100" w:afterAutospacing="1" w:line="360" w:lineRule="auto"/>
        <w:jc w:val="both"/>
        <w:rPr>
          <w:rFonts w:cs="Times New Roman"/>
          <w:b w:val="0"/>
          <w:szCs w:val="23"/>
          <w:lang w:val="en-US"/>
        </w:rPr>
      </w:pPr>
      <w:r w:rsidRPr="00084F2E">
        <w:rPr>
          <w:rFonts w:cs="Times New Roman"/>
          <w:b w:val="0"/>
          <w:szCs w:val="23"/>
          <w:lang w:val="en-US"/>
        </w:rPr>
        <w:t>The literature acknowledges that over 70% of the Ethiopian population is employed in agriculture and that agricultural productivity, in general, is not high (</w:t>
      </w:r>
      <w:r w:rsidR="006A49DF" w:rsidRPr="00084F2E">
        <w:rPr>
          <w:rFonts w:cs="Times New Roman"/>
          <w:b w:val="0"/>
          <w:szCs w:val="23"/>
          <w:lang w:val="en-US"/>
        </w:rPr>
        <w:t>Keba, 2024</w:t>
      </w:r>
      <w:r w:rsidRPr="00084F2E">
        <w:rPr>
          <w:rFonts w:cs="Times New Roman"/>
          <w:b w:val="0"/>
          <w:szCs w:val="23"/>
          <w:lang w:val="en-US"/>
        </w:rPr>
        <w:t>). However, there have been distinctions in agricultural productivity, agricultural export performance, and regional differences that have not received any attention, therefore calling for interventions focused locally due to local specific conditions and challenges.</w:t>
      </w:r>
    </w:p>
    <w:p w14:paraId="40CDEDD2" w14:textId="77777777" w:rsidR="001A5810" w:rsidRPr="00084F2E" w:rsidRDefault="001A5810" w:rsidP="001A5810">
      <w:pPr>
        <w:shd w:val="clear" w:color="auto" w:fill="FFFFFF"/>
        <w:spacing w:after="100" w:afterAutospacing="1" w:line="360" w:lineRule="auto"/>
        <w:jc w:val="both"/>
        <w:rPr>
          <w:rFonts w:cs="Times New Roman"/>
          <w:b w:val="0"/>
          <w:szCs w:val="23"/>
          <w:lang w:val="en-US"/>
        </w:rPr>
      </w:pPr>
      <w:r w:rsidRPr="00084F2E">
        <w:rPr>
          <w:rFonts w:cs="Times New Roman"/>
          <w:b w:val="0"/>
          <w:szCs w:val="23"/>
          <w:lang w:val="en-US"/>
        </w:rPr>
        <w:t>Furthermore, there is a notable gap in contemporary literature regarding the integration of specific technological innovations—such as digital agriculture and precision farming—into frameworks for enhancing agricultural productivity within the Ethiopian context (Tadesse et al., 2021). Overlooking the role of technology neglects a critical opportunity to bolster productivity and competitiveness in agricultural export performance. As noted by Fuglie et al. (2020), agricultural productivity remains a decisive factor in overcoming the systemic challenges of food insecurity and global market volatility.</w:t>
      </w:r>
    </w:p>
    <w:p w14:paraId="372966DC" w14:textId="77777777" w:rsidR="001A5810" w:rsidRPr="00084F2E" w:rsidRDefault="001A5810" w:rsidP="001A5810">
      <w:pPr>
        <w:shd w:val="clear" w:color="auto" w:fill="FFFFFF"/>
        <w:spacing w:after="100" w:afterAutospacing="1" w:line="360" w:lineRule="auto"/>
        <w:jc w:val="both"/>
        <w:rPr>
          <w:rFonts w:cs="Times New Roman"/>
          <w:b w:val="0"/>
          <w:szCs w:val="23"/>
          <w:lang w:val="en-US"/>
        </w:rPr>
      </w:pPr>
      <w:r w:rsidRPr="00084F2E">
        <w:rPr>
          <w:rFonts w:cs="Times New Roman"/>
          <w:b w:val="0"/>
          <w:szCs w:val="23"/>
          <w:lang w:val="en-US"/>
        </w:rPr>
        <w:t>Additionally, existing studies on agricultural exports frequently rely on descriptive or basic econometric approaches, with a limited application of complex analytical models such as Computable General Equilibrium (CGE) or advanced Gravity Models (Beghin, 2017). Without these sophisticated analytical techniques, researchers struggle to capture the non-linear complexities of agricultural economic relationships. Consequently, future research must utilize more robust modeling to account for market fluctuations and cross-border trade dynamics.</w:t>
      </w:r>
    </w:p>
    <w:p w14:paraId="4A5BCA08" w14:textId="77777777" w:rsidR="001A5810" w:rsidRPr="00084F2E" w:rsidRDefault="001A5810" w:rsidP="001A5810">
      <w:pPr>
        <w:shd w:val="clear" w:color="auto" w:fill="FFFFFF"/>
        <w:spacing w:after="100" w:afterAutospacing="1" w:line="360" w:lineRule="auto"/>
        <w:jc w:val="both"/>
        <w:rPr>
          <w:rFonts w:cs="Times New Roman"/>
          <w:b w:val="0"/>
          <w:szCs w:val="23"/>
          <w:lang w:val="en-US"/>
        </w:rPr>
      </w:pPr>
      <w:r w:rsidRPr="00084F2E">
        <w:rPr>
          <w:rFonts w:cs="Times New Roman"/>
          <w:b w:val="0"/>
          <w:szCs w:val="23"/>
          <w:lang w:val="en-US"/>
        </w:rPr>
        <w:t xml:space="preserve">The agricultural sector remains the backbone of the Ethiopian economy, serving as a primary driver for economic growth and export potential (Mekonnen et al., 2022). However, the sector is currently hindered by structural inefficiencies, including low yield productivity, limited access to credit, and inadequate infrastructure (World Bank, 2023). Furthermore, institutional challenges such as governance deficits and the digital divide continue to stifle progress. This paper reviews the multifaceted attributes of agricultural export performance in Ethiopia, specifically examining the impact of government debt, human capital training, institutional governance, and regional productivity differentials. By addressing these significant research gaps, this paper provides </w:t>
      </w:r>
      <w:r w:rsidRPr="00084F2E">
        <w:rPr>
          <w:rFonts w:cs="Times New Roman"/>
          <w:b w:val="0"/>
          <w:szCs w:val="23"/>
          <w:lang w:val="en-US"/>
        </w:rPr>
        <w:lastRenderedPageBreak/>
        <w:t>actionable policy recommendations to enhance export performance, foster economic resilience, and ensure food security in the region.</w:t>
      </w:r>
    </w:p>
    <w:p w14:paraId="3E627304" w14:textId="77777777" w:rsidR="0072282A" w:rsidRPr="00084F2E" w:rsidRDefault="00AB1BEC">
      <w:pPr>
        <w:keepNext/>
        <w:keepLines/>
        <w:spacing w:before="200" w:after="240"/>
        <w:outlineLvl w:val="1"/>
        <w:rPr>
          <w:rFonts w:eastAsiaTheme="majorEastAsia" w:cstheme="majorBidi"/>
          <w:bCs/>
          <w:sz w:val="28"/>
          <w:szCs w:val="26"/>
          <w:lang w:val="en-US"/>
        </w:rPr>
      </w:pPr>
      <w:bookmarkStart w:id="17" w:name="_Toc220661991"/>
      <w:r w:rsidRPr="00084F2E">
        <w:rPr>
          <w:rFonts w:eastAsiaTheme="majorEastAsia" w:cstheme="majorBidi"/>
          <w:bCs/>
          <w:iCs/>
          <w:sz w:val="28"/>
          <w:szCs w:val="26"/>
          <w:lang w:val="en-US"/>
        </w:rPr>
        <w:t>1.4. Research Questions</w:t>
      </w:r>
      <w:bookmarkEnd w:id="17"/>
      <w:r w:rsidRPr="00084F2E">
        <w:rPr>
          <w:rFonts w:eastAsiaTheme="majorEastAsia" w:cstheme="majorBidi"/>
          <w:bCs/>
          <w:iCs/>
          <w:sz w:val="28"/>
          <w:szCs w:val="26"/>
          <w:lang w:val="en-US"/>
        </w:rPr>
        <w:t xml:space="preserve"> </w:t>
      </w:r>
    </w:p>
    <w:p w14:paraId="61E33FAF" w14:textId="77777777" w:rsidR="0072282A" w:rsidRPr="00084F2E" w:rsidRDefault="00AB1BEC">
      <w:pPr>
        <w:numPr>
          <w:ilvl w:val="0"/>
          <w:numId w:val="1"/>
        </w:numPr>
        <w:spacing w:before="240" w:line="360" w:lineRule="auto"/>
        <w:contextualSpacing/>
        <w:jc w:val="both"/>
        <w:rPr>
          <w:b w:val="0"/>
          <w:lang w:val="en-US"/>
        </w:rPr>
      </w:pPr>
      <w:r w:rsidRPr="00084F2E">
        <w:rPr>
          <w:b w:val="0"/>
          <w:lang w:val="en-US"/>
        </w:rPr>
        <w:t>How has the performance of agricultural products export trade in Ethiopia evolved from 1993 to 2022, and what is the current level of performance?</w:t>
      </w:r>
    </w:p>
    <w:p w14:paraId="660F179B" w14:textId="0192C6CE" w:rsidR="0072282A" w:rsidRPr="00084F2E" w:rsidRDefault="00AB1BEC">
      <w:pPr>
        <w:numPr>
          <w:ilvl w:val="0"/>
          <w:numId w:val="1"/>
        </w:numPr>
        <w:spacing w:before="240" w:line="360" w:lineRule="auto"/>
        <w:contextualSpacing/>
        <w:jc w:val="both"/>
        <w:rPr>
          <w:b w:val="0"/>
          <w:lang w:val="en-US"/>
        </w:rPr>
      </w:pPr>
      <w:r w:rsidRPr="00084F2E">
        <w:rPr>
          <w:b w:val="0"/>
          <w:lang w:val="en-US"/>
        </w:rPr>
        <w:t>What are the main factors influencing the performance of the Ethiopian agricultural product export?</w:t>
      </w:r>
    </w:p>
    <w:p w14:paraId="76E18913" w14:textId="5725A969" w:rsidR="00184427" w:rsidRPr="00084F2E" w:rsidRDefault="00184427" w:rsidP="00184427">
      <w:pPr>
        <w:numPr>
          <w:ilvl w:val="0"/>
          <w:numId w:val="1"/>
        </w:numPr>
        <w:spacing w:before="240" w:line="360" w:lineRule="auto"/>
        <w:contextualSpacing/>
        <w:jc w:val="both"/>
        <w:rPr>
          <w:b w:val="0"/>
          <w:lang w:val="en-US"/>
        </w:rPr>
      </w:pPr>
      <w:r w:rsidRPr="00084F2E">
        <w:rPr>
          <w:b w:val="0"/>
          <w:lang w:val="en-US"/>
        </w:rPr>
        <w:t>What are the long run and short run effects of determinants of agricultural products export performance in Ethiopia?</w:t>
      </w:r>
    </w:p>
    <w:p w14:paraId="6C0978E3" w14:textId="77777777" w:rsidR="0072282A" w:rsidRPr="00084F2E" w:rsidRDefault="00AB1BEC">
      <w:pPr>
        <w:keepNext/>
        <w:keepLines/>
        <w:spacing w:before="200" w:after="240"/>
        <w:outlineLvl w:val="1"/>
        <w:rPr>
          <w:rFonts w:eastAsiaTheme="majorEastAsia" w:cstheme="majorBidi"/>
          <w:bCs/>
          <w:sz w:val="28"/>
          <w:szCs w:val="26"/>
          <w:lang w:val="en-US"/>
        </w:rPr>
      </w:pPr>
      <w:bookmarkStart w:id="18" w:name="_Toc220661992"/>
      <w:r w:rsidRPr="00084F2E">
        <w:rPr>
          <w:rFonts w:eastAsiaTheme="majorEastAsia" w:cstheme="majorBidi"/>
          <w:bCs/>
          <w:sz w:val="28"/>
          <w:szCs w:val="26"/>
          <w:lang w:val="en-US"/>
        </w:rPr>
        <w:t>1.5. Research Objective</w:t>
      </w:r>
      <w:bookmarkEnd w:id="18"/>
    </w:p>
    <w:p w14:paraId="426F85AA" w14:textId="77777777" w:rsidR="0072282A" w:rsidRPr="00084F2E" w:rsidRDefault="00AB1BEC">
      <w:pPr>
        <w:keepNext/>
        <w:keepLines/>
        <w:spacing w:before="200" w:after="240" w:line="360" w:lineRule="auto"/>
        <w:jc w:val="both"/>
        <w:outlineLvl w:val="2"/>
        <w:rPr>
          <w:rFonts w:eastAsiaTheme="majorEastAsia" w:cs="Times New Roman"/>
          <w:bCs/>
          <w:iCs/>
          <w:shd w:val="clear" w:color="auto" w:fill="FFFFFF"/>
          <w:lang w:val="en-US"/>
        </w:rPr>
      </w:pPr>
      <w:bookmarkStart w:id="19" w:name="_Toc220661993"/>
      <w:r w:rsidRPr="00084F2E">
        <w:rPr>
          <w:rFonts w:eastAsiaTheme="majorEastAsia" w:cs="Times New Roman"/>
          <w:bCs/>
          <w:iCs/>
          <w:shd w:val="clear" w:color="auto" w:fill="FFFFFF"/>
          <w:lang w:val="en-US"/>
        </w:rPr>
        <w:t>1.5.1. General objective</w:t>
      </w:r>
      <w:bookmarkEnd w:id="19"/>
    </w:p>
    <w:p w14:paraId="4B67A57F" w14:textId="77777777" w:rsidR="0072282A" w:rsidRPr="00084F2E" w:rsidRDefault="00AB1BEC">
      <w:pPr>
        <w:spacing w:before="240" w:line="360" w:lineRule="auto"/>
        <w:jc w:val="both"/>
        <w:rPr>
          <w:b w:val="0"/>
          <w:lang w:val="en-US"/>
        </w:rPr>
      </w:pPr>
      <w:r w:rsidRPr="00084F2E">
        <w:rPr>
          <w:b w:val="0"/>
          <w:lang w:val="en-US"/>
        </w:rPr>
        <w:t>The main objective of this study is to analyze the determinants of agricultural products export</w:t>
      </w:r>
      <w:r w:rsidRPr="00084F2E">
        <w:rPr>
          <w:lang w:val="en-US"/>
        </w:rPr>
        <w:t xml:space="preserve"> </w:t>
      </w:r>
      <w:r w:rsidRPr="00084F2E">
        <w:rPr>
          <w:b w:val="0"/>
          <w:lang w:val="en-US"/>
        </w:rPr>
        <w:t>performance of Ethiopia from 1993 to 2022, identifying key trends, challenges, and opportunities.</w:t>
      </w:r>
    </w:p>
    <w:p w14:paraId="6244D1B3" w14:textId="77777777" w:rsidR="0072282A" w:rsidRPr="00084F2E" w:rsidRDefault="00AB1BEC">
      <w:pPr>
        <w:keepNext/>
        <w:keepLines/>
        <w:spacing w:before="200" w:after="240" w:line="360" w:lineRule="auto"/>
        <w:jc w:val="both"/>
        <w:outlineLvl w:val="2"/>
        <w:rPr>
          <w:rFonts w:eastAsiaTheme="majorEastAsia" w:cs="Times New Roman"/>
          <w:bCs/>
          <w:shd w:val="clear" w:color="auto" w:fill="FFFFFF"/>
          <w:lang w:val="en-US"/>
        </w:rPr>
      </w:pPr>
      <w:r w:rsidRPr="00084F2E">
        <w:rPr>
          <w:rFonts w:eastAsiaTheme="majorEastAsia" w:cs="Times New Roman"/>
          <w:bCs/>
          <w:iCs/>
          <w:shd w:val="clear" w:color="auto" w:fill="FFFFFF"/>
          <w:lang w:val="en-US"/>
        </w:rPr>
        <w:t xml:space="preserve"> </w:t>
      </w:r>
      <w:bookmarkStart w:id="20" w:name="_Toc220661994"/>
      <w:r w:rsidRPr="00084F2E">
        <w:rPr>
          <w:rFonts w:eastAsiaTheme="majorEastAsia" w:cs="Times New Roman"/>
          <w:bCs/>
          <w:iCs/>
          <w:shd w:val="clear" w:color="auto" w:fill="FFFFFF"/>
          <w:lang w:val="en-US"/>
        </w:rPr>
        <w:t>1.5.2. Specific Objectives</w:t>
      </w:r>
      <w:bookmarkEnd w:id="20"/>
    </w:p>
    <w:p w14:paraId="096D214E" w14:textId="2DB77CDF" w:rsidR="00184427" w:rsidRPr="00084F2E" w:rsidRDefault="00184427" w:rsidP="00595A1E">
      <w:pPr>
        <w:spacing w:line="360" w:lineRule="auto"/>
        <w:jc w:val="both"/>
      </w:pPr>
      <w:r w:rsidRPr="00084F2E">
        <w:rPr>
          <w:b w:val="0"/>
          <w:iCs/>
        </w:rPr>
        <w:t xml:space="preserve">1. </w:t>
      </w:r>
      <w:r w:rsidR="00AB1BEC" w:rsidRPr="00084F2E">
        <w:rPr>
          <w:b w:val="0"/>
          <w:iCs/>
        </w:rPr>
        <w:t>To analyze the trends of agricultural products export trade in Ethiopia from 1993 to 2022 and evaluate the current level of performance.</w:t>
      </w:r>
    </w:p>
    <w:p w14:paraId="623B7E39" w14:textId="733E5378" w:rsidR="00184427" w:rsidRPr="00084F2E" w:rsidRDefault="00184427" w:rsidP="00595A1E">
      <w:pPr>
        <w:spacing w:line="360" w:lineRule="auto"/>
        <w:jc w:val="both"/>
        <w:rPr>
          <w:b w:val="0"/>
          <w:iCs/>
        </w:rPr>
      </w:pPr>
      <w:r w:rsidRPr="00084F2E">
        <w:rPr>
          <w:b w:val="0"/>
          <w:iCs/>
        </w:rPr>
        <w:t xml:space="preserve">2. </w:t>
      </w:r>
      <w:r w:rsidR="00AB1BEC" w:rsidRPr="00084F2E">
        <w:rPr>
          <w:b w:val="0"/>
          <w:iCs/>
        </w:rPr>
        <w:t>To identify and examine the main factors influencing the performance of agricultural product exports in Ethiopia.</w:t>
      </w:r>
    </w:p>
    <w:p w14:paraId="6A555709" w14:textId="00AE8681" w:rsidR="007D7C4C" w:rsidRPr="00084F2E" w:rsidRDefault="00184427" w:rsidP="00595A1E">
      <w:pPr>
        <w:spacing w:line="360" w:lineRule="auto"/>
        <w:jc w:val="both"/>
        <w:rPr>
          <w:b w:val="0"/>
          <w:iCs/>
        </w:rPr>
      </w:pPr>
      <w:r w:rsidRPr="00084F2E">
        <w:rPr>
          <w:b w:val="0"/>
          <w:iCs/>
        </w:rPr>
        <w:t xml:space="preserve">3. </w:t>
      </w:r>
      <w:r w:rsidR="00DE2630" w:rsidRPr="00084F2E">
        <w:rPr>
          <w:b w:val="0"/>
          <w:iCs/>
        </w:rPr>
        <w:t xml:space="preserve">To examine the long run and short run effects of determinants of agricultural products export performance in Ethiopia </w:t>
      </w:r>
    </w:p>
    <w:p w14:paraId="66F8D586" w14:textId="77777777" w:rsidR="0072282A" w:rsidRPr="00084F2E" w:rsidRDefault="00AB1BEC">
      <w:pPr>
        <w:keepNext/>
        <w:keepLines/>
        <w:spacing w:before="200" w:after="240"/>
        <w:outlineLvl w:val="1"/>
        <w:rPr>
          <w:rFonts w:eastAsiaTheme="majorEastAsia" w:cstheme="majorBidi"/>
          <w:bCs/>
          <w:sz w:val="28"/>
          <w:szCs w:val="26"/>
          <w:lang w:val="en-US"/>
        </w:rPr>
      </w:pPr>
      <w:bookmarkStart w:id="21" w:name="_Toc220661995"/>
      <w:r w:rsidRPr="00084F2E">
        <w:rPr>
          <w:rFonts w:eastAsiaTheme="majorEastAsia" w:cstheme="majorBidi"/>
          <w:bCs/>
          <w:sz w:val="28"/>
          <w:szCs w:val="26"/>
          <w:lang w:val="en-US"/>
        </w:rPr>
        <w:t>1.6. Significance of the study</w:t>
      </w:r>
      <w:bookmarkEnd w:id="21"/>
      <w:r w:rsidRPr="00084F2E">
        <w:rPr>
          <w:rFonts w:eastAsiaTheme="majorEastAsia" w:cstheme="majorBidi"/>
          <w:bCs/>
          <w:sz w:val="28"/>
          <w:szCs w:val="26"/>
          <w:lang w:val="en-US"/>
        </w:rPr>
        <w:t xml:space="preserve"> </w:t>
      </w:r>
    </w:p>
    <w:p w14:paraId="73246D0A" w14:textId="77777777" w:rsidR="0072282A" w:rsidRPr="00084F2E" w:rsidRDefault="00AB1BEC">
      <w:pPr>
        <w:spacing w:before="240" w:line="360" w:lineRule="auto"/>
        <w:jc w:val="both"/>
        <w:rPr>
          <w:b w:val="0"/>
          <w:iCs/>
          <w:lang w:val="en-US"/>
        </w:rPr>
      </w:pPr>
      <w:r w:rsidRPr="00084F2E">
        <w:rPr>
          <w:b w:val="0"/>
          <w:iCs/>
          <w:lang w:val="en-US"/>
        </w:rPr>
        <w:t xml:space="preserve">This research will benefit the following groups:   </w:t>
      </w:r>
    </w:p>
    <w:p w14:paraId="57780008" w14:textId="77777777" w:rsidR="0072282A" w:rsidRPr="00084F2E" w:rsidRDefault="00AB1BEC">
      <w:pPr>
        <w:spacing w:before="240" w:line="360" w:lineRule="auto"/>
        <w:jc w:val="both"/>
        <w:rPr>
          <w:b w:val="0"/>
          <w:iCs/>
          <w:lang w:val="en-US"/>
        </w:rPr>
      </w:pPr>
      <w:r w:rsidRPr="00084F2E">
        <w:rPr>
          <w:b w:val="0"/>
          <w:iCs/>
          <w:lang w:val="en-US"/>
        </w:rPr>
        <w:t xml:space="preserve">The results of this research are useful for several groups involved in agriculture. Policymakers will find the analysis useful for developing evidence-based agricultural policies and trade regulations that facilitate improved export performance. Once obstacles and opportunities to improve export </w:t>
      </w:r>
      <w:r w:rsidRPr="00084F2E">
        <w:rPr>
          <w:b w:val="0"/>
          <w:iCs/>
          <w:lang w:val="en-US"/>
        </w:rPr>
        <w:lastRenderedPageBreak/>
        <w:t xml:space="preserve">performance are identified, policymakers can then strategize actions for the future to improve agricultural productivity, performance, and export markets.  </w:t>
      </w:r>
    </w:p>
    <w:p w14:paraId="31A62639" w14:textId="77777777" w:rsidR="0072282A" w:rsidRPr="00084F2E" w:rsidRDefault="00AB1BEC">
      <w:pPr>
        <w:spacing w:before="240" w:line="360" w:lineRule="auto"/>
        <w:jc w:val="both"/>
        <w:rPr>
          <w:b w:val="0"/>
          <w:iCs/>
          <w:lang w:val="en-US"/>
        </w:rPr>
      </w:pPr>
      <w:r w:rsidRPr="00084F2E">
        <w:rPr>
          <w:b w:val="0"/>
          <w:iCs/>
          <w:lang w:val="en-US"/>
        </w:rPr>
        <w:t xml:space="preserve">The research extends value to farmers and producers as they too will gain valuable information about market trends and consumer values. An increase in knowledge will directly benefit the farmer and producer in their market strategy about crop selection and production alternatives. Furthermore, learning about the importance of sustainability and technology will improve farmers' and producers' levels of certainty in agricultural productivity and market access.  </w:t>
      </w:r>
    </w:p>
    <w:p w14:paraId="4E152116" w14:textId="77777777" w:rsidR="0072282A" w:rsidRPr="00084F2E" w:rsidRDefault="00AB1BEC">
      <w:pPr>
        <w:spacing w:before="240" w:line="360" w:lineRule="auto"/>
        <w:jc w:val="both"/>
        <w:rPr>
          <w:b w:val="0"/>
          <w:iCs/>
          <w:lang w:val="en-US"/>
        </w:rPr>
      </w:pPr>
      <w:r w:rsidRPr="00084F2E">
        <w:rPr>
          <w:b w:val="0"/>
          <w:iCs/>
          <w:lang w:val="en-US"/>
        </w:rPr>
        <w:t>To scholars and researchers, the study is an important contribution to the body of knowledge about agricultural exports as an area of applied practice and potentially a field of study for related disciplines. The text will connect agricultural performance with economic, environmental, and social factors knowing there is little agricultural export scholarship on our relationship in practice and theory.</w:t>
      </w:r>
    </w:p>
    <w:p w14:paraId="1BA334AB" w14:textId="77777777" w:rsidR="0072282A" w:rsidRPr="00084F2E" w:rsidRDefault="00AB1BEC">
      <w:pPr>
        <w:spacing w:before="240" w:line="360" w:lineRule="auto"/>
        <w:jc w:val="both"/>
        <w:rPr>
          <w:b w:val="0"/>
          <w:iCs/>
          <w:lang w:val="en-US"/>
        </w:rPr>
      </w:pPr>
      <w:r w:rsidRPr="00084F2E">
        <w:rPr>
          <w:b w:val="0"/>
          <w:iCs/>
          <w:lang w:val="en-US"/>
        </w:rPr>
        <w:t>This information will be useful to investors and other business stakeholders to help choose appropriate investment opportunities in agricultural exports. Further, developing an understanding of the structures and behavior of markets will help facilitate businesses' ability to align product offerings with consumer preference and export demand.</w:t>
      </w:r>
    </w:p>
    <w:p w14:paraId="5F283845" w14:textId="77777777" w:rsidR="0072282A" w:rsidRPr="00084F2E" w:rsidRDefault="00AB1BEC">
      <w:pPr>
        <w:spacing w:before="240" w:line="360" w:lineRule="auto"/>
        <w:jc w:val="both"/>
        <w:rPr>
          <w:b w:val="0"/>
          <w:iCs/>
          <w:lang w:val="en-US"/>
        </w:rPr>
      </w:pPr>
      <w:r w:rsidRPr="00084F2E">
        <w:rPr>
          <w:b w:val="0"/>
          <w:iCs/>
          <w:lang w:val="en-US"/>
        </w:rPr>
        <w:t>The NGOs will be able to develop programs for smallholder farmers and improve agricultural practices, as well as increase farmers' capacity to export their products. The results and further receive agricultural exporting context for Ethiopia, will also help actors work together, while also identifying where their own efforts may present increased priority. Lastly, the foreign trade partners will gain important contextual information to improve their contextual knowledge of agriculture exporting in Ethiopia and identify who potential trade partners may be with agriculture in Ethiopia. The contextual knowledge can also improve communication around agricultural standards, but also potentially market access and trade with the country of Ethiopia.</w:t>
      </w:r>
    </w:p>
    <w:p w14:paraId="25039918" w14:textId="77777777" w:rsidR="0072282A" w:rsidRPr="00084F2E" w:rsidRDefault="00AB1BEC">
      <w:pPr>
        <w:keepNext/>
        <w:keepLines/>
        <w:spacing w:before="200" w:after="240"/>
        <w:outlineLvl w:val="1"/>
        <w:rPr>
          <w:rFonts w:eastAsiaTheme="majorEastAsia" w:cstheme="majorBidi"/>
          <w:bCs/>
          <w:sz w:val="28"/>
          <w:szCs w:val="26"/>
          <w:lang w:val="en-US"/>
        </w:rPr>
      </w:pPr>
      <w:bookmarkStart w:id="22" w:name="_Toc220661996"/>
      <w:r w:rsidRPr="00084F2E">
        <w:rPr>
          <w:rFonts w:eastAsiaTheme="majorEastAsia" w:cstheme="majorBidi"/>
          <w:bCs/>
          <w:sz w:val="28"/>
          <w:szCs w:val="26"/>
          <w:lang w:val="en-US"/>
        </w:rPr>
        <w:t>1.7. Scope of the Study</w:t>
      </w:r>
      <w:bookmarkEnd w:id="22"/>
    </w:p>
    <w:p w14:paraId="1614E206" w14:textId="77777777" w:rsidR="0072282A" w:rsidRPr="00084F2E" w:rsidRDefault="00AB1BEC">
      <w:pPr>
        <w:spacing w:before="240" w:line="360" w:lineRule="auto"/>
        <w:jc w:val="both"/>
        <w:rPr>
          <w:b w:val="0"/>
          <w:iCs/>
          <w:lang w:val="en-US"/>
        </w:rPr>
      </w:pPr>
      <w:r w:rsidRPr="00084F2E">
        <w:rPr>
          <w:b w:val="0"/>
          <w:iCs/>
          <w:lang w:val="en-US"/>
        </w:rPr>
        <w:t xml:space="preserve">This inquiry aims to investigate the agricultural export sector in Ethiopia. The inquiry will take place over the timeline of 1993-2022 to highlight trends, changes, and developments in agricultural exports. It will look at the impact of policy changes, weather conditions, and pole shifts in market </w:t>
      </w:r>
      <w:r w:rsidRPr="00084F2E">
        <w:rPr>
          <w:b w:val="0"/>
          <w:iCs/>
          <w:lang w:val="en-US"/>
        </w:rPr>
        <w:lastRenderedPageBreak/>
        <w:t>forces. The study involves a mixed-methods approach using quantitative data on exports and qualitative data from interviews and focus group discussions undertaken with farmers and other stakeholders in the agricultural sector. This provides balance between the statistical findings as seen from the experience of actors involved in agricultural exports.</w:t>
      </w:r>
    </w:p>
    <w:p w14:paraId="3A2FAB6A" w14:textId="77777777" w:rsidR="0072282A" w:rsidRPr="00084F2E" w:rsidRDefault="00AB1BEC">
      <w:pPr>
        <w:spacing w:before="240" w:line="360" w:lineRule="auto"/>
        <w:jc w:val="both"/>
        <w:rPr>
          <w:b w:val="0"/>
          <w:iCs/>
          <w:lang w:val="en-US"/>
        </w:rPr>
      </w:pPr>
      <w:r w:rsidRPr="00084F2E">
        <w:rPr>
          <w:b w:val="0"/>
          <w:iCs/>
          <w:lang w:val="en-US"/>
        </w:rPr>
        <w:t>The inquiry investigates key issues including agricultural production (types and volume of produce exported), value of exported goods (monetary value of the exported goods), access to markets (ability of farmers to access local and global markets), technology adoption (use of improved agricultural practices), and government debt). It will also address other associated external factors including trading policies, corruption, and climate change. Ultimately, it aims to clarify how the interplay of these factors impacts agricultural export performance in Ethiopia.</w:t>
      </w:r>
    </w:p>
    <w:p w14:paraId="51CFD3EE" w14:textId="77777777" w:rsidR="0072282A" w:rsidRPr="00084F2E" w:rsidRDefault="00AB1BEC">
      <w:pPr>
        <w:keepNext/>
        <w:keepLines/>
        <w:spacing w:before="200" w:after="240"/>
        <w:outlineLvl w:val="1"/>
        <w:rPr>
          <w:rFonts w:eastAsiaTheme="majorEastAsia" w:cstheme="majorBidi"/>
          <w:bCs/>
          <w:sz w:val="28"/>
          <w:szCs w:val="26"/>
          <w:lang w:val="en-US"/>
        </w:rPr>
      </w:pPr>
      <w:bookmarkStart w:id="23" w:name="_Toc220661997"/>
      <w:r w:rsidRPr="00084F2E">
        <w:rPr>
          <w:rFonts w:eastAsiaTheme="majorEastAsia" w:cstheme="majorBidi"/>
          <w:bCs/>
          <w:sz w:val="28"/>
          <w:szCs w:val="26"/>
          <w:lang w:val="en-US"/>
        </w:rPr>
        <w:t>1.8. Limitation of the study</w:t>
      </w:r>
      <w:bookmarkEnd w:id="23"/>
      <w:r w:rsidRPr="00084F2E">
        <w:rPr>
          <w:rFonts w:eastAsiaTheme="majorEastAsia" w:cstheme="majorBidi"/>
          <w:bCs/>
          <w:sz w:val="28"/>
          <w:szCs w:val="26"/>
          <w:lang w:val="en-US"/>
        </w:rPr>
        <w:t xml:space="preserve"> </w:t>
      </w:r>
    </w:p>
    <w:p w14:paraId="2D0223CF"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This study recognizes several limitations. The analysis and the volume of data gathered were impacted by time restraints. Additionally, both foreign direct investment (FDI) and agriculture exports had the dual constraints of research availability and poor-quality disaggregated data. Budget constraints included limitations on research spending to support fieldwork (for example, stipend for participants) and limitations on more sophisticated econometric testing. Moreover, a macroeconomic analysis also bypasses important micro-level determinants of agricultural performance and local market characteristics. The analysis also did not fully examine non-linear relationships and indirect effects of macroeconomic determinants, either, which can provide more light. The findings can also not generalize to other nations because of regional heterogeneity in agriculture. Finally, even after a try at ending endogeneity, the complexity of interaction between variables could still induce bias, and future research should adopt a more integrated approach with multiple sources of data and methods.</w:t>
      </w:r>
    </w:p>
    <w:p w14:paraId="2B8D7374" w14:textId="73336744" w:rsidR="0072282A" w:rsidRPr="00084F2E" w:rsidRDefault="00AB1BEC">
      <w:pPr>
        <w:keepNext/>
        <w:keepLines/>
        <w:spacing w:before="200" w:after="240"/>
        <w:outlineLvl w:val="1"/>
        <w:rPr>
          <w:rFonts w:eastAsiaTheme="majorEastAsia" w:cstheme="majorBidi"/>
          <w:bCs/>
          <w:sz w:val="28"/>
          <w:szCs w:val="26"/>
          <w:lang w:val="en-US"/>
        </w:rPr>
      </w:pPr>
      <w:bookmarkStart w:id="24" w:name="_Toc220661998"/>
      <w:r w:rsidRPr="00084F2E">
        <w:rPr>
          <w:rFonts w:eastAsiaTheme="majorEastAsia" w:cstheme="majorBidi"/>
          <w:bCs/>
          <w:sz w:val="28"/>
          <w:szCs w:val="26"/>
          <w:lang w:val="en-US"/>
        </w:rPr>
        <w:t>1.</w:t>
      </w:r>
      <w:r w:rsidR="00CD7161" w:rsidRPr="00084F2E">
        <w:rPr>
          <w:rFonts w:eastAsiaTheme="majorEastAsia" w:cstheme="majorBidi"/>
          <w:bCs/>
          <w:sz w:val="28"/>
          <w:szCs w:val="26"/>
          <w:lang w:val="en-US"/>
        </w:rPr>
        <w:t>9</w:t>
      </w:r>
      <w:r w:rsidRPr="00084F2E">
        <w:rPr>
          <w:rFonts w:eastAsiaTheme="majorEastAsia" w:cstheme="majorBidi"/>
          <w:bCs/>
          <w:sz w:val="28"/>
          <w:szCs w:val="26"/>
          <w:lang w:val="en-US"/>
        </w:rPr>
        <w:t>. Organization of the paper</w:t>
      </w:r>
      <w:bookmarkEnd w:id="24"/>
      <w:r w:rsidRPr="00084F2E">
        <w:rPr>
          <w:rFonts w:eastAsiaTheme="majorEastAsia" w:cstheme="majorBidi"/>
          <w:bCs/>
          <w:sz w:val="28"/>
          <w:szCs w:val="26"/>
          <w:lang w:val="en-US"/>
        </w:rPr>
        <w:t xml:space="preserve"> </w:t>
      </w:r>
    </w:p>
    <w:p w14:paraId="6C92EB13" w14:textId="2B4AB3A8" w:rsidR="0072282A" w:rsidRPr="00084F2E" w:rsidRDefault="00AB1BEC">
      <w:pPr>
        <w:shd w:val="clear" w:color="auto" w:fill="FFFFFF"/>
        <w:spacing w:after="100" w:afterAutospacing="1" w:line="360" w:lineRule="auto"/>
        <w:jc w:val="both"/>
        <w:rPr>
          <w:rFonts w:cs="Times New Roman"/>
          <w:b w:val="0"/>
          <w:szCs w:val="23"/>
          <w:lang w:val="en-US"/>
        </w:rPr>
      </w:pPr>
      <w:r w:rsidRPr="00084F2E">
        <w:rPr>
          <w:rFonts w:cs="Times New Roman"/>
          <w:b w:val="0"/>
          <w:szCs w:val="23"/>
          <w:lang w:val="en-US"/>
        </w:rPr>
        <w:t xml:space="preserve">The paper is organized into five chapters. The first chapter introduces the study. It provides an overview of the central topic, its relevance and purpose, and background information on agricultural exports, defines the problem, and lays out the research questions that guide the study, and discusses the study's rationale and importance. The second chapter offers a literature review by discussing the theory framework that relates to agricultural exports. This systematically reviews </w:t>
      </w:r>
      <w:r w:rsidRPr="00084F2E">
        <w:rPr>
          <w:rFonts w:cs="Times New Roman"/>
          <w:b w:val="0"/>
          <w:szCs w:val="23"/>
          <w:lang w:val="en-US"/>
        </w:rPr>
        <w:lastRenderedPageBreak/>
        <w:t>empirical literature on factors that influence agricultural product exports and then builds a conceptual framework of the relationships between key factors while identifying gaps in the literature that requires more research. The third chapter presents a fairly extensive description of the research design. In the research design section, the research design is presented quantitative</w:t>
      </w:r>
      <w:r w:rsidR="0001573B" w:rsidRPr="00084F2E">
        <w:rPr>
          <w:rFonts w:cs="Times New Roman"/>
          <w:b w:val="0"/>
          <w:szCs w:val="23"/>
          <w:lang w:val="en-US"/>
        </w:rPr>
        <w:t xml:space="preserve"> </w:t>
      </w:r>
      <w:r w:rsidRPr="00084F2E">
        <w:rPr>
          <w:rFonts w:cs="Times New Roman"/>
          <w:b w:val="0"/>
          <w:szCs w:val="23"/>
          <w:lang w:val="en-US"/>
        </w:rPr>
        <w:t>method, and then details of the population and sample, sampling strategies, data collection procedures and instruments, data analysis strategies, and ethical considerations are described that emerged during the research process. Chapter four presents and discusses the findings and implications. Finally, chapter five summarizes findings, discusses conclusions, and offers recommendations.</w:t>
      </w:r>
      <w:r w:rsidRPr="00084F2E">
        <w:rPr>
          <w:rFonts w:cs="Times New Roman"/>
          <w:b w:val="0"/>
          <w:szCs w:val="23"/>
          <w:lang w:val="en-US"/>
        </w:rPr>
        <w:br w:type="page"/>
      </w:r>
    </w:p>
    <w:p w14:paraId="5B51321C" w14:textId="77777777" w:rsidR="0072282A" w:rsidRPr="00084F2E" w:rsidRDefault="00AB1BEC">
      <w:pPr>
        <w:keepNext/>
        <w:keepLines/>
        <w:spacing w:before="480"/>
        <w:jc w:val="center"/>
        <w:outlineLvl w:val="0"/>
        <w:rPr>
          <w:rFonts w:eastAsiaTheme="majorEastAsia" w:cstheme="majorBidi"/>
          <w:bCs/>
          <w:sz w:val="32"/>
          <w:szCs w:val="28"/>
          <w:lang w:val="en-US"/>
        </w:rPr>
      </w:pPr>
      <w:bookmarkStart w:id="25" w:name="_Toc220661999"/>
      <w:r w:rsidRPr="00084F2E">
        <w:rPr>
          <w:rFonts w:eastAsiaTheme="majorEastAsia" w:cstheme="majorBidi"/>
          <w:bCs/>
          <w:sz w:val="32"/>
          <w:szCs w:val="28"/>
          <w:lang w:val="en-US"/>
        </w:rPr>
        <w:lastRenderedPageBreak/>
        <w:t>CHAPTER TWO</w:t>
      </w:r>
      <w:bookmarkEnd w:id="25"/>
    </w:p>
    <w:p w14:paraId="54FC3FE7" w14:textId="77777777" w:rsidR="0072282A" w:rsidRPr="00084F2E" w:rsidRDefault="00AB1BEC">
      <w:pPr>
        <w:keepNext/>
        <w:keepLines/>
        <w:spacing w:before="480"/>
        <w:jc w:val="center"/>
        <w:outlineLvl w:val="0"/>
        <w:rPr>
          <w:rFonts w:eastAsiaTheme="majorEastAsia" w:cstheme="majorBidi"/>
          <w:bCs/>
          <w:sz w:val="32"/>
          <w:szCs w:val="28"/>
          <w:lang w:val="en-US"/>
        </w:rPr>
      </w:pPr>
      <w:bookmarkStart w:id="26" w:name="_Toc220662000"/>
      <w:r w:rsidRPr="00084F2E">
        <w:rPr>
          <w:rFonts w:eastAsiaTheme="majorEastAsia" w:cstheme="majorBidi"/>
          <w:bCs/>
          <w:sz w:val="32"/>
          <w:szCs w:val="28"/>
          <w:lang w:val="en-US"/>
        </w:rPr>
        <w:t>REVIEW OF RELATED LITERATURE</w:t>
      </w:r>
      <w:bookmarkEnd w:id="26"/>
      <w:r w:rsidRPr="00084F2E">
        <w:rPr>
          <w:rFonts w:eastAsiaTheme="majorEastAsia" w:cstheme="majorBidi"/>
          <w:bCs/>
          <w:sz w:val="32"/>
          <w:szCs w:val="28"/>
          <w:lang w:val="en-US"/>
        </w:rPr>
        <w:t xml:space="preserve"> </w:t>
      </w:r>
    </w:p>
    <w:p w14:paraId="6C2C51B0" w14:textId="6E36A992" w:rsidR="0072282A" w:rsidRPr="00084F2E" w:rsidRDefault="00AB1BEC">
      <w:pPr>
        <w:keepNext/>
        <w:keepLines/>
        <w:spacing w:before="200" w:after="240"/>
        <w:outlineLvl w:val="1"/>
        <w:rPr>
          <w:rFonts w:eastAsiaTheme="majorEastAsia" w:cstheme="majorBidi"/>
          <w:bCs/>
          <w:sz w:val="28"/>
          <w:szCs w:val="26"/>
          <w:lang w:val="en-US"/>
        </w:rPr>
      </w:pPr>
      <w:bookmarkStart w:id="27" w:name="_Toc220662001"/>
      <w:r w:rsidRPr="00084F2E">
        <w:rPr>
          <w:rFonts w:eastAsiaTheme="majorEastAsia" w:cstheme="majorBidi"/>
          <w:bCs/>
          <w:sz w:val="28"/>
          <w:szCs w:val="26"/>
          <w:lang w:val="en-US"/>
        </w:rPr>
        <w:t>2.1. Introduction</w:t>
      </w:r>
      <w:bookmarkEnd w:id="27"/>
      <w:r w:rsidRPr="00084F2E">
        <w:rPr>
          <w:rFonts w:eastAsiaTheme="majorEastAsia" w:cstheme="majorBidi"/>
          <w:bCs/>
          <w:sz w:val="28"/>
          <w:szCs w:val="26"/>
          <w:lang w:val="en-US"/>
        </w:rPr>
        <w:t xml:space="preserve"> </w:t>
      </w:r>
    </w:p>
    <w:p w14:paraId="421428B8" w14:textId="4D2CDB85" w:rsidR="00F03482" w:rsidRPr="00084F2E" w:rsidRDefault="00F03482" w:rsidP="00F03482">
      <w:pPr>
        <w:keepNext/>
        <w:keepLines/>
        <w:spacing w:before="200" w:after="240" w:line="360" w:lineRule="auto"/>
        <w:jc w:val="both"/>
        <w:outlineLvl w:val="1"/>
        <w:rPr>
          <w:rFonts w:eastAsiaTheme="majorEastAsia" w:cstheme="majorBidi"/>
          <w:b w:val="0"/>
          <w:bCs/>
          <w:szCs w:val="26"/>
          <w:lang w:val="en-US"/>
        </w:rPr>
      </w:pPr>
      <w:bookmarkStart w:id="28" w:name="_Toc220662002"/>
      <w:r w:rsidRPr="00084F2E">
        <w:rPr>
          <w:rFonts w:eastAsiaTheme="majorEastAsia" w:cstheme="majorBidi"/>
          <w:b w:val="0"/>
          <w:bCs/>
          <w:szCs w:val="26"/>
          <w:lang w:val="en-US"/>
        </w:rPr>
        <w:t>This chapter examines the theoretical and empirical underpinnings of agricultural export performance. It explores established trade theories and reviews global and local empirical studies to identify the research gap.</w:t>
      </w:r>
      <w:bookmarkEnd w:id="28"/>
    </w:p>
    <w:p w14:paraId="29556B40" w14:textId="116CE50D" w:rsidR="0072282A" w:rsidRPr="00084F2E" w:rsidRDefault="00F03482">
      <w:pPr>
        <w:keepNext/>
        <w:keepLines/>
        <w:spacing w:before="200" w:after="240"/>
        <w:outlineLvl w:val="1"/>
        <w:rPr>
          <w:rFonts w:eastAsiaTheme="majorEastAsia" w:cstheme="majorBidi"/>
          <w:bCs/>
          <w:sz w:val="28"/>
          <w:szCs w:val="26"/>
          <w:lang w:val="en-US"/>
        </w:rPr>
      </w:pPr>
      <w:bookmarkStart w:id="29" w:name="_Toc220662003"/>
      <w:r w:rsidRPr="00084F2E">
        <w:rPr>
          <w:rFonts w:eastAsiaTheme="majorEastAsia" w:cstheme="majorBidi"/>
          <w:bCs/>
          <w:sz w:val="28"/>
          <w:szCs w:val="26"/>
          <w:lang w:val="en-US"/>
        </w:rPr>
        <w:t>2.2</w:t>
      </w:r>
      <w:r w:rsidR="00AB1BEC" w:rsidRPr="00084F2E">
        <w:rPr>
          <w:rFonts w:eastAsiaTheme="majorEastAsia" w:cstheme="majorBidi"/>
          <w:bCs/>
          <w:sz w:val="28"/>
          <w:szCs w:val="26"/>
          <w:lang w:val="en-US"/>
        </w:rPr>
        <w:t>. Theories related to the study</w:t>
      </w:r>
      <w:bookmarkEnd w:id="29"/>
    </w:p>
    <w:p w14:paraId="4D004A78" w14:textId="2E2F6400" w:rsidR="0072282A" w:rsidRPr="00084F2E" w:rsidRDefault="00F03482">
      <w:pPr>
        <w:keepNext/>
        <w:keepLines/>
        <w:spacing w:before="200" w:after="240" w:line="360" w:lineRule="auto"/>
        <w:jc w:val="both"/>
        <w:outlineLvl w:val="2"/>
        <w:rPr>
          <w:rFonts w:eastAsiaTheme="majorEastAsia" w:cs="Times New Roman"/>
          <w:bCs/>
          <w:shd w:val="clear" w:color="auto" w:fill="FFFFFF"/>
          <w:lang w:val="en-US"/>
        </w:rPr>
      </w:pPr>
      <w:bookmarkStart w:id="30" w:name="_Toc220662004"/>
      <w:r w:rsidRPr="00084F2E">
        <w:rPr>
          <w:rFonts w:eastAsiaTheme="majorEastAsia" w:cs="Times New Roman"/>
          <w:bCs/>
          <w:shd w:val="clear" w:color="auto" w:fill="FFFFFF"/>
          <w:lang w:val="en-US"/>
        </w:rPr>
        <w:t>2.2</w:t>
      </w:r>
      <w:r w:rsidR="00AB1BEC" w:rsidRPr="00084F2E">
        <w:rPr>
          <w:rFonts w:eastAsiaTheme="majorEastAsia" w:cs="Times New Roman"/>
          <w:bCs/>
          <w:shd w:val="clear" w:color="auto" w:fill="FFFFFF"/>
          <w:lang w:val="en-US"/>
        </w:rPr>
        <w:t>.1 Comparative Advantage Theory</w:t>
      </w:r>
      <w:bookmarkEnd w:id="30"/>
    </w:p>
    <w:p w14:paraId="1F35BDBB" w14:textId="77777777" w:rsidR="0072282A" w:rsidRPr="00084F2E" w:rsidRDefault="00AB1BEC">
      <w:pPr>
        <w:shd w:val="clear" w:color="auto" w:fill="FFFFFF"/>
        <w:spacing w:line="360" w:lineRule="auto"/>
        <w:jc w:val="both"/>
        <w:rPr>
          <w:rFonts w:cs="Times New Roman"/>
          <w:b w:val="0"/>
          <w:szCs w:val="23"/>
          <w:lang w:val="en-US"/>
        </w:rPr>
      </w:pPr>
      <w:r w:rsidRPr="00084F2E">
        <w:rPr>
          <w:rFonts w:cs="Times New Roman"/>
          <w:b w:val="0"/>
          <w:szCs w:val="23"/>
          <w:lang w:val="en-US"/>
        </w:rPr>
        <w:t>The comparative advantage theory introduced by David Ricardo posits that countries should specialize in the production of goods that have a lower opportunity cost relative to other countries. Thus, we argue Ethiopia should dedicate itself to exporting agricultural products, particularly coffee and spices, because of its comparative advantage in terms of agronomic conditions (climate) and historical farming expertise. We believe that Ethiopia can improve both its export performance and trade balance based on specializing and exporting its agricultural production (Ricardo, 2010).</w:t>
      </w:r>
    </w:p>
    <w:p w14:paraId="6BBC6421" w14:textId="7B495410" w:rsidR="0072282A" w:rsidRPr="00084F2E" w:rsidRDefault="00F03482">
      <w:pPr>
        <w:pStyle w:val="Heading3"/>
        <w:rPr>
          <w:lang w:val="en-US"/>
        </w:rPr>
      </w:pPr>
      <w:bookmarkStart w:id="31" w:name="_Toc220662005"/>
      <w:r w:rsidRPr="00084F2E">
        <w:rPr>
          <w:lang w:val="en-US"/>
        </w:rPr>
        <w:t>2.2</w:t>
      </w:r>
      <w:r w:rsidR="00AB1BEC" w:rsidRPr="00084F2E">
        <w:rPr>
          <w:lang w:val="en-US"/>
        </w:rPr>
        <w:t>.2 New Trade Theory</w:t>
      </w:r>
      <w:bookmarkEnd w:id="31"/>
    </w:p>
    <w:p w14:paraId="355A44D8" w14:textId="77777777" w:rsidR="0072282A" w:rsidRPr="00084F2E" w:rsidRDefault="00AB1BEC">
      <w:pPr>
        <w:shd w:val="clear" w:color="auto" w:fill="FFFFFF"/>
        <w:spacing w:line="360" w:lineRule="auto"/>
        <w:jc w:val="both"/>
        <w:rPr>
          <w:rFonts w:cs="Times New Roman"/>
          <w:b w:val="0"/>
          <w:szCs w:val="23"/>
          <w:lang w:val="en-US"/>
        </w:rPr>
      </w:pPr>
      <w:r w:rsidRPr="00084F2E">
        <w:rPr>
          <w:rFonts w:cs="Times New Roman"/>
          <w:b w:val="0"/>
          <w:szCs w:val="23"/>
          <w:lang w:val="en-US"/>
        </w:rPr>
        <w:t>New Trade Theory developed by renowned economists Paul Krugman challenges the idea of comparative advantage and gives economic weight to economies of scale and network effects in international trade. The fundamentals of New Trade Theory suggest companies competing in international markets can maintain a competitive advantage based on producing in larger spans which lowers production costs. We argue that applying this theory in Ethiopia would address the cooperative aspect of agriculture; smallholder farmers would adopt to cooperate in their production in order to enter larger and more international markets with bargaining power and strategic associations that can enhance their efficiency and export performance particularly in economies of scale (Krugman 1979).</w:t>
      </w:r>
    </w:p>
    <w:p w14:paraId="630FD9E0" w14:textId="6490625B" w:rsidR="0072282A" w:rsidRPr="00084F2E" w:rsidRDefault="00F03482">
      <w:pPr>
        <w:keepNext/>
        <w:keepLines/>
        <w:spacing w:before="200" w:after="240" w:line="360" w:lineRule="auto"/>
        <w:jc w:val="both"/>
        <w:outlineLvl w:val="2"/>
        <w:rPr>
          <w:rFonts w:eastAsiaTheme="majorEastAsia" w:cs="Times New Roman"/>
          <w:bCs/>
          <w:shd w:val="clear" w:color="auto" w:fill="FFFFFF"/>
          <w:lang w:val="en-US"/>
        </w:rPr>
      </w:pPr>
      <w:bookmarkStart w:id="32" w:name="_Toc220662006"/>
      <w:r w:rsidRPr="00084F2E">
        <w:rPr>
          <w:rFonts w:eastAsiaTheme="majorEastAsia" w:cs="Times New Roman"/>
          <w:bCs/>
          <w:shd w:val="clear" w:color="auto" w:fill="FFFFFF"/>
          <w:lang w:val="en-US"/>
        </w:rPr>
        <w:lastRenderedPageBreak/>
        <w:t>2.2</w:t>
      </w:r>
      <w:r w:rsidR="00AB1BEC" w:rsidRPr="00084F2E">
        <w:rPr>
          <w:rFonts w:eastAsiaTheme="majorEastAsia" w:cs="Times New Roman"/>
          <w:bCs/>
          <w:shd w:val="clear" w:color="auto" w:fill="FFFFFF"/>
          <w:lang w:val="en-US"/>
        </w:rPr>
        <w:t>.3 Porter's Diamond Model</w:t>
      </w:r>
      <w:bookmarkEnd w:id="32"/>
    </w:p>
    <w:p w14:paraId="7226442F" w14:textId="77777777" w:rsidR="0072282A" w:rsidRPr="00084F2E" w:rsidRDefault="00AB1BEC">
      <w:pPr>
        <w:shd w:val="clear" w:color="auto" w:fill="FFFFFF"/>
        <w:spacing w:line="360" w:lineRule="auto"/>
        <w:jc w:val="both"/>
        <w:rPr>
          <w:rFonts w:cs="Times New Roman"/>
          <w:b w:val="0"/>
          <w:szCs w:val="23"/>
          <w:lang w:val="en-US"/>
        </w:rPr>
      </w:pPr>
      <w:r w:rsidRPr="00084F2E">
        <w:rPr>
          <w:rFonts w:cs="Times New Roman"/>
          <w:b w:val="0"/>
          <w:szCs w:val="23"/>
          <w:lang w:val="en-US"/>
        </w:rPr>
        <w:t>Michael Porter's Diamond Model helps analyze a country's competitive advantages. The model consists of four key factors impacting a country's ability to compete in global markets: factor conditions, demand conditions, related and supporting industries, and the strategy, structure, and rivalry of firms. Ethiopia can enhance its agricultural export capacity by capitalizing on its abundant agricultural resources, such as rich land and climate, promoting local demand for premium agricultural products, and developing support industries in processing and logistics. By focusing on such industries, Ethiopia can create a competitive farm export enabling environment (Pressman, 1991).</w:t>
      </w:r>
    </w:p>
    <w:p w14:paraId="4112A8CC" w14:textId="51A21BA1" w:rsidR="0072282A" w:rsidRPr="00084F2E" w:rsidRDefault="00F03482">
      <w:pPr>
        <w:pStyle w:val="Heading3"/>
        <w:rPr>
          <w:lang w:val="en-US"/>
        </w:rPr>
      </w:pPr>
      <w:bookmarkStart w:id="33" w:name="_Toc220662007"/>
      <w:r w:rsidRPr="00084F2E">
        <w:rPr>
          <w:lang w:val="en-US"/>
        </w:rPr>
        <w:t>2.2</w:t>
      </w:r>
      <w:r w:rsidR="00AB1BEC" w:rsidRPr="00084F2E">
        <w:rPr>
          <w:lang w:val="en-US"/>
        </w:rPr>
        <w:t>.4 Sustainable Development Theory</w:t>
      </w:r>
      <w:bookmarkEnd w:id="33"/>
    </w:p>
    <w:p w14:paraId="03E27F57" w14:textId="77777777" w:rsidR="0072282A" w:rsidRPr="00084F2E" w:rsidRDefault="00AB1BEC">
      <w:pPr>
        <w:shd w:val="clear" w:color="auto" w:fill="FFFFFF"/>
        <w:spacing w:line="360" w:lineRule="auto"/>
        <w:jc w:val="both"/>
        <w:rPr>
          <w:rFonts w:cs="Times New Roman"/>
          <w:b w:val="0"/>
          <w:szCs w:val="23"/>
          <w:lang w:val="en-US"/>
        </w:rPr>
      </w:pPr>
      <w:r w:rsidRPr="00084F2E">
        <w:rPr>
          <w:rFonts w:cs="Times New Roman"/>
          <w:b w:val="0"/>
          <w:szCs w:val="23"/>
          <w:lang w:val="en-US"/>
        </w:rPr>
        <w:t>Sustainable Development Theory argues that economic development should be equitable to society and gentle on the environment. In the context of Ethiopian agriculture, sustainable development theory speaks of practices that will raise productivity and exports while considering long-term natural capital and community welfare. Sustainable methods such as agroecology and organic agriculture can help Ethiopia achieve its export ambition while lowering food insecurity and the environment (Keeble, 1988).</w:t>
      </w:r>
    </w:p>
    <w:p w14:paraId="233BEF4B" w14:textId="36F7BEA1" w:rsidR="0072282A" w:rsidRPr="00084F2E" w:rsidRDefault="00F03482">
      <w:pPr>
        <w:keepNext/>
        <w:keepLines/>
        <w:spacing w:before="200" w:after="240" w:line="360" w:lineRule="auto"/>
        <w:jc w:val="both"/>
        <w:outlineLvl w:val="2"/>
        <w:rPr>
          <w:rFonts w:eastAsiaTheme="majorEastAsia" w:cs="Times New Roman"/>
          <w:bCs/>
          <w:shd w:val="clear" w:color="auto" w:fill="FFFFFF"/>
          <w:lang w:val="en-US"/>
        </w:rPr>
      </w:pPr>
      <w:bookmarkStart w:id="34" w:name="_Toc220662008"/>
      <w:r w:rsidRPr="00084F2E">
        <w:rPr>
          <w:rFonts w:eastAsiaTheme="majorEastAsia" w:cs="Times New Roman"/>
          <w:bCs/>
          <w:shd w:val="clear" w:color="auto" w:fill="FFFFFF"/>
          <w:lang w:val="en-US"/>
        </w:rPr>
        <w:t>2.2.5</w:t>
      </w:r>
      <w:r w:rsidR="00AB1BEC" w:rsidRPr="00084F2E">
        <w:rPr>
          <w:rFonts w:eastAsiaTheme="majorEastAsia" w:cs="Times New Roman"/>
          <w:bCs/>
          <w:shd w:val="clear" w:color="auto" w:fill="FFFFFF"/>
          <w:lang w:val="en-US"/>
        </w:rPr>
        <w:t xml:space="preserve"> Institutional Theory</w:t>
      </w:r>
      <w:bookmarkEnd w:id="34"/>
    </w:p>
    <w:p w14:paraId="4D57DD0C" w14:textId="77777777" w:rsidR="0072282A" w:rsidRPr="00084F2E" w:rsidRDefault="00AB1BEC">
      <w:pPr>
        <w:shd w:val="clear" w:color="auto" w:fill="FFFFFF"/>
        <w:spacing w:line="360" w:lineRule="auto"/>
        <w:jc w:val="both"/>
        <w:rPr>
          <w:rFonts w:cs="Times New Roman"/>
          <w:b w:val="0"/>
          <w:szCs w:val="23"/>
          <w:lang w:val="en-US"/>
        </w:rPr>
      </w:pPr>
      <w:r w:rsidRPr="00084F2E">
        <w:rPr>
          <w:rFonts w:cs="Times New Roman"/>
          <w:b w:val="0"/>
          <w:szCs w:val="23"/>
          <w:lang w:val="en-US"/>
        </w:rPr>
        <w:t>Institutional Theory examines the way institutions shape economic activity and performance. For agriculture, policies, regulations, and market design are often the most important. In the case of Ethiopia, developing institutions to support agricultural development such as agricultural research and extension services, trade facilitation institutions, and cooperative societies for farmers will increase participation in and engagement with international markets. Therefore, institutional arrangements could improve agriculture export performance in Ethiopia (Faundez, 2016).</w:t>
      </w:r>
    </w:p>
    <w:p w14:paraId="3EC7F62B" w14:textId="18E5A987" w:rsidR="0072282A" w:rsidRPr="00084F2E" w:rsidRDefault="00AB1BEC">
      <w:pPr>
        <w:keepNext/>
        <w:keepLines/>
        <w:spacing w:before="200" w:after="240"/>
        <w:outlineLvl w:val="1"/>
        <w:rPr>
          <w:rFonts w:eastAsiaTheme="majorEastAsia" w:cstheme="majorBidi"/>
          <w:bCs/>
          <w:sz w:val="28"/>
          <w:szCs w:val="26"/>
          <w:lang w:val="en-US"/>
        </w:rPr>
      </w:pPr>
      <w:bookmarkStart w:id="35" w:name="_Toc220662009"/>
      <w:r w:rsidRPr="00084F2E">
        <w:rPr>
          <w:rFonts w:eastAsiaTheme="majorEastAsia" w:cstheme="majorBidi"/>
          <w:bCs/>
          <w:sz w:val="28"/>
          <w:szCs w:val="26"/>
          <w:lang w:val="en-US"/>
        </w:rPr>
        <w:t>2</w:t>
      </w:r>
      <w:r w:rsidR="00F03482" w:rsidRPr="00084F2E">
        <w:rPr>
          <w:rFonts w:eastAsiaTheme="majorEastAsia" w:cstheme="majorBidi"/>
          <w:bCs/>
          <w:sz w:val="28"/>
          <w:szCs w:val="26"/>
          <w:lang w:val="en-US"/>
        </w:rPr>
        <w:t>.3</w:t>
      </w:r>
      <w:r w:rsidRPr="00084F2E">
        <w:rPr>
          <w:rFonts w:eastAsiaTheme="majorEastAsia" w:cstheme="majorBidi"/>
          <w:bCs/>
          <w:sz w:val="28"/>
          <w:szCs w:val="26"/>
          <w:lang w:val="en-US"/>
        </w:rPr>
        <w:t>. Empirical studies review</w:t>
      </w:r>
      <w:bookmarkEnd w:id="35"/>
    </w:p>
    <w:p w14:paraId="183B9D2D"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 xml:space="preserve">Through empirical research, various trends have been shown in the agricultural export industry in Ethiopia. First, agricultural exports have an important impact on the economic status of Ethiopia and, specifically, coffee is critical to agricultural exports. Balami et al. (2024) reflected that the rise of smallholder farmers and foreign demand has positively increased coffee export. Hence, </w:t>
      </w:r>
      <w:r w:rsidRPr="00084F2E">
        <w:rPr>
          <w:rFonts w:cs="Times New Roman"/>
          <w:b w:val="0"/>
          <w:szCs w:val="23"/>
          <w:lang w:val="en-US"/>
        </w:rPr>
        <w:lastRenderedPageBreak/>
        <w:t>there is a need for enhancing agricultural productivity to serve the global markets. An example of such support comes from a study in Colombia, which reported that investment in agricultural sustainability was reported to enhance coffee production and achieved increased revenue from coffee exports (Vargas et al., 2024). Similar agricultural support in high technology in farming in Vietnam produced significant increases in coffee exports (Dat, 2023). Similarly, research indicated that improving coffee production quality in Brazil increased market costs and the number of coffee exports (Caldarelli et al, 2019). Cooperative farming practices increased coffee exports in Honduras by helping farmers reach foreign markets (Reyes et al., 2023).</w:t>
      </w:r>
    </w:p>
    <w:p w14:paraId="42097AC0"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Ethiopia is diversifying its export basket of agriculture away from coffee, particularly through pulse and oilseed exports. Length (2023) indicates that the commodity export volumes have increased due to changing global demands. Diversification helps reduce the risks associated with the dependence on a limited number of crops, which affects market price. For example, research in India indicated that diversification into pulses has enhanced farmers' resilience to market disruptions (Keller et al., 2024). Diversified horticultural exports have offered higher earnings and reduced dependency on cereal crops in Kenya (Lengai et al., 2022). Empirical evidence in Argentina confirms the cushioning effect of diversified sunflower and soybean exports against farm revenues following changes in markets (Sly, 2017). Similarly, diversification of some cash crops has also enhanced resilience towards exports in Nigeria (Ogunwolu et al., 2022). Yifru (2015) examined agricultural exports and economic growth and established a positive relationship in Ethiopia.</w:t>
      </w:r>
    </w:p>
    <w:p w14:paraId="00B6E275"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 xml:space="preserve">The implication of the discovery was that investment in agriculture should be increased, Tamene and Ali (2022) both examined the impact of digital technologies on agricultural exports. Their findings reveal that online market platforms improve market condition access particularly for smallholder farmers. Research in India has evidenced that online markets improved farmers access to markets and exports considerably (Naik, 2024). Research in Nigeria has revealed that mobile technology improved farmers’ access to market information to support exports (Cen- and Bellemare, 2021). Evidence from Kenya demonstrates that digital markets increased price efficiency and export performance (Liang et al., 2024). Evidence from Bangladesh also indicated that digital innovations in agriculture improved supply chain management, and export performance </w:t>
      </w:r>
      <w:r w:rsidRPr="00084F2E">
        <w:rPr>
          <w:rFonts w:cs="Times New Roman"/>
          <w:b w:val="0"/>
          <w:szCs w:val="23"/>
          <w:lang w:val="en-US"/>
        </w:rPr>
        <w:lastRenderedPageBreak/>
        <w:t>(Dadi et al., 2021). Control of agricultural product quality is a key consideration in accessing markets.</w:t>
      </w:r>
    </w:p>
    <w:p w14:paraId="031A59A8"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Zerssa et al. (2021) clarified that meeting international quality standards is paramount so that the products of Ethiopian agriculture can compete internationally. This has been backed by the research conducted by Silva (2022) which identified that maintaining quality standards also tends to play a larger role in export prospects. Fruit quality control for export has improved market access and prices in Chile (World Bank, 2020). Spanish studies revealed that compliance with EU standards has enabled local farmers to export to more competitive markets (Beck et al., 2024). Studies revealed that improved quality control has also benefited export performance, in this instance, the cotton harvest in Egypt (Y. N. Ahmed &amp; Delin, 2019). In New Zealand, a focus on quality has contributed to the evolution of the agricultural sector into a world market leader (Smith &amp; Signal, 2014). Logistical limitations are the source of considerable obstruction of Ethiopian agriculture and food exports.</w:t>
      </w:r>
    </w:p>
    <w:p w14:paraId="24EE2986"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 xml:space="preserve">Urugo et al. (2024) approximated the scale of poor infrastructure on exports, and proposed investment in transport and storage facilities. Infrastructure investment is essential for the improvement of market access as well as the minimization of agricultural transport expenditures. Evidence in Rwanda has shown that investment in rural infrastructure has had a strongly positive effect on agricultural exports (Illien, 2024). An innovation in transport infrastructure in Bangladesh improved agricultural commodity access to export markets (Rahman &amp; Neena, 2019). A research study in Indonesia found improving logistics and warehousing capacity improved palm oil export quantity (Suroso, 2022). Better agricultural infrastructure led to increased agricultural productivity and improved export capacity, according to research in the Philippines (Ecija, 2021). A research by Yuya and Tufa (2018) examined Ethiopian export policy performance, and assert that non-policy practice constraints limit the capacity for enhanced performance to export more. </w:t>
      </w:r>
    </w:p>
    <w:p w14:paraId="5FBBAE17"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 xml:space="preserve">The need to implement policy effectively is essential in ensuring the realization of Ethiopia agricultural sector potential. In Vietnam, research asserts that policy inconsistency can reduce export performance (Xu et al., 2023). Policy implementation has been associated with increased cocoa exports in Ghana (Olwig et al., 2023). Pakistani research demands consistent agricultural policies that propel export growth (Adebayo et al., 2024). Policymaking and policy </w:t>
      </w:r>
      <w:r w:rsidRPr="00084F2E">
        <w:rPr>
          <w:rFonts w:cs="Times New Roman"/>
          <w:b w:val="0"/>
          <w:szCs w:val="23"/>
          <w:lang w:val="en-US"/>
        </w:rPr>
        <w:lastRenderedPageBreak/>
        <w:t>implementation for agricultural exports in Morocco have been associated with different export performances (El Hafdaoui et al., 2024). Climate variability is another agriculture challenge.</w:t>
      </w:r>
    </w:p>
    <w:p w14:paraId="3E128095"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Grigorieva et al. (2023) indicated that adaptive measures to climate impacts are needed since they have the potential to influence yield and export capacity. Adaptation options for banana production in Ecuador have improved climate resilience and export capacity in recent studies (Abdoussalami et al., 2023). Adoption of climate-smart agriculture has been observed to boost export capacity for various crops, according to studies in Australia (Applestein et al., 2021). Kenyan dryland varieties produced increased coffee export and production revenue (Otundo Richard, 2024). Additionally, Brazilian studies show that sustainable yield can reverse climate impacts in soybean exports (Barbosa de Andrade Aragão et al., 2024). Kalogiannidis et al. (2024) studied farm cooperatives and established that the cooperative model significantly affects bargaining power and market access for small farmers.</w:t>
      </w:r>
    </w:p>
    <w:p w14:paraId="66DBBC94"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The cooperative model has been fundamental in enhancing export performance as well as stimulating fair profits for farmers. Costa Rican coffee cooperatives have facilitated better international market access for small farmers (Valenciano-Salazar et al., 2023). Ecuadorian cocoa cooperatives enhanced farmers' revenues while extending into foreign markets (Johnson, 2020). Empirical evidence in Tanzania supports the fact that cooperatives are one of the several avenues employed to develop and increase the export prospects of agricultural products (Israel, 2022). There is empirical evidence from Colombia that cooperatives help smallholder farmers procure resources and market information (Gutiérrez, 2014). Ethiopia has several avenues to develop and boost export performance. Evidence supports that Ethiopia has other potential future agricultural exports in addition to the present predominance of coffee. Reports like those of Megersa et al. (2020) record agricultural exports diversifying away from coffee to other goods like pulses and oilseeds to mitigate coffee price shocks.</w:t>
      </w:r>
    </w:p>
    <w:p w14:paraId="16DE5B8D"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There are benefits that may accrue to Ethiopia from trade initiatives such as the African Growth and Opportunity Act (AGOA) and the Everything But Arms (EBA) program. Despite these initiatives being helpful, research indicates that they were not utilized to the fullest due to several reasons, according to Ayele (2022).</w:t>
      </w:r>
    </w:p>
    <w:p w14:paraId="6B6AE545"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lastRenderedPageBreak/>
        <w:t>International quality standards must be met to improve Ethiopia’s ability to compete in foreign markets. The FAO (2022) states improving quality control systems affects access for Ethiopian exports, particularly coffee and textiles, directly.</w:t>
      </w:r>
    </w:p>
    <w:p w14:paraId="7EEA78FB"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Poor infrastructure is an important bottleneck to exporting. However, enhanced investments in storage and logistics can offer tremendous gains. For example, studies comparing rural infrastructure in Rwanda compared to Bangladesh illustrate how improvements to the rural infrastructure can provide great benefits to agricultural exports (Golub, 2008).</w:t>
      </w:r>
    </w:p>
    <w:p w14:paraId="04302B33"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Using technology has the capacity to enhance market access for smallholder farmers. Some recent studies show that e-commerce platforms significantly increase farmers' market reach, and export volume (Yuan &amp; Sun, 2024).</w:t>
      </w:r>
    </w:p>
    <w:p w14:paraId="46F5FA4D" w14:textId="77777777"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Cooperatives can also enhance market access and bargaining power for smallholder producers. Findings from studies in Costa Rica and Ecuador, show that cooperatives are effective in increasing access to foreign markets; suggesting a potential mechanism for smallholder farmers to have better access to markets in Ethiopia (Morepje et al, 2024).</w:t>
      </w:r>
    </w:p>
    <w:p w14:paraId="65902D58" w14:textId="53BA72B8" w:rsidR="0072282A" w:rsidRPr="00084F2E" w:rsidRDefault="00AB1BEC">
      <w:pPr>
        <w:shd w:val="clear" w:color="auto" w:fill="FFFFFF"/>
        <w:spacing w:before="240" w:line="360" w:lineRule="auto"/>
        <w:jc w:val="both"/>
        <w:rPr>
          <w:rFonts w:cs="Times New Roman"/>
          <w:b w:val="0"/>
          <w:szCs w:val="23"/>
          <w:lang w:val="en-US"/>
        </w:rPr>
      </w:pPr>
      <w:r w:rsidRPr="00084F2E">
        <w:rPr>
          <w:rFonts w:cs="Times New Roman"/>
          <w:b w:val="0"/>
          <w:szCs w:val="23"/>
          <w:lang w:val="en-US"/>
        </w:rPr>
        <w:t>Facilitating effective export policies is also necessary to tap any potential for Ethiopia in agricultural trade. Reports from Vietnam and Ghana shows that harmonized agricultural policies facilitate better agricultural export outcomes (Yuya &amp; Tufa, 2018).</w:t>
      </w:r>
    </w:p>
    <w:p w14:paraId="6CD78B53" w14:textId="77777777" w:rsidR="00677688" w:rsidRPr="00084F2E" w:rsidRDefault="00677688" w:rsidP="00677688">
      <w:pPr>
        <w:spacing w:before="100" w:beforeAutospacing="1" w:after="100" w:afterAutospacing="1" w:line="360" w:lineRule="auto"/>
        <w:outlineLvl w:val="2"/>
        <w:rPr>
          <w:rFonts w:cs="Times New Roman"/>
          <w:bCs/>
          <w:sz w:val="27"/>
          <w:szCs w:val="27"/>
          <w:lang w:val="en-US"/>
        </w:rPr>
      </w:pPr>
      <w:bookmarkStart w:id="36" w:name="_Toc219118626"/>
      <w:bookmarkStart w:id="37" w:name="_Toc220662010"/>
      <w:r w:rsidRPr="00084F2E">
        <w:rPr>
          <w:rFonts w:cs="Times New Roman"/>
          <w:bCs/>
          <w:sz w:val="27"/>
          <w:szCs w:val="27"/>
          <w:lang w:val="en-US"/>
        </w:rPr>
        <w:t>Summary of Empirical Research on Agricultural Exports</w:t>
      </w:r>
      <w:bookmarkEnd w:id="36"/>
      <w:bookmarkEnd w:id="37"/>
    </w:p>
    <w:tbl>
      <w:tblPr>
        <w:tblStyle w:val="TableGridLight"/>
        <w:tblW w:w="0" w:type="auto"/>
        <w:tblLook w:val="04A0" w:firstRow="1" w:lastRow="0" w:firstColumn="1" w:lastColumn="0" w:noHBand="0" w:noVBand="1"/>
      </w:tblPr>
      <w:tblGrid>
        <w:gridCol w:w="1948"/>
        <w:gridCol w:w="2465"/>
        <w:gridCol w:w="2598"/>
        <w:gridCol w:w="222"/>
        <w:gridCol w:w="2117"/>
      </w:tblGrid>
      <w:tr w:rsidR="00084F2E" w:rsidRPr="00084F2E" w14:paraId="7E2AE3C6" w14:textId="77777777" w:rsidTr="00677688">
        <w:tc>
          <w:tcPr>
            <w:tcW w:w="0" w:type="auto"/>
            <w:hideMark/>
          </w:tcPr>
          <w:p w14:paraId="2408CEB0" w14:textId="77777777" w:rsidR="00677688" w:rsidRPr="00084F2E" w:rsidRDefault="00677688" w:rsidP="00677688">
            <w:pPr>
              <w:spacing w:line="360" w:lineRule="auto"/>
              <w:rPr>
                <w:rFonts w:cs="Times New Roman"/>
                <w:b w:val="0"/>
                <w:lang w:val="en-US"/>
              </w:rPr>
            </w:pPr>
            <w:r w:rsidRPr="00084F2E">
              <w:rPr>
                <w:rFonts w:cs="Times New Roman"/>
                <w:bCs/>
                <w:lang w:val="en-US"/>
              </w:rPr>
              <w:t>Thematic Area</w:t>
            </w:r>
          </w:p>
        </w:tc>
        <w:tc>
          <w:tcPr>
            <w:tcW w:w="0" w:type="auto"/>
            <w:hideMark/>
          </w:tcPr>
          <w:p w14:paraId="00EE0032" w14:textId="77777777" w:rsidR="00677688" w:rsidRPr="00084F2E" w:rsidRDefault="00677688" w:rsidP="00677688">
            <w:pPr>
              <w:spacing w:line="360" w:lineRule="auto"/>
              <w:rPr>
                <w:rFonts w:cs="Times New Roman"/>
                <w:b w:val="0"/>
                <w:lang w:val="en-US"/>
              </w:rPr>
            </w:pPr>
            <w:r w:rsidRPr="00084F2E">
              <w:rPr>
                <w:rFonts w:cs="Times New Roman"/>
                <w:bCs/>
                <w:lang w:val="en-US"/>
              </w:rPr>
              <w:t>Ethiopian Context &amp; Findings</w:t>
            </w:r>
          </w:p>
        </w:tc>
        <w:tc>
          <w:tcPr>
            <w:tcW w:w="0" w:type="auto"/>
            <w:hideMark/>
          </w:tcPr>
          <w:p w14:paraId="458A31DD" w14:textId="77777777" w:rsidR="00677688" w:rsidRPr="00084F2E" w:rsidRDefault="00677688" w:rsidP="00677688">
            <w:pPr>
              <w:spacing w:line="360" w:lineRule="auto"/>
              <w:rPr>
                <w:rFonts w:cs="Times New Roman"/>
                <w:b w:val="0"/>
                <w:lang w:val="en-US"/>
              </w:rPr>
            </w:pPr>
            <w:r w:rsidRPr="00084F2E">
              <w:rPr>
                <w:rFonts w:cs="Times New Roman"/>
                <w:bCs/>
                <w:lang w:val="en-US"/>
              </w:rPr>
              <w:t>International Empirical Evidence</w:t>
            </w:r>
          </w:p>
        </w:tc>
        <w:tc>
          <w:tcPr>
            <w:tcW w:w="0" w:type="auto"/>
          </w:tcPr>
          <w:p w14:paraId="5B88F8A6" w14:textId="77777777" w:rsidR="00677688" w:rsidRPr="00084F2E" w:rsidRDefault="00677688" w:rsidP="00677688">
            <w:pPr>
              <w:spacing w:line="360" w:lineRule="auto"/>
              <w:rPr>
                <w:rFonts w:cs="Times New Roman"/>
                <w:bCs/>
                <w:lang w:val="en-US"/>
              </w:rPr>
            </w:pPr>
          </w:p>
        </w:tc>
        <w:tc>
          <w:tcPr>
            <w:tcW w:w="0" w:type="auto"/>
            <w:hideMark/>
          </w:tcPr>
          <w:p w14:paraId="61A7D1DD" w14:textId="6C6AE2BA" w:rsidR="00677688" w:rsidRPr="00084F2E" w:rsidRDefault="00677688" w:rsidP="00677688">
            <w:pPr>
              <w:spacing w:line="360" w:lineRule="auto"/>
              <w:rPr>
                <w:rFonts w:cs="Times New Roman"/>
                <w:b w:val="0"/>
                <w:lang w:val="en-US"/>
              </w:rPr>
            </w:pPr>
            <w:r w:rsidRPr="00084F2E">
              <w:rPr>
                <w:rFonts w:cs="Times New Roman"/>
                <w:bCs/>
                <w:lang w:val="en-US"/>
              </w:rPr>
              <w:t>Key Impact / Outcome</w:t>
            </w:r>
          </w:p>
        </w:tc>
      </w:tr>
      <w:tr w:rsidR="00084F2E" w:rsidRPr="00084F2E" w14:paraId="6FE4DF63" w14:textId="77777777" w:rsidTr="00677688">
        <w:tc>
          <w:tcPr>
            <w:tcW w:w="0" w:type="auto"/>
            <w:hideMark/>
          </w:tcPr>
          <w:p w14:paraId="4E7110A0" w14:textId="77777777" w:rsidR="00677688" w:rsidRPr="00084F2E" w:rsidRDefault="00677688" w:rsidP="00677688">
            <w:pPr>
              <w:spacing w:line="360" w:lineRule="auto"/>
              <w:rPr>
                <w:rFonts w:cs="Times New Roman"/>
                <w:b w:val="0"/>
                <w:lang w:val="en-US"/>
              </w:rPr>
            </w:pPr>
            <w:r w:rsidRPr="00084F2E">
              <w:rPr>
                <w:rFonts w:cs="Times New Roman"/>
                <w:bCs/>
                <w:lang w:val="en-US"/>
              </w:rPr>
              <w:t>Coffee &amp; Productivity</w:t>
            </w:r>
          </w:p>
        </w:tc>
        <w:tc>
          <w:tcPr>
            <w:tcW w:w="0" w:type="auto"/>
            <w:hideMark/>
          </w:tcPr>
          <w:p w14:paraId="6297A0F7" w14:textId="77777777" w:rsidR="00677688" w:rsidRPr="00084F2E" w:rsidRDefault="00677688" w:rsidP="00677688">
            <w:pPr>
              <w:spacing w:line="360" w:lineRule="auto"/>
              <w:rPr>
                <w:rFonts w:cs="Times New Roman"/>
                <w:b w:val="0"/>
                <w:lang w:val="en-US"/>
              </w:rPr>
            </w:pPr>
            <w:r w:rsidRPr="00084F2E">
              <w:rPr>
                <w:rFonts w:cs="Times New Roman"/>
                <w:b w:val="0"/>
                <w:lang w:val="en-US"/>
              </w:rPr>
              <w:t>Coffee is critical; smallholder farming and foreign demand drive export growth (Balami et al., 2024).</w:t>
            </w:r>
          </w:p>
        </w:tc>
        <w:tc>
          <w:tcPr>
            <w:tcW w:w="0" w:type="auto"/>
            <w:hideMark/>
          </w:tcPr>
          <w:p w14:paraId="6E071193" w14:textId="77777777" w:rsidR="00677688" w:rsidRPr="00084F2E" w:rsidRDefault="00677688" w:rsidP="00677688">
            <w:pPr>
              <w:spacing w:line="360" w:lineRule="auto"/>
              <w:rPr>
                <w:rFonts w:cs="Times New Roman"/>
                <w:b w:val="0"/>
                <w:lang w:val="en-US"/>
              </w:rPr>
            </w:pPr>
            <w:r w:rsidRPr="00084F2E">
              <w:rPr>
                <w:rFonts w:cs="Times New Roman"/>
                <w:bCs/>
                <w:lang w:val="en-US"/>
              </w:rPr>
              <w:t>Colombia, Vietnam, Brazil:</w:t>
            </w:r>
            <w:r w:rsidRPr="00084F2E">
              <w:rPr>
                <w:rFonts w:cs="Times New Roman"/>
                <w:b w:val="0"/>
                <w:lang w:val="en-US"/>
              </w:rPr>
              <w:t xml:space="preserve"> Investments in sustainability, high-tech farming, and quality increased revenue and export volume.</w:t>
            </w:r>
          </w:p>
        </w:tc>
        <w:tc>
          <w:tcPr>
            <w:tcW w:w="0" w:type="auto"/>
          </w:tcPr>
          <w:p w14:paraId="1761A2FA" w14:textId="77777777" w:rsidR="00677688" w:rsidRPr="00084F2E" w:rsidRDefault="00677688" w:rsidP="00677688">
            <w:pPr>
              <w:spacing w:line="360" w:lineRule="auto"/>
              <w:rPr>
                <w:rFonts w:cs="Times New Roman"/>
                <w:b w:val="0"/>
                <w:lang w:val="en-US"/>
              </w:rPr>
            </w:pPr>
          </w:p>
        </w:tc>
        <w:tc>
          <w:tcPr>
            <w:tcW w:w="0" w:type="auto"/>
            <w:hideMark/>
          </w:tcPr>
          <w:p w14:paraId="203A192F" w14:textId="30B7D48B" w:rsidR="00677688" w:rsidRPr="00084F2E" w:rsidRDefault="00677688" w:rsidP="00677688">
            <w:pPr>
              <w:spacing w:line="360" w:lineRule="auto"/>
              <w:rPr>
                <w:rFonts w:cs="Times New Roman"/>
                <w:b w:val="0"/>
                <w:lang w:val="en-US"/>
              </w:rPr>
            </w:pPr>
            <w:r w:rsidRPr="00084F2E">
              <w:rPr>
                <w:rFonts w:cs="Times New Roman"/>
                <w:b w:val="0"/>
                <w:lang w:val="en-US"/>
              </w:rPr>
              <w:t>Increased agricultural revenue and global market share.</w:t>
            </w:r>
          </w:p>
        </w:tc>
      </w:tr>
      <w:tr w:rsidR="00084F2E" w:rsidRPr="00084F2E" w14:paraId="4582A5C2" w14:textId="77777777" w:rsidTr="00677688">
        <w:tc>
          <w:tcPr>
            <w:tcW w:w="0" w:type="auto"/>
            <w:hideMark/>
          </w:tcPr>
          <w:p w14:paraId="3A5AC576" w14:textId="77777777" w:rsidR="00677688" w:rsidRPr="00084F2E" w:rsidRDefault="00677688" w:rsidP="00677688">
            <w:pPr>
              <w:spacing w:line="360" w:lineRule="auto"/>
              <w:rPr>
                <w:rFonts w:cs="Times New Roman"/>
                <w:b w:val="0"/>
                <w:lang w:val="en-US"/>
              </w:rPr>
            </w:pPr>
            <w:r w:rsidRPr="00084F2E">
              <w:rPr>
                <w:rFonts w:cs="Times New Roman"/>
                <w:bCs/>
                <w:lang w:val="en-US"/>
              </w:rPr>
              <w:lastRenderedPageBreak/>
              <w:t>Export Diversification</w:t>
            </w:r>
          </w:p>
        </w:tc>
        <w:tc>
          <w:tcPr>
            <w:tcW w:w="0" w:type="auto"/>
            <w:hideMark/>
          </w:tcPr>
          <w:p w14:paraId="47561A4E" w14:textId="77777777" w:rsidR="00677688" w:rsidRPr="00084F2E" w:rsidRDefault="00677688" w:rsidP="00677688">
            <w:pPr>
              <w:spacing w:line="360" w:lineRule="auto"/>
              <w:rPr>
                <w:rFonts w:cs="Times New Roman"/>
                <w:b w:val="0"/>
                <w:lang w:val="en-US"/>
              </w:rPr>
            </w:pPr>
            <w:r w:rsidRPr="00084F2E">
              <w:rPr>
                <w:rFonts w:cs="Times New Roman"/>
                <w:b w:val="0"/>
                <w:lang w:val="en-US"/>
              </w:rPr>
              <w:t>Shifting focus to pulses and oilseeds to reduce "mono-crop" price shock risks (Length, 2023; Megersa et al., 2020).</w:t>
            </w:r>
          </w:p>
        </w:tc>
        <w:tc>
          <w:tcPr>
            <w:tcW w:w="0" w:type="auto"/>
            <w:hideMark/>
          </w:tcPr>
          <w:p w14:paraId="4D3C0564" w14:textId="77777777" w:rsidR="00677688" w:rsidRPr="00084F2E" w:rsidRDefault="00677688" w:rsidP="00677688">
            <w:pPr>
              <w:spacing w:line="360" w:lineRule="auto"/>
              <w:rPr>
                <w:rFonts w:cs="Times New Roman"/>
                <w:b w:val="0"/>
                <w:lang w:val="en-US"/>
              </w:rPr>
            </w:pPr>
            <w:r w:rsidRPr="00084F2E">
              <w:rPr>
                <w:rFonts w:cs="Times New Roman"/>
                <w:bCs/>
                <w:lang w:val="en-US"/>
              </w:rPr>
              <w:t>India, Kenya, Argentina, Nigeria:</w:t>
            </w:r>
            <w:r w:rsidRPr="00084F2E">
              <w:rPr>
                <w:rFonts w:cs="Times New Roman"/>
                <w:b w:val="0"/>
                <w:lang w:val="en-US"/>
              </w:rPr>
              <w:t xml:space="preserve"> Diversification into pulses, horticulture, and soy enhanced farmer resilience to market disruptions.</w:t>
            </w:r>
          </w:p>
        </w:tc>
        <w:tc>
          <w:tcPr>
            <w:tcW w:w="0" w:type="auto"/>
          </w:tcPr>
          <w:p w14:paraId="3FFA44D0" w14:textId="77777777" w:rsidR="00677688" w:rsidRPr="00084F2E" w:rsidRDefault="00677688" w:rsidP="00677688">
            <w:pPr>
              <w:spacing w:line="360" w:lineRule="auto"/>
              <w:rPr>
                <w:rFonts w:cs="Times New Roman"/>
                <w:b w:val="0"/>
                <w:lang w:val="en-US"/>
              </w:rPr>
            </w:pPr>
          </w:p>
        </w:tc>
        <w:tc>
          <w:tcPr>
            <w:tcW w:w="0" w:type="auto"/>
            <w:hideMark/>
          </w:tcPr>
          <w:p w14:paraId="12A7AC1E" w14:textId="17B6196E" w:rsidR="00677688" w:rsidRPr="00084F2E" w:rsidRDefault="00677688" w:rsidP="00677688">
            <w:pPr>
              <w:spacing w:line="360" w:lineRule="auto"/>
              <w:rPr>
                <w:rFonts w:cs="Times New Roman"/>
                <w:b w:val="0"/>
                <w:lang w:val="en-US"/>
              </w:rPr>
            </w:pPr>
            <w:r w:rsidRPr="00084F2E">
              <w:rPr>
                <w:rFonts w:cs="Times New Roman"/>
                <w:b w:val="0"/>
                <w:lang w:val="en-US"/>
              </w:rPr>
              <w:t>Risk mitigation and stabilization of farm incomes.</w:t>
            </w:r>
          </w:p>
        </w:tc>
      </w:tr>
      <w:tr w:rsidR="00084F2E" w:rsidRPr="00084F2E" w14:paraId="0EB5D5A4" w14:textId="77777777" w:rsidTr="00677688">
        <w:tc>
          <w:tcPr>
            <w:tcW w:w="0" w:type="auto"/>
            <w:hideMark/>
          </w:tcPr>
          <w:p w14:paraId="401DD96B" w14:textId="77777777" w:rsidR="00677688" w:rsidRPr="00084F2E" w:rsidRDefault="00677688" w:rsidP="00677688">
            <w:pPr>
              <w:spacing w:line="360" w:lineRule="auto"/>
              <w:rPr>
                <w:rFonts w:cs="Times New Roman"/>
                <w:b w:val="0"/>
                <w:lang w:val="en-US"/>
              </w:rPr>
            </w:pPr>
            <w:r w:rsidRPr="00084F2E">
              <w:rPr>
                <w:rFonts w:cs="Times New Roman"/>
                <w:bCs/>
                <w:lang w:val="en-US"/>
              </w:rPr>
              <w:t>Digital Technology</w:t>
            </w:r>
          </w:p>
        </w:tc>
        <w:tc>
          <w:tcPr>
            <w:tcW w:w="0" w:type="auto"/>
            <w:hideMark/>
          </w:tcPr>
          <w:p w14:paraId="542AC4D2" w14:textId="77777777" w:rsidR="00677688" w:rsidRPr="00084F2E" w:rsidRDefault="00677688" w:rsidP="00677688">
            <w:pPr>
              <w:spacing w:line="360" w:lineRule="auto"/>
              <w:rPr>
                <w:rFonts w:cs="Times New Roman"/>
                <w:b w:val="0"/>
                <w:lang w:val="en-US"/>
              </w:rPr>
            </w:pPr>
            <w:r w:rsidRPr="00084F2E">
              <w:rPr>
                <w:rFonts w:cs="Times New Roman"/>
                <w:b w:val="0"/>
                <w:lang w:val="en-US"/>
              </w:rPr>
              <w:t>Online platforms and mobile tech improve market access for smallholders (Tamene &amp; Ali, 2022).</w:t>
            </w:r>
          </w:p>
        </w:tc>
        <w:tc>
          <w:tcPr>
            <w:tcW w:w="0" w:type="auto"/>
            <w:hideMark/>
          </w:tcPr>
          <w:p w14:paraId="07CD9C29" w14:textId="77777777" w:rsidR="00677688" w:rsidRPr="00084F2E" w:rsidRDefault="00677688" w:rsidP="00677688">
            <w:pPr>
              <w:spacing w:line="360" w:lineRule="auto"/>
              <w:rPr>
                <w:rFonts w:cs="Times New Roman"/>
                <w:b w:val="0"/>
                <w:lang w:val="en-US"/>
              </w:rPr>
            </w:pPr>
            <w:r w:rsidRPr="00084F2E">
              <w:rPr>
                <w:rFonts w:cs="Times New Roman"/>
                <w:bCs/>
                <w:lang w:val="en-US"/>
              </w:rPr>
              <w:t>India, Nigeria, Kenya, Bangladesh:</w:t>
            </w:r>
            <w:r w:rsidRPr="00084F2E">
              <w:rPr>
                <w:rFonts w:cs="Times New Roman"/>
                <w:b w:val="0"/>
                <w:lang w:val="en-US"/>
              </w:rPr>
              <w:t xml:space="preserve"> Digital innovations improved price efficiency, information flow, and supply chain management.</w:t>
            </w:r>
          </w:p>
        </w:tc>
        <w:tc>
          <w:tcPr>
            <w:tcW w:w="0" w:type="auto"/>
          </w:tcPr>
          <w:p w14:paraId="3CCB0A44" w14:textId="77777777" w:rsidR="00677688" w:rsidRPr="00084F2E" w:rsidRDefault="00677688" w:rsidP="00677688">
            <w:pPr>
              <w:spacing w:line="360" w:lineRule="auto"/>
              <w:rPr>
                <w:rFonts w:cs="Times New Roman"/>
                <w:b w:val="0"/>
                <w:lang w:val="en-US"/>
              </w:rPr>
            </w:pPr>
          </w:p>
        </w:tc>
        <w:tc>
          <w:tcPr>
            <w:tcW w:w="0" w:type="auto"/>
            <w:hideMark/>
          </w:tcPr>
          <w:p w14:paraId="75EC8BA3" w14:textId="7F2EADB6" w:rsidR="00677688" w:rsidRPr="00084F2E" w:rsidRDefault="00677688" w:rsidP="00677688">
            <w:pPr>
              <w:spacing w:line="360" w:lineRule="auto"/>
              <w:rPr>
                <w:rFonts w:cs="Times New Roman"/>
                <w:b w:val="0"/>
                <w:lang w:val="en-US"/>
              </w:rPr>
            </w:pPr>
            <w:r w:rsidRPr="00084F2E">
              <w:rPr>
                <w:rFonts w:cs="Times New Roman"/>
                <w:b w:val="0"/>
                <w:lang w:val="en-US"/>
              </w:rPr>
              <w:t>Improved market reach and export performance for smallholders.</w:t>
            </w:r>
          </w:p>
        </w:tc>
      </w:tr>
      <w:tr w:rsidR="00084F2E" w:rsidRPr="00084F2E" w14:paraId="5ADE9FA7" w14:textId="77777777" w:rsidTr="00677688">
        <w:tc>
          <w:tcPr>
            <w:tcW w:w="0" w:type="auto"/>
            <w:hideMark/>
          </w:tcPr>
          <w:p w14:paraId="70D1BDEE" w14:textId="77777777" w:rsidR="00677688" w:rsidRPr="00084F2E" w:rsidRDefault="00677688" w:rsidP="00677688">
            <w:pPr>
              <w:spacing w:line="360" w:lineRule="auto"/>
              <w:rPr>
                <w:rFonts w:cs="Times New Roman"/>
                <w:b w:val="0"/>
                <w:lang w:val="en-US"/>
              </w:rPr>
            </w:pPr>
            <w:r w:rsidRPr="00084F2E">
              <w:rPr>
                <w:rFonts w:cs="Times New Roman"/>
                <w:bCs/>
                <w:lang w:val="en-US"/>
              </w:rPr>
              <w:t>Quality &amp; Standardization</w:t>
            </w:r>
          </w:p>
        </w:tc>
        <w:tc>
          <w:tcPr>
            <w:tcW w:w="0" w:type="auto"/>
            <w:hideMark/>
          </w:tcPr>
          <w:p w14:paraId="39704CFF" w14:textId="77777777" w:rsidR="00677688" w:rsidRPr="00084F2E" w:rsidRDefault="00677688" w:rsidP="00677688">
            <w:pPr>
              <w:spacing w:line="360" w:lineRule="auto"/>
              <w:rPr>
                <w:rFonts w:cs="Times New Roman"/>
                <w:b w:val="0"/>
                <w:lang w:val="en-US"/>
              </w:rPr>
            </w:pPr>
            <w:r w:rsidRPr="00084F2E">
              <w:rPr>
                <w:rFonts w:cs="Times New Roman"/>
                <w:b w:val="0"/>
                <w:lang w:val="en-US"/>
              </w:rPr>
              <w:t>Meeting international standards is paramount for global competition (Zerssa et al., 2021; FAO, 2022).</w:t>
            </w:r>
          </w:p>
        </w:tc>
        <w:tc>
          <w:tcPr>
            <w:tcW w:w="0" w:type="auto"/>
            <w:hideMark/>
          </w:tcPr>
          <w:p w14:paraId="24469E17" w14:textId="77777777" w:rsidR="00677688" w:rsidRPr="00084F2E" w:rsidRDefault="00677688" w:rsidP="00677688">
            <w:pPr>
              <w:spacing w:line="360" w:lineRule="auto"/>
              <w:rPr>
                <w:rFonts w:cs="Times New Roman"/>
                <w:b w:val="0"/>
                <w:lang w:val="en-US"/>
              </w:rPr>
            </w:pPr>
            <w:r w:rsidRPr="00084F2E">
              <w:rPr>
                <w:rFonts w:cs="Times New Roman"/>
                <w:bCs/>
                <w:lang w:val="en-US"/>
              </w:rPr>
              <w:t>Chile, Spain, Egypt, New Zealand:</w:t>
            </w:r>
            <w:r w:rsidRPr="00084F2E">
              <w:rPr>
                <w:rFonts w:cs="Times New Roman"/>
                <w:b w:val="0"/>
                <w:lang w:val="en-US"/>
              </w:rPr>
              <w:t xml:space="preserve"> Compliance with EU/global standards led to premium prices and entry into competitive markets.</w:t>
            </w:r>
          </w:p>
        </w:tc>
        <w:tc>
          <w:tcPr>
            <w:tcW w:w="0" w:type="auto"/>
          </w:tcPr>
          <w:p w14:paraId="745932B8" w14:textId="77777777" w:rsidR="00677688" w:rsidRPr="00084F2E" w:rsidRDefault="00677688" w:rsidP="00677688">
            <w:pPr>
              <w:spacing w:line="360" w:lineRule="auto"/>
              <w:rPr>
                <w:rFonts w:cs="Times New Roman"/>
                <w:b w:val="0"/>
                <w:lang w:val="en-US"/>
              </w:rPr>
            </w:pPr>
          </w:p>
        </w:tc>
        <w:tc>
          <w:tcPr>
            <w:tcW w:w="0" w:type="auto"/>
            <w:hideMark/>
          </w:tcPr>
          <w:p w14:paraId="442BAED3" w14:textId="5455A2F3" w:rsidR="00677688" w:rsidRPr="00084F2E" w:rsidRDefault="00677688" w:rsidP="00677688">
            <w:pPr>
              <w:spacing w:line="360" w:lineRule="auto"/>
              <w:rPr>
                <w:rFonts w:cs="Times New Roman"/>
                <w:b w:val="0"/>
                <w:lang w:val="en-US"/>
              </w:rPr>
            </w:pPr>
            <w:r w:rsidRPr="00084F2E">
              <w:rPr>
                <w:rFonts w:cs="Times New Roman"/>
                <w:b w:val="0"/>
                <w:lang w:val="en-US"/>
              </w:rPr>
              <w:t>Enhanced competitiveness and higher export price points.</w:t>
            </w:r>
          </w:p>
        </w:tc>
      </w:tr>
      <w:tr w:rsidR="00084F2E" w:rsidRPr="00084F2E" w14:paraId="1E3A07EC" w14:textId="77777777" w:rsidTr="00677688">
        <w:tc>
          <w:tcPr>
            <w:tcW w:w="0" w:type="auto"/>
            <w:hideMark/>
          </w:tcPr>
          <w:p w14:paraId="299FC30E" w14:textId="77777777" w:rsidR="00677688" w:rsidRPr="00084F2E" w:rsidRDefault="00677688" w:rsidP="00677688">
            <w:pPr>
              <w:spacing w:line="360" w:lineRule="auto"/>
              <w:rPr>
                <w:rFonts w:cs="Times New Roman"/>
                <w:b w:val="0"/>
                <w:lang w:val="en-US"/>
              </w:rPr>
            </w:pPr>
            <w:r w:rsidRPr="00084F2E">
              <w:rPr>
                <w:rFonts w:cs="Times New Roman"/>
                <w:bCs/>
                <w:lang w:val="en-US"/>
              </w:rPr>
              <w:t>Infrastructure &amp; Logistics</w:t>
            </w:r>
          </w:p>
        </w:tc>
        <w:tc>
          <w:tcPr>
            <w:tcW w:w="0" w:type="auto"/>
            <w:hideMark/>
          </w:tcPr>
          <w:p w14:paraId="710AAD73" w14:textId="77777777" w:rsidR="00677688" w:rsidRPr="00084F2E" w:rsidRDefault="00677688" w:rsidP="00677688">
            <w:pPr>
              <w:spacing w:line="360" w:lineRule="auto"/>
              <w:rPr>
                <w:rFonts w:cs="Times New Roman"/>
                <w:b w:val="0"/>
                <w:lang w:val="en-US"/>
              </w:rPr>
            </w:pPr>
            <w:r w:rsidRPr="00084F2E">
              <w:rPr>
                <w:rFonts w:cs="Times New Roman"/>
                <w:b w:val="0"/>
                <w:lang w:val="en-US"/>
              </w:rPr>
              <w:t>Poor transport and storage are major bottlenecks; investment is urgently needed (Urugo et al., 2024).</w:t>
            </w:r>
          </w:p>
        </w:tc>
        <w:tc>
          <w:tcPr>
            <w:tcW w:w="0" w:type="auto"/>
            <w:hideMark/>
          </w:tcPr>
          <w:p w14:paraId="41AD0BEA" w14:textId="77777777" w:rsidR="00677688" w:rsidRPr="00084F2E" w:rsidRDefault="00677688" w:rsidP="00677688">
            <w:pPr>
              <w:spacing w:line="360" w:lineRule="auto"/>
              <w:rPr>
                <w:rFonts w:cs="Times New Roman"/>
                <w:b w:val="0"/>
                <w:lang w:val="en-US"/>
              </w:rPr>
            </w:pPr>
            <w:r w:rsidRPr="00084F2E">
              <w:rPr>
                <w:rFonts w:cs="Times New Roman"/>
                <w:bCs/>
                <w:lang w:val="en-US"/>
              </w:rPr>
              <w:t>Rwanda, Bangladesh, Indonesia, Philippines:</w:t>
            </w:r>
            <w:r w:rsidRPr="00084F2E">
              <w:rPr>
                <w:rFonts w:cs="Times New Roman"/>
                <w:b w:val="0"/>
                <w:lang w:val="en-US"/>
              </w:rPr>
              <w:t xml:space="preserve"> Improved rural roads and warehousing increased palm oil and commodity export capacity.</w:t>
            </w:r>
          </w:p>
        </w:tc>
        <w:tc>
          <w:tcPr>
            <w:tcW w:w="0" w:type="auto"/>
          </w:tcPr>
          <w:p w14:paraId="7F0F186F" w14:textId="77777777" w:rsidR="00677688" w:rsidRPr="00084F2E" w:rsidRDefault="00677688" w:rsidP="00677688">
            <w:pPr>
              <w:spacing w:line="360" w:lineRule="auto"/>
              <w:rPr>
                <w:rFonts w:cs="Times New Roman"/>
                <w:b w:val="0"/>
                <w:lang w:val="en-US"/>
              </w:rPr>
            </w:pPr>
          </w:p>
        </w:tc>
        <w:tc>
          <w:tcPr>
            <w:tcW w:w="0" w:type="auto"/>
            <w:hideMark/>
          </w:tcPr>
          <w:p w14:paraId="26AEE2A8" w14:textId="1CFBB302" w:rsidR="00677688" w:rsidRPr="00084F2E" w:rsidRDefault="00677688" w:rsidP="00677688">
            <w:pPr>
              <w:spacing w:line="360" w:lineRule="auto"/>
              <w:rPr>
                <w:rFonts w:cs="Times New Roman"/>
                <w:b w:val="0"/>
                <w:lang w:val="en-US"/>
              </w:rPr>
            </w:pPr>
            <w:r w:rsidRPr="00084F2E">
              <w:rPr>
                <w:rFonts w:cs="Times New Roman"/>
                <w:b w:val="0"/>
                <w:lang w:val="en-US"/>
              </w:rPr>
              <w:t>Reduced transport costs and minimized post-harvest losses.</w:t>
            </w:r>
          </w:p>
        </w:tc>
      </w:tr>
      <w:tr w:rsidR="00084F2E" w:rsidRPr="00084F2E" w14:paraId="52DFFF7B" w14:textId="77777777" w:rsidTr="00677688">
        <w:tc>
          <w:tcPr>
            <w:tcW w:w="0" w:type="auto"/>
            <w:hideMark/>
          </w:tcPr>
          <w:p w14:paraId="334EA7C0" w14:textId="77777777" w:rsidR="00677688" w:rsidRPr="00084F2E" w:rsidRDefault="00677688" w:rsidP="00677688">
            <w:pPr>
              <w:spacing w:line="360" w:lineRule="auto"/>
              <w:rPr>
                <w:rFonts w:cs="Times New Roman"/>
                <w:b w:val="0"/>
                <w:lang w:val="en-US"/>
              </w:rPr>
            </w:pPr>
            <w:r w:rsidRPr="00084F2E">
              <w:rPr>
                <w:rFonts w:cs="Times New Roman"/>
                <w:bCs/>
                <w:lang w:val="en-US"/>
              </w:rPr>
              <w:t>Policy &amp; Trade Initiatives</w:t>
            </w:r>
          </w:p>
        </w:tc>
        <w:tc>
          <w:tcPr>
            <w:tcW w:w="0" w:type="auto"/>
            <w:hideMark/>
          </w:tcPr>
          <w:p w14:paraId="6B86415F" w14:textId="77777777" w:rsidR="00677688" w:rsidRPr="00084F2E" w:rsidRDefault="00677688" w:rsidP="00677688">
            <w:pPr>
              <w:spacing w:line="360" w:lineRule="auto"/>
              <w:rPr>
                <w:rFonts w:cs="Times New Roman"/>
                <w:b w:val="0"/>
                <w:lang w:val="en-US"/>
              </w:rPr>
            </w:pPr>
            <w:r w:rsidRPr="00084F2E">
              <w:rPr>
                <w:rFonts w:cs="Times New Roman"/>
                <w:b w:val="0"/>
                <w:lang w:val="en-US"/>
              </w:rPr>
              <w:t xml:space="preserve">Potential is limited by poor policy implementation and </w:t>
            </w:r>
            <w:r w:rsidRPr="00084F2E">
              <w:rPr>
                <w:rFonts w:cs="Times New Roman"/>
                <w:b w:val="0"/>
                <w:lang w:val="en-US"/>
              </w:rPr>
              <w:lastRenderedPageBreak/>
              <w:t>underutilization of AGOA/EBA (Yuya &amp; Tufa, 2018; Ayele, 2022).</w:t>
            </w:r>
          </w:p>
        </w:tc>
        <w:tc>
          <w:tcPr>
            <w:tcW w:w="0" w:type="auto"/>
            <w:hideMark/>
          </w:tcPr>
          <w:p w14:paraId="1886C470" w14:textId="77777777" w:rsidR="00677688" w:rsidRPr="00084F2E" w:rsidRDefault="00677688" w:rsidP="00677688">
            <w:pPr>
              <w:spacing w:line="360" w:lineRule="auto"/>
              <w:rPr>
                <w:rFonts w:cs="Times New Roman"/>
                <w:b w:val="0"/>
                <w:lang w:val="en-US"/>
              </w:rPr>
            </w:pPr>
            <w:r w:rsidRPr="00084F2E">
              <w:rPr>
                <w:rFonts w:cs="Times New Roman"/>
                <w:bCs/>
                <w:lang w:val="en-US"/>
              </w:rPr>
              <w:lastRenderedPageBreak/>
              <w:t>Vietnam, Ghana, Pakistan, Morocco:</w:t>
            </w:r>
            <w:r w:rsidRPr="00084F2E">
              <w:rPr>
                <w:rFonts w:cs="Times New Roman"/>
                <w:b w:val="0"/>
                <w:lang w:val="en-US"/>
              </w:rPr>
              <w:t xml:space="preserve"> Policy consistency and </w:t>
            </w:r>
            <w:r w:rsidRPr="00084F2E">
              <w:rPr>
                <w:rFonts w:cs="Times New Roman"/>
                <w:b w:val="0"/>
                <w:lang w:val="en-US"/>
              </w:rPr>
              <w:lastRenderedPageBreak/>
              <w:t>harmonization are direct predictors of cocoa and crop export success.</w:t>
            </w:r>
          </w:p>
        </w:tc>
        <w:tc>
          <w:tcPr>
            <w:tcW w:w="0" w:type="auto"/>
          </w:tcPr>
          <w:p w14:paraId="2801BB8E" w14:textId="77777777" w:rsidR="00677688" w:rsidRPr="00084F2E" w:rsidRDefault="00677688" w:rsidP="00677688">
            <w:pPr>
              <w:spacing w:line="360" w:lineRule="auto"/>
              <w:rPr>
                <w:rFonts w:cs="Times New Roman"/>
                <w:b w:val="0"/>
                <w:lang w:val="en-US"/>
              </w:rPr>
            </w:pPr>
          </w:p>
        </w:tc>
        <w:tc>
          <w:tcPr>
            <w:tcW w:w="0" w:type="auto"/>
            <w:hideMark/>
          </w:tcPr>
          <w:p w14:paraId="052AB7F6" w14:textId="012949D2" w:rsidR="00677688" w:rsidRPr="00084F2E" w:rsidRDefault="00677688" w:rsidP="00677688">
            <w:pPr>
              <w:spacing w:line="360" w:lineRule="auto"/>
              <w:rPr>
                <w:rFonts w:cs="Times New Roman"/>
                <w:b w:val="0"/>
                <w:lang w:val="en-US"/>
              </w:rPr>
            </w:pPr>
            <w:r w:rsidRPr="00084F2E">
              <w:rPr>
                <w:rFonts w:cs="Times New Roman"/>
                <w:b w:val="0"/>
                <w:lang w:val="en-US"/>
              </w:rPr>
              <w:t xml:space="preserve">Realization of export potential through </w:t>
            </w:r>
            <w:r w:rsidRPr="00084F2E">
              <w:rPr>
                <w:rFonts w:cs="Times New Roman"/>
                <w:b w:val="0"/>
                <w:lang w:val="en-US"/>
              </w:rPr>
              <w:lastRenderedPageBreak/>
              <w:t>institutional alignment.</w:t>
            </w:r>
          </w:p>
        </w:tc>
      </w:tr>
      <w:tr w:rsidR="00084F2E" w:rsidRPr="00084F2E" w14:paraId="5A606C69" w14:textId="77777777" w:rsidTr="00677688">
        <w:tc>
          <w:tcPr>
            <w:tcW w:w="0" w:type="auto"/>
            <w:hideMark/>
          </w:tcPr>
          <w:p w14:paraId="7658E47A" w14:textId="77777777" w:rsidR="00677688" w:rsidRPr="00084F2E" w:rsidRDefault="00677688" w:rsidP="00677688">
            <w:pPr>
              <w:spacing w:line="360" w:lineRule="auto"/>
              <w:rPr>
                <w:rFonts w:cs="Times New Roman"/>
                <w:b w:val="0"/>
                <w:lang w:val="en-US"/>
              </w:rPr>
            </w:pPr>
            <w:r w:rsidRPr="00084F2E">
              <w:rPr>
                <w:rFonts w:cs="Times New Roman"/>
                <w:bCs/>
                <w:lang w:val="en-US"/>
              </w:rPr>
              <w:lastRenderedPageBreak/>
              <w:t>Climate Adaptation</w:t>
            </w:r>
          </w:p>
        </w:tc>
        <w:tc>
          <w:tcPr>
            <w:tcW w:w="0" w:type="auto"/>
            <w:hideMark/>
          </w:tcPr>
          <w:p w14:paraId="4B421182" w14:textId="77777777" w:rsidR="00677688" w:rsidRPr="00084F2E" w:rsidRDefault="00677688" w:rsidP="00677688">
            <w:pPr>
              <w:spacing w:line="360" w:lineRule="auto"/>
              <w:rPr>
                <w:rFonts w:cs="Times New Roman"/>
                <w:b w:val="0"/>
                <w:lang w:val="en-US"/>
              </w:rPr>
            </w:pPr>
            <w:r w:rsidRPr="00084F2E">
              <w:rPr>
                <w:rFonts w:cs="Times New Roman"/>
                <w:b w:val="0"/>
                <w:lang w:val="en-US"/>
              </w:rPr>
              <w:t>Yields are vulnerable to climate variability; adaptive measures are essential (Grigorieva et al., 2023).</w:t>
            </w:r>
          </w:p>
        </w:tc>
        <w:tc>
          <w:tcPr>
            <w:tcW w:w="0" w:type="auto"/>
            <w:hideMark/>
          </w:tcPr>
          <w:p w14:paraId="40A6855D" w14:textId="77777777" w:rsidR="00677688" w:rsidRPr="00084F2E" w:rsidRDefault="00677688" w:rsidP="00677688">
            <w:pPr>
              <w:spacing w:line="360" w:lineRule="auto"/>
              <w:rPr>
                <w:rFonts w:cs="Times New Roman"/>
                <w:b w:val="0"/>
                <w:lang w:val="en-US"/>
              </w:rPr>
            </w:pPr>
            <w:r w:rsidRPr="00084F2E">
              <w:rPr>
                <w:rFonts w:cs="Times New Roman"/>
                <w:bCs/>
                <w:lang w:val="en-US"/>
              </w:rPr>
              <w:t>Ecuador, Australia, Brazil, Kenya:</w:t>
            </w:r>
            <w:r w:rsidRPr="00084F2E">
              <w:rPr>
                <w:rFonts w:cs="Times New Roman"/>
                <w:b w:val="0"/>
                <w:lang w:val="en-US"/>
              </w:rPr>
              <w:t xml:space="preserve"> Climate-smart agriculture and resilient seed varieties (e.g., dryland coffee) boosted export capacity.</w:t>
            </w:r>
          </w:p>
        </w:tc>
        <w:tc>
          <w:tcPr>
            <w:tcW w:w="0" w:type="auto"/>
          </w:tcPr>
          <w:p w14:paraId="3C80A686" w14:textId="77777777" w:rsidR="00677688" w:rsidRPr="00084F2E" w:rsidRDefault="00677688" w:rsidP="00677688">
            <w:pPr>
              <w:spacing w:line="360" w:lineRule="auto"/>
              <w:rPr>
                <w:rFonts w:cs="Times New Roman"/>
                <w:b w:val="0"/>
                <w:lang w:val="en-US"/>
              </w:rPr>
            </w:pPr>
          </w:p>
        </w:tc>
        <w:tc>
          <w:tcPr>
            <w:tcW w:w="0" w:type="auto"/>
            <w:hideMark/>
          </w:tcPr>
          <w:p w14:paraId="4F571228" w14:textId="65850E40" w:rsidR="00677688" w:rsidRPr="00084F2E" w:rsidRDefault="00677688" w:rsidP="00677688">
            <w:pPr>
              <w:spacing w:line="360" w:lineRule="auto"/>
              <w:rPr>
                <w:rFonts w:cs="Times New Roman"/>
                <w:b w:val="0"/>
                <w:lang w:val="en-US"/>
              </w:rPr>
            </w:pPr>
            <w:r w:rsidRPr="00084F2E">
              <w:rPr>
                <w:rFonts w:cs="Times New Roman"/>
                <w:b w:val="0"/>
                <w:lang w:val="en-US"/>
              </w:rPr>
              <w:t>Long-term yield sustainability and climate resilience.</w:t>
            </w:r>
          </w:p>
        </w:tc>
      </w:tr>
      <w:tr w:rsidR="00084F2E" w:rsidRPr="00084F2E" w14:paraId="31F39029" w14:textId="77777777" w:rsidTr="00677688">
        <w:tc>
          <w:tcPr>
            <w:tcW w:w="0" w:type="auto"/>
            <w:hideMark/>
          </w:tcPr>
          <w:p w14:paraId="402BD6DB" w14:textId="77777777" w:rsidR="00677688" w:rsidRPr="00084F2E" w:rsidRDefault="00677688" w:rsidP="00677688">
            <w:pPr>
              <w:spacing w:line="360" w:lineRule="auto"/>
              <w:rPr>
                <w:rFonts w:cs="Times New Roman"/>
                <w:b w:val="0"/>
                <w:lang w:val="en-US"/>
              </w:rPr>
            </w:pPr>
            <w:r w:rsidRPr="00084F2E">
              <w:rPr>
                <w:rFonts w:cs="Times New Roman"/>
                <w:bCs/>
                <w:lang w:val="en-US"/>
              </w:rPr>
              <w:t>Cooperative Models</w:t>
            </w:r>
          </w:p>
        </w:tc>
        <w:tc>
          <w:tcPr>
            <w:tcW w:w="0" w:type="auto"/>
            <w:hideMark/>
          </w:tcPr>
          <w:p w14:paraId="6CDE59CF" w14:textId="77777777" w:rsidR="00677688" w:rsidRPr="00084F2E" w:rsidRDefault="00677688" w:rsidP="00677688">
            <w:pPr>
              <w:spacing w:line="360" w:lineRule="auto"/>
              <w:rPr>
                <w:rFonts w:cs="Times New Roman"/>
                <w:b w:val="0"/>
                <w:lang w:val="en-US"/>
              </w:rPr>
            </w:pPr>
            <w:r w:rsidRPr="00084F2E">
              <w:rPr>
                <w:rFonts w:cs="Times New Roman"/>
                <w:b w:val="0"/>
                <w:lang w:val="en-US"/>
              </w:rPr>
              <w:t>Cooperatives significantly increase bargaining power for small farmers (Kalogiannidis et al., 2024).</w:t>
            </w:r>
          </w:p>
        </w:tc>
        <w:tc>
          <w:tcPr>
            <w:tcW w:w="0" w:type="auto"/>
            <w:hideMark/>
          </w:tcPr>
          <w:p w14:paraId="29285AA1" w14:textId="77777777" w:rsidR="00677688" w:rsidRPr="00084F2E" w:rsidRDefault="00677688" w:rsidP="00677688">
            <w:pPr>
              <w:spacing w:line="360" w:lineRule="auto"/>
              <w:rPr>
                <w:rFonts w:cs="Times New Roman"/>
                <w:b w:val="0"/>
                <w:lang w:val="en-US"/>
              </w:rPr>
            </w:pPr>
            <w:r w:rsidRPr="00084F2E">
              <w:rPr>
                <w:rFonts w:cs="Times New Roman"/>
                <w:bCs/>
                <w:lang w:val="en-US"/>
              </w:rPr>
              <w:t>Costa Rica, Ecuador, Tanzania, Colombia:</w:t>
            </w:r>
            <w:r w:rsidRPr="00084F2E">
              <w:rPr>
                <w:rFonts w:cs="Times New Roman"/>
                <w:b w:val="0"/>
                <w:lang w:val="en-US"/>
              </w:rPr>
              <w:t xml:space="preserve"> Cooperatives facilitated fair profits and better resource/market information procurement.</w:t>
            </w:r>
          </w:p>
        </w:tc>
        <w:tc>
          <w:tcPr>
            <w:tcW w:w="0" w:type="auto"/>
          </w:tcPr>
          <w:p w14:paraId="2C078E01" w14:textId="77777777" w:rsidR="00677688" w:rsidRPr="00084F2E" w:rsidRDefault="00677688" w:rsidP="00677688">
            <w:pPr>
              <w:spacing w:line="360" w:lineRule="auto"/>
              <w:rPr>
                <w:rFonts w:cs="Times New Roman"/>
                <w:b w:val="0"/>
                <w:lang w:val="en-US"/>
              </w:rPr>
            </w:pPr>
          </w:p>
        </w:tc>
        <w:tc>
          <w:tcPr>
            <w:tcW w:w="0" w:type="auto"/>
            <w:hideMark/>
          </w:tcPr>
          <w:p w14:paraId="0C2992DB" w14:textId="2E8128D0" w:rsidR="00677688" w:rsidRPr="00084F2E" w:rsidRDefault="00677688" w:rsidP="00677688">
            <w:pPr>
              <w:spacing w:line="360" w:lineRule="auto"/>
              <w:rPr>
                <w:rFonts w:cs="Times New Roman"/>
                <w:b w:val="0"/>
                <w:lang w:val="en-US"/>
              </w:rPr>
            </w:pPr>
            <w:r w:rsidRPr="00084F2E">
              <w:rPr>
                <w:rFonts w:cs="Times New Roman"/>
                <w:b w:val="0"/>
                <w:lang w:val="en-US"/>
              </w:rPr>
              <w:t>Empowered smallholders and improved international market access.</w:t>
            </w:r>
          </w:p>
        </w:tc>
      </w:tr>
    </w:tbl>
    <w:p w14:paraId="32CFDBDB" w14:textId="0270DF0A" w:rsidR="00677688" w:rsidRPr="00084F2E" w:rsidRDefault="00677688" w:rsidP="00F03482">
      <w:pPr>
        <w:spacing w:before="100" w:beforeAutospacing="1" w:after="100" w:afterAutospacing="1" w:line="360" w:lineRule="auto"/>
        <w:jc w:val="both"/>
        <w:rPr>
          <w:rFonts w:cs="Times New Roman"/>
          <w:b w:val="0"/>
          <w:lang w:val="en-US"/>
        </w:rPr>
      </w:pPr>
      <w:r w:rsidRPr="00084F2E">
        <w:rPr>
          <w:rFonts w:cs="Times New Roman"/>
          <w:b w:val="0"/>
          <w:lang w:val="en-US"/>
        </w:rPr>
        <w:t xml:space="preserve">The empirical literature suggests that Ethiopia’s agricultural export growth depends on a </w:t>
      </w:r>
      <w:r w:rsidRPr="00084F2E">
        <w:rPr>
          <w:rFonts w:cs="Times New Roman"/>
          <w:b w:val="0"/>
          <w:bCs/>
          <w:lang w:val="en-US"/>
        </w:rPr>
        <w:t>transition from traditional practices to a modern, diversified, and tech-driven ecosystem.</w:t>
      </w:r>
      <w:r w:rsidRPr="00084F2E">
        <w:rPr>
          <w:rFonts w:cs="Times New Roman"/>
          <w:b w:val="0"/>
          <w:lang w:val="en-US"/>
        </w:rPr>
        <w:t xml:space="preserve"> While coffee remains the engine of the sector, the studies highlight that </w:t>
      </w:r>
      <w:r w:rsidRPr="00084F2E">
        <w:rPr>
          <w:rFonts w:cs="Times New Roman"/>
          <w:b w:val="0"/>
          <w:bCs/>
          <w:lang w:val="en-US"/>
        </w:rPr>
        <w:t>infrastructure investment, quality standard compliance, and consistent policy execution</w:t>
      </w:r>
      <w:r w:rsidRPr="00084F2E">
        <w:rPr>
          <w:rFonts w:cs="Times New Roman"/>
          <w:b w:val="0"/>
          <w:lang w:val="en-US"/>
        </w:rPr>
        <w:t xml:space="preserve"> are the three most critical levers required to translate potential into economic growth.</w:t>
      </w:r>
    </w:p>
    <w:p w14:paraId="67286CD9" w14:textId="5D3343CB" w:rsidR="0072282A" w:rsidRPr="00084F2E" w:rsidRDefault="00F03482">
      <w:pPr>
        <w:keepNext/>
        <w:keepLines/>
        <w:spacing w:before="200" w:after="240"/>
        <w:outlineLvl w:val="1"/>
        <w:rPr>
          <w:rFonts w:eastAsiaTheme="majorEastAsia" w:cstheme="majorBidi"/>
          <w:bCs/>
          <w:sz w:val="28"/>
          <w:szCs w:val="26"/>
          <w:lang w:val="en-US"/>
        </w:rPr>
      </w:pPr>
      <w:bookmarkStart w:id="38" w:name="_Toc220662011"/>
      <w:r w:rsidRPr="00084F2E">
        <w:rPr>
          <w:rFonts w:eastAsiaTheme="majorEastAsia" w:cstheme="majorBidi"/>
          <w:bCs/>
          <w:sz w:val="28"/>
          <w:szCs w:val="26"/>
          <w:lang w:val="en-US"/>
        </w:rPr>
        <w:t>2.4</w:t>
      </w:r>
      <w:r w:rsidR="00AB1BEC" w:rsidRPr="00084F2E">
        <w:rPr>
          <w:rFonts w:eastAsiaTheme="majorEastAsia" w:cstheme="majorBidi"/>
          <w:bCs/>
          <w:sz w:val="28"/>
          <w:szCs w:val="26"/>
          <w:lang w:val="en-US"/>
        </w:rPr>
        <w:t>. Research Gap</w:t>
      </w:r>
      <w:bookmarkEnd w:id="38"/>
    </w:p>
    <w:p w14:paraId="33DEB730" w14:textId="77777777" w:rsidR="00677688" w:rsidRPr="00084F2E" w:rsidRDefault="00677688" w:rsidP="00677688">
      <w:pPr>
        <w:shd w:val="clear" w:color="auto" w:fill="FFFFFF"/>
        <w:spacing w:line="360" w:lineRule="auto"/>
        <w:jc w:val="both"/>
        <w:rPr>
          <w:rFonts w:cs="Times New Roman"/>
          <w:b w:val="0"/>
          <w:szCs w:val="23"/>
          <w:lang w:val="en-US"/>
        </w:rPr>
      </w:pPr>
      <w:r w:rsidRPr="00084F2E">
        <w:rPr>
          <w:rFonts w:cs="Times New Roman"/>
          <w:b w:val="0"/>
          <w:szCs w:val="23"/>
          <w:lang w:val="en-US"/>
        </w:rPr>
        <w:t>Despite existing studies on agricultural exports, there is a significant lack of long-term longitudinal research spanning the last 30 years, particularly the critical decade from 2013 to 2023. Furthermore, while policy weaknesses have been noted, a research gap exists regarding the practical efficacy of current export schemes and how their implementation directly influences real-world performance.</w:t>
      </w:r>
    </w:p>
    <w:p w14:paraId="02267CFD" w14:textId="77777777" w:rsidR="00677688" w:rsidRPr="00084F2E" w:rsidRDefault="00677688" w:rsidP="00677688">
      <w:pPr>
        <w:shd w:val="clear" w:color="auto" w:fill="FFFFFF"/>
        <w:spacing w:line="360" w:lineRule="auto"/>
        <w:jc w:val="both"/>
        <w:rPr>
          <w:rFonts w:cs="Times New Roman"/>
          <w:b w:val="0"/>
          <w:szCs w:val="23"/>
          <w:lang w:val="en-US"/>
        </w:rPr>
      </w:pPr>
      <w:r w:rsidRPr="00084F2E">
        <w:rPr>
          <w:rFonts w:cs="Times New Roman"/>
          <w:b w:val="0"/>
          <w:szCs w:val="23"/>
          <w:lang w:val="en-US"/>
        </w:rPr>
        <w:lastRenderedPageBreak/>
        <w:t>Additionally, empirical evidence remains insufficient in quantifying the impact of digital technology and financial services, such as microfinance, on smallholder export volumes. There is also a clear need for research that connects sustainable farming practices and the bargaining power of cooperatives to enhanced market access and international competitiveness.</w:t>
      </w:r>
    </w:p>
    <w:p w14:paraId="45747328" w14:textId="77777777" w:rsidR="0072282A" w:rsidRPr="00084F2E" w:rsidRDefault="0072282A">
      <w:pPr>
        <w:shd w:val="clear" w:color="auto" w:fill="FFFFFF"/>
        <w:spacing w:line="360" w:lineRule="auto"/>
        <w:jc w:val="both"/>
        <w:rPr>
          <w:rFonts w:cs="Times New Roman"/>
          <w:b w:val="0"/>
          <w:szCs w:val="23"/>
          <w:lang w:val="en-US"/>
        </w:rPr>
      </w:pPr>
    </w:p>
    <w:p w14:paraId="1F72AD16" w14:textId="1B749A92" w:rsidR="00CD7161" w:rsidRPr="00084F2E" w:rsidRDefault="00CD7161">
      <w:pPr>
        <w:rPr>
          <w:rFonts w:cs="Times New Roman"/>
          <w:b w:val="0"/>
          <w:szCs w:val="23"/>
          <w:lang w:val="en-US"/>
        </w:rPr>
      </w:pPr>
      <w:r w:rsidRPr="00084F2E">
        <w:rPr>
          <w:rFonts w:cs="Times New Roman"/>
          <w:b w:val="0"/>
          <w:szCs w:val="23"/>
          <w:lang w:val="en-US"/>
        </w:rPr>
        <w:br w:type="page"/>
      </w:r>
    </w:p>
    <w:p w14:paraId="635AA456" w14:textId="77777777" w:rsidR="0072282A" w:rsidRPr="00084F2E" w:rsidRDefault="0072282A">
      <w:pPr>
        <w:shd w:val="clear" w:color="auto" w:fill="FFFFFF"/>
        <w:spacing w:line="360" w:lineRule="auto"/>
        <w:jc w:val="both"/>
        <w:rPr>
          <w:rFonts w:cs="Times New Roman"/>
          <w:b w:val="0"/>
          <w:szCs w:val="23"/>
          <w:lang w:val="en-US"/>
        </w:rPr>
      </w:pPr>
    </w:p>
    <w:p w14:paraId="3DB38375" w14:textId="196BEB30" w:rsidR="0072282A" w:rsidRPr="00084F2E" w:rsidRDefault="005E2FDA">
      <w:pPr>
        <w:keepNext/>
        <w:keepLines/>
        <w:spacing w:before="200" w:after="240"/>
        <w:outlineLvl w:val="1"/>
        <w:rPr>
          <w:rFonts w:eastAsiaTheme="majorEastAsia" w:cstheme="majorBidi"/>
          <w:bCs/>
          <w:iCs/>
          <w:sz w:val="28"/>
          <w:szCs w:val="26"/>
          <w:lang w:val="en-US"/>
        </w:rPr>
      </w:pPr>
      <w:bookmarkStart w:id="39" w:name="_Toc220662012"/>
      <w:r w:rsidRPr="00084F2E">
        <w:rPr>
          <w:rFonts w:eastAsiaTheme="majorEastAsia" w:cstheme="majorBidi"/>
          <w:bCs/>
          <w:iCs/>
          <w:sz w:val="28"/>
          <w:szCs w:val="26"/>
          <w:lang w:val="en-US"/>
        </w:rPr>
        <w:t>2.5</w:t>
      </w:r>
      <w:r w:rsidR="00AB1BEC" w:rsidRPr="00084F2E">
        <w:rPr>
          <w:rFonts w:eastAsiaTheme="majorEastAsia" w:cstheme="majorBidi"/>
          <w:bCs/>
          <w:iCs/>
          <w:sz w:val="28"/>
          <w:szCs w:val="26"/>
          <w:lang w:val="en-US"/>
        </w:rPr>
        <w:t>. Conceptual framework of the study</w:t>
      </w:r>
      <w:bookmarkEnd w:id="39"/>
      <w:r w:rsidR="00AB1BEC" w:rsidRPr="00084F2E">
        <w:rPr>
          <w:rFonts w:eastAsiaTheme="majorEastAsia" w:cstheme="majorBidi"/>
          <w:bCs/>
          <w:iCs/>
          <w:sz w:val="28"/>
          <w:szCs w:val="26"/>
          <w:lang w:val="en-US"/>
        </w:rPr>
        <w:t xml:space="preserve"> </w:t>
      </w:r>
    </w:p>
    <w:p w14:paraId="2AC6E590" w14:textId="77777777" w:rsidR="0072282A" w:rsidRPr="00084F2E" w:rsidRDefault="00AB1BEC">
      <w:pPr>
        <w:spacing w:line="360" w:lineRule="auto"/>
        <w:jc w:val="both"/>
        <w:rPr>
          <w:b w:val="0"/>
          <w:iCs/>
          <w:lang w:val="en-US"/>
        </w:rPr>
      </w:pPr>
      <w:r w:rsidRPr="00084F2E">
        <w:rPr>
          <w:b w:val="0"/>
          <w:iCs/>
          <w:lang w:val="en-US"/>
        </w:rPr>
        <w:t>The conceptual framework demonstrates visually, the relationships between independent variables and the dependent variable, export performance. This framework provides a way to understand how different factors are impacting agricultural exports in Ethiopia.</w:t>
      </w:r>
    </w:p>
    <w:p w14:paraId="2B6198C9" w14:textId="77777777" w:rsidR="0072282A" w:rsidRPr="00084F2E" w:rsidRDefault="00AB1BEC">
      <w:pPr>
        <w:spacing w:line="360" w:lineRule="auto"/>
        <w:jc w:val="both"/>
        <w:rPr>
          <w:iCs/>
          <w:lang w:val="en-US"/>
        </w:rPr>
      </w:pPr>
      <w:r w:rsidRPr="00084F2E">
        <w:rPr>
          <w:iCs/>
          <w:lang w:val="en-US"/>
        </w:rPr>
        <w:t>Independent variables                                            Dependent variable</w:t>
      </w:r>
    </w:p>
    <w:p w14:paraId="5A2F17D5" w14:textId="3AF35AC2" w:rsidR="0072282A" w:rsidRPr="00084F2E" w:rsidRDefault="00AE77B4">
      <w:pPr>
        <w:spacing w:line="360" w:lineRule="auto"/>
        <w:jc w:val="both"/>
        <w:rPr>
          <w:iCs/>
          <w:lang w:val="en-US"/>
        </w:rPr>
      </w:pPr>
      <w:r w:rsidRPr="00084F2E">
        <w:rPr>
          <w:iCs/>
          <w:noProof/>
          <w:lang w:val="en-US"/>
        </w:rPr>
        <mc:AlternateContent>
          <mc:Choice Requires="wps">
            <w:drawing>
              <wp:anchor distT="0" distB="0" distL="114300" distR="114300" simplePos="0" relativeHeight="251679744" behindDoc="0" locked="0" layoutInCell="1" allowOverlap="1" wp14:anchorId="37D5366D" wp14:editId="302FF5BF">
                <wp:simplePos x="0" y="0"/>
                <wp:positionH relativeFrom="column">
                  <wp:posOffset>2167890</wp:posOffset>
                </wp:positionH>
                <wp:positionV relativeFrom="paragraph">
                  <wp:posOffset>3568065</wp:posOffset>
                </wp:positionV>
                <wp:extent cx="1254125" cy="76200"/>
                <wp:effectExtent l="0" t="76200" r="0" b="190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54125" cy="762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06A2B1BB" id="Straight Arrow Connector 28" o:spid="_x0000_s1026" type="#_x0000_t32" style="position:absolute;margin-left:170.7pt;margin-top:280.95pt;width:98.75pt;height:6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" strokecolor="#4a7ebb">
                <v:stroke endarrow="open"/>
                <o:lock v:ext="edit" shapetype="f"/>
              </v:shape>
            </w:pict>
          </mc:Fallback>
        </mc:AlternateContent>
      </w:r>
      <w:r w:rsidRPr="00084F2E">
        <w:rPr>
          <w:iCs/>
          <w:noProof/>
          <w:lang w:val="en-US"/>
        </w:rPr>
        <mc:AlternateContent>
          <mc:Choice Requires="wps">
            <w:drawing>
              <wp:anchor distT="0" distB="0" distL="114300" distR="114300" simplePos="0" relativeHeight="251674624" behindDoc="0" locked="0" layoutInCell="1" allowOverlap="1" wp14:anchorId="0995C559" wp14:editId="6446A7E6">
                <wp:simplePos x="0" y="0"/>
                <wp:positionH relativeFrom="column">
                  <wp:posOffset>2125980</wp:posOffset>
                </wp:positionH>
                <wp:positionV relativeFrom="paragraph">
                  <wp:posOffset>1289050</wp:posOffset>
                </wp:positionV>
                <wp:extent cx="1337310" cy="20955"/>
                <wp:effectExtent l="0" t="57150" r="0" b="9334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7310" cy="2095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0327C63" id="Straight Arrow Connector 22" o:spid="_x0000_s1026" type="#_x0000_t32" style="position:absolute;margin-left:167.4pt;margin-top:101.5pt;width:105.3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" strokecolor="#4a7ebb">
                <v:stroke endarrow="open"/>
                <o:lock v:ext="edit" shapetype="f"/>
              </v:shape>
            </w:pict>
          </mc:Fallback>
        </mc:AlternateContent>
      </w:r>
      <w:r w:rsidRPr="00084F2E">
        <w:rPr>
          <w:iCs/>
          <w:noProof/>
          <w:lang w:val="en-US"/>
        </w:rPr>
        <mc:AlternateContent>
          <mc:Choice Requires="wps">
            <w:drawing>
              <wp:anchor distT="0" distB="0" distL="114300" distR="114300" simplePos="0" relativeHeight="251673600" behindDoc="0" locked="0" layoutInCell="1" allowOverlap="1" wp14:anchorId="51C0A153" wp14:editId="2A05A3F2">
                <wp:simplePos x="0" y="0"/>
                <wp:positionH relativeFrom="column">
                  <wp:posOffset>2167890</wp:posOffset>
                </wp:positionH>
                <wp:positionV relativeFrom="paragraph">
                  <wp:posOffset>720725</wp:posOffset>
                </wp:positionV>
                <wp:extent cx="1295400" cy="290830"/>
                <wp:effectExtent l="0" t="0" r="57150" b="7112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95400" cy="29083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396991D" id="Straight Arrow Connector 21" o:spid="_x0000_s1026" type="#_x0000_t32" style="position:absolute;margin-left:170.7pt;margin-top:56.75pt;width:102pt;height:22.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" strokecolor="#4a7ebb">
                <v:stroke endarrow="open"/>
                <o:lock v:ext="edit" shapetype="f"/>
              </v:shape>
            </w:pict>
          </mc:Fallback>
        </mc:AlternateContent>
      </w:r>
      <w:r w:rsidRPr="00084F2E">
        <w:rPr>
          <w:iCs/>
          <w:noProof/>
          <w:lang w:val="en-US"/>
        </w:rPr>
        <mc:AlternateContent>
          <mc:Choice Requires="wps">
            <w:drawing>
              <wp:anchor distT="0" distB="0" distL="114300" distR="114300" simplePos="0" relativeHeight="251669504" behindDoc="0" locked="0" layoutInCell="1" allowOverlap="1" wp14:anchorId="65F9DD9E" wp14:editId="5AEFC7CB">
                <wp:simplePos x="0" y="0"/>
                <wp:positionH relativeFrom="column">
                  <wp:posOffset>5715</wp:posOffset>
                </wp:positionH>
                <wp:positionV relativeFrom="paragraph">
                  <wp:posOffset>3484245</wp:posOffset>
                </wp:positionV>
                <wp:extent cx="2160905" cy="32512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0905" cy="325120"/>
                        </a:xfrm>
                        <a:prstGeom prst="rect">
                          <a:avLst/>
                        </a:prstGeom>
                        <a:solidFill>
                          <a:sysClr val="window" lastClr="FFFFFF"/>
                        </a:solidFill>
                        <a:ln w="25400" cap="flat" cmpd="sng" algn="ctr">
                          <a:solidFill>
                            <a:srgbClr val="8064A2"/>
                          </a:solidFill>
                          <a:prstDash val="solid"/>
                        </a:ln>
                        <a:effectLst/>
                      </wps:spPr>
                      <wps:txbx>
                        <w:txbxContent>
                          <w:p w14:paraId="340A478A" w14:textId="77777777" w:rsidR="00677688" w:rsidRDefault="00677688">
                            <w:r>
                              <w:t xml:space="preserve">Exchange Rate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5F9DD9E" id="Rectangle 11" o:spid="_x0000_s1026" style="position:absolute;left:0;text-align:left;margin-left:.45pt;margin-top:274.35pt;width:170.15pt;height:2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" fillcolor="window" strokecolor="#8064a2" strokeweight="2pt">
                <v:path arrowok="t"/>
                <v:textbox>
                  <w:txbxContent>
                    <w:p w14:paraId="340A478A" w14:textId="77777777" w:rsidR="00677688" w:rsidRDefault="00677688">
                      <w:r>
                        <w:t xml:space="preserve">Exchange Rate  </w:t>
                      </w:r>
                    </w:p>
                  </w:txbxContent>
                </v:textbox>
              </v:rect>
            </w:pict>
          </mc:Fallback>
        </mc:AlternateContent>
      </w:r>
      <w:r w:rsidRPr="00084F2E">
        <w:rPr>
          <w:iCs/>
          <w:noProof/>
          <w:lang w:val="en-US"/>
        </w:rPr>
        <mc:AlternateContent>
          <mc:Choice Requires="wps">
            <w:drawing>
              <wp:anchor distT="0" distB="0" distL="114300" distR="114300" simplePos="0" relativeHeight="251668480" behindDoc="0" locked="0" layoutInCell="1" allowOverlap="1" wp14:anchorId="3DB7E8E4" wp14:editId="004C53E7">
                <wp:simplePos x="0" y="0"/>
                <wp:positionH relativeFrom="column">
                  <wp:posOffset>6350</wp:posOffset>
                </wp:positionH>
                <wp:positionV relativeFrom="paragraph">
                  <wp:posOffset>3033395</wp:posOffset>
                </wp:positionV>
                <wp:extent cx="2160905" cy="32512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0905" cy="325120"/>
                        </a:xfrm>
                        <a:prstGeom prst="rect">
                          <a:avLst/>
                        </a:prstGeom>
                        <a:solidFill>
                          <a:sysClr val="window" lastClr="FFFFFF"/>
                        </a:solidFill>
                        <a:ln w="25400" cap="flat" cmpd="sng" algn="ctr">
                          <a:solidFill>
                            <a:srgbClr val="8064A2"/>
                          </a:solidFill>
                          <a:prstDash val="solid"/>
                        </a:ln>
                        <a:effectLst/>
                      </wps:spPr>
                      <wps:txbx>
                        <w:txbxContent>
                          <w:p w14:paraId="59A53D20" w14:textId="77777777" w:rsidR="00677688" w:rsidRDefault="00677688">
                            <w:r>
                              <w:t xml:space="preserve">Foreign direct investment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DB7E8E4" id="Rectangle 12" o:spid="_x0000_s1027" style="position:absolute;left:0;text-align:left;margin-left:.5pt;margin-top:238.85pt;width:170.15pt;height:2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" fillcolor="window" strokecolor="#8064a2" strokeweight="2pt">
                <v:path arrowok="t"/>
                <v:textbox>
                  <w:txbxContent>
                    <w:p w14:paraId="59A53D20" w14:textId="77777777" w:rsidR="00677688" w:rsidRDefault="00677688">
                      <w:r>
                        <w:t xml:space="preserve">Foreign direct investment </w:t>
                      </w:r>
                    </w:p>
                  </w:txbxContent>
                </v:textbox>
              </v:rect>
            </w:pict>
          </mc:Fallback>
        </mc:AlternateContent>
      </w:r>
      <w:r w:rsidRPr="00084F2E">
        <w:rPr>
          <w:iCs/>
          <w:noProof/>
          <w:lang w:val="en-US"/>
        </w:rPr>
        <mc:AlternateContent>
          <mc:Choice Requires="wps">
            <w:drawing>
              <wp:anchor distT="0" distB="0" distL="114300" distR="114300" simplePos="0" relativeHeight="251665408" behindDoc="0" locked="0" layoutInCell="1" allowOverlap="1" wp14:anchorId="536E3B48" wp14:editId="4FDA83A5">
                <wp:simplePos x="0" y="0"/>
                <wp:positionH relativeFrom="column">
                  <wp:posOffset>-34925</wp:posOffset>
                </wp:positionH>
                <wp:positionV relativeFrom="paragraph">
                  <wp:posOffset>1095375</wp:posOffset>
                </wp:positionV>
                <wp:extent cx="2160905" cy="325120"/>
                <wp:effectExtent l="0" t="0" r="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0905" cy="325120"/>
                        </a:xfrm>
                        <a:prstGeom prst="rect">
                          <a:avLst/>
                        </a:prstGeom>
                        <a:solidFill>
                          <a:sysClr val="window" lastClr="FFFFFF"/>
                        </a:solidFill>
                        <a:ln w="25400" cap="flat" cmpd="sng" algn="ctr">
                          <a:solidFill>
                            <a:srgbClr val="8064A2"/>
                          </a:solidFill>
                          <a:prstDash val="solid"/>
                        </a:ln>
                        <a:effectLst/>
                      </wps:spPr>
                      <wps:txbx>
                        <w:txbxContent>
                          <w:p w14:paraId="74C56623" w14:textId="77777777" w:rsidR="00677688" w:rsidRDefault="00677688">
                            <w:r>
                              <w:t xml:space="preserve">    Indirect tax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36E3B48" id="Rectangle 17" o:spid="_x0000_s1028" style="position:absolute;left:0;text-align:left;margin-left:-2.75pt;margin-top:86.25pt;width:170.15pt;height:2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" fillcolor="window" strokecolor="#8064a2" strokeweight="2pt">
                <v:path arrowok="t"/>
                <v:textbox>
                  <w:txbxContent>
                    <w:p w14:paraId="74C56623" w14:textId="77777777" w:rsidR="00677688" w:rsidRDefault="00677688">
                      <w:r>
                        <w:t xml:space="preserve">    Indirect tax  </w:t>
                      </w:r>
                    </w:p>
                  </w:txbxContent>
                </v:textbox>
              </v:rect>
            </w:pict>
          </mc:Fallback>
        </mc:AlternateContent>
      </w:r>
      <w:r w:rsidRPr="00084F2E">
        <w:rPr>
          <w:iCs/>
          <w:noProof/>
          <w:lang w:val="en-US"/>
        </w:rPr>
        <mc:AlternateContent>
          <mc:Choice Requires="wps">
            <w:drawing>
              <wp:anchor distT="0" distB="0" distL="114300" distR="114300" simplePos="0" relativeHeight="251664384" behindDoc="0" locked="0" layoutInCell="1" allowOverlap="1" wp14:anchorId="46E52BCC" wp14:editId="7411D2E2">
                <wp:simplePos x="0" y="0"/>
                <wp:positionH relativeFrom="column">
                  <wp:posOffset>6350</wp:posOffset>
                </wp:positionH>
                <wp:positionV relativeFrom="paragraph">
                  <wp:posOffset>575310</wp:posOffset>
                </wp:positionV>
                <wp:extent cx="2160905" cy="325120"/>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0905" cy="325120"/>
                        </a:xfrm>
                        <a:prstGeom prst="rect">
                          <a:avLst/>
                        </a:prstGeom>
                        <a:solidFill>
                          <a:sysClr val="window" lastClr="FFFFFF"/>
                        </a:solidFill>
                        <a:ln w="25400" cap="flat" cmpd="sng" algn="ctr">
                          <a:solidFill>
                            <a:srgbClr val="8064A2"/>
                          </a:solidFill>
                          <a:prstDash val="solid"/>
                        </a:ln>
                        <a:effectLst/>
                      </wps:spPr>
                      <wps:txbx>
                        <w:txbxContent>
                          <w:p w14:paraId="2BC85FB0" w14:textId="77777777" w:rsidR="00677688" w:rsidRDefault="00677688">
                            <w:r>
                              <w:t xml:space="preserve">Consumer Price Index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6E52BCC" id="Rectangle 18" o:spid="_x0000_s1029" style="position:absolute;left:0;text-align:left;margin-left:.5pt;margin-top:45.3pt;width:170.15pt;height:2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" fillcolor="window" strokecolor="#8064a2" strokeweight="2pt">
                <v:path arrowok="t"/>
                <v:textbox>
                  <w:txbxContent>
                    <w:p w14:paraId="2BC85FB0" w14:textId="77777777" w:rsidR="00677688" w:rsidRDefault="00677688">
                      <w:r>
                        <w:t xml:space="preserve">Consumer Price Index </w:t>
                      </w:r>
                    </w:p>
                  </w:txbxContent>
                </v:textbox>
              </v:rect>
            </w:pict>
          </mc:Fallback>
        </mc:AlternateContent>
      </w:r>
      <w:r w:rsidRPr="00084F2E">
        <w:rPr>
          <w:iCs/>
          <w:noProof/>
          <w:lang w:val="en-US"/>
        </w:rPr>
        <mc:AlternateContent>
          <mc:Choice Requires="wps">
            <w:drawing>
              <wp:anchor distT="0" distB="0" distL="114300" distR="114300" simplePos="0" relativeHeight="251663360" behindDoc="0" locked="0" layoutInCell="1" allowOverlap="1" wp14:anchorId="60CE0780" wp14:editId="6D07C2AE">
                <wp:simplePos x="0" y="0"/>
                <wp:positionH relativeFrom="column">
                  <wp:posOffset>-34925</wp:posOffset>
                </wp:positionH>
                <wp:positionV relativeFrom="paragraph">
                  <wp:posOffset>97155</wp:posOffset>
                </wp:positionV>
                <wp:extent cx="2160905" cy="290830"/>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0905" cy="290830"/>
                        </a:xfrm>
                        <a:prstGeom prst="rect">
                          <a:avLst/>
                        </a:prstGeom>
                        <a:solidFill>
                          <a:sysClr val="window" lastClr="FFFFFF"/>
                        </a:solidFill>
                        <a:ln w="25400" cap="flat" cmpd="sng" algn="ctr">
                          <a:solidFill>
                            <a:srgbClr val="8064A2"/>
                          </a:solidFill>
                          <a:prstDash val="solid"/>
                        </a:ln>
                        <a:effectLst/>
                      </wps:spPr>
                      <wps:txbx>
                        <w:txbxContent>
                          <w:p w14:paraId="785EE698" w14:textId="77777777" w:rsidR="00677688" w:rsidRDefault="00677688">
                            <w:r>
                              <w:t xml:space="preserve">      GDP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0CE0780" id="Rectangle 19" o:spid="_x0000_s1030" style="position:absolute;left:0;text-align:left;margin-left:-2.75pt;margin-top:7.65pt;width:170.15pt;height:22.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" fillcolor="window" strokecolor="#8064a2" strokeweight="2pt">
                <v:path arrowok="t"/>
                <v:textbox>
                  <w:txbxContent>
                    <w:p w14:paraId="785EE698" w14:textId="77777777" w:rsidR="00677688" w:rsidRDefault="00677688">
                      <w:r>
                        <w:t xml:space="preserve">      GDP</w:t>
                      </w:r>
                    </w:p>
                  </w:txbxContent>
                </v:textbox>
              </v:rect>
            </w:pict>
          </mc:Fallback>
        </mc:AlternateContent>
      </w:r>
    </w:p>
    <w:p w14:paraId="5BB224CA" w14:textId="49DB77D1" w:rsidR="0072282A" w:rsidRPr="00084F2E" w:rsidRDefault="00AE77B4">
      <w:pPr>
        <w:rPr>
          <w:lang w:val="en-US"/>
        </w:rPr>
      </w:pPr>
      <w:r w:rsidRPr="00084F2E">
        <w:rPr>
          <w:iCs/>
          <w:noProof/>
          <w:lang w:val="en-US"/>
        </w:rPr>
        <mc:AlternateContent>
          <mc:Choice Requires="wps">
            <w:drawing>
              <wp:anchor distT="0" distB="0" distL="114300" distR="114300" simplePos="0" relativeHeight="251672576" behindDoc="0" locked="0" layoutInCell="1" allowOverlap="1" wp14:anchorId="5B02A3E6" wp14:editId="4204B689">
                <wp:simplePos x="0" y="0"/>
                <wp:positionH relativeFrom="column">
                  <wp:posOffset>2125980</wp:posOffset>
                </wp:positionH>
                <wp:positionV relativeFrom="paragraph">
                  <wp:posOffset>-2540</wp:posOffset>
                </wp:positionV>
                <wp:extent cx="1301115" cy="428625"/>
                <wp:effectExtent l="0" t="0" r="32385" b="6667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1115" cy="42862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05225C81" id="Straight Arrow Connector 20" o:spid="_x0000_s1026" type="#_x0000_t32" style="position:absolute;margin-left:167.4pt;margin-top:-.2pt;width:102.45pt;height:3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" strokecolor="#4a7ebb">
                <v:stroke endarrow="open"/>
                <o:lock v:ext="edit" shapetype="f"/>
              </v:shape>
            </w:pict>
          </mc:Fallback>
        </mc:AlternateContent>
      </w:r>
      <w:r w:rsidRPr="00084F2E">
        <w:rPr>
          <w:iCs/>
          <w:noProof/>
          <w:lang w:val="en-US"/>
        </w:rPr>
        <mc:AlternateContent>
          <mc:Choice Requires="wps">
            <w:drawing>
              <wp:anchor distT="0" distB="0" distL="114300" distR="114300" simplePos="0" relativeHeight="251671552" behindDoc="0" locked="0" layoutInCell="1" allowOverlap="1" wp14:anchorId="0F5685B3" wp14:editId="756D52CB">
                <wp:simplePos x="0" y="0"/>
                <wp:positionH relativeFrom="column">
                  <wp:posOffset>3422015</wp:posOffset>
                </wp:positionH>
                <wp:positionV relativeFrom="paragraph">
                  <wp:posOffset>125095</wp:posOffset>
                </wp:positionV>
                <wp:extent cx="2472690" cy="4350385"/>
                <wp:effectExtent l="0" t="0" r="3810" b="0"/>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2690" cy="4350385"/>
                        </a:xfrm>
                        <a:prstGeom prst="roundRect">
                          <a:avLst/>
                        </a:prstGeom>
                        <a:solidFill>
                          <a:sysClr val="window" lastClr="FFFFFF"/>
                        </a:solidFill>
                        <a:ln w="25400" cap="flat" cmpd="sng" algn="ctr">
                          <a:solidFill>
                            <a:srgbClr val="8064A2"/>
                          </a:solidFill>
                          <a:prstDash val="solid"/>
                        </a:ln>
                        <a:effectLst/>
                      </wps:spPr>
                      <wps:txbx>
                        <w:txbxContent>
                          <w:p w14:paraId="71BD9026" w14:textId="77777777" w:rsidR="00677688" w:rsidRDefault="00677688">
                            <w:pPr>
                              <w:jc w:val="center"/>
                            </w:pPr>
                            <w:r>
                              <w:t xml:space="preserve">Value of agricultural export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w14:anchorId="0F5685B3" id="Rounded Rectangle 23" o:spid="_x0000_s1031" style="position:absolute;margin-left:269.45pt;margin-top:9.85pt;width:194.7pt;height:34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" fillcolor="window" strokecolor="#8064a2" strokeweight="2pt">
                <v:path arrowok="t"/>
                <v:textbox>
                  <w:txbxContent>
                    <w:p w14:paraId="71BD9026" w14:textId="77777777" w:rsidR="00677688" w:rsidRDefault="00677688">
                      <w:pPr>
                        <w:jc w:val="center"/>
                      </w:pPr>
                      <w:r>
                        <w:t xml:space="preserve">Value of agricultural export </w:t>
                      </w:r>
                    </w:p>
                  </w:txbxContent>
                </v:textbox>
              </v:roundrect>
            </w:pict>
          </mc:Fallback>
        </mc:AlternateContent>
      </w:r>
    </w:p>
    <w:p w14:paraId="5C3A2E20" w14:textId="77777777" w:rsidR="0072282A" w:rsidRPr="00084F2E" w:rsidRDefault="0072282A">
      <w:pPr>
        <w:rPr>
          <w:lang w:val="en-US"/>
        </w:rPr>
      </w:pPr>
    </w:p>
    <w:p w14:paraId="3F086C2C" w14:textId="77777777" w:rsidR="0072282A" w:rsidRPr="00084F2E" w:rsidRDefault="0072282A">
      <w:pPr>
        <w:rPr>
          <w:lang w:val="en-US"/>
        </w:rPr>
      </w:pPr>
    </w:p>
    <w:p w14:paraId="412AB910" w14:textId="77777777" w:rsidR="0072282A" w:rsidRPr="00084F2E" w:rsidRDefault="0072282A">
      <w:pPr>
        <w:rPr>
          <w:lang w:val="en-US"/>
        </w:rPr>
      </w:pPr>
    </w:p>
    <w:p w14:paraId="1F0A75ED" w14:textId="77777777" w:rsidR="0072282A" w:rsidRPr="00084F2E" w:rsidRDefault="0072282A">
      <w:pPr>
        <w:rPr>
          <w:lang w:val="en-US"/>
        </w:rPr>
      </w:pPr>
    </w:p>
    <w:p w14:paraId="6F5ADA24" w14:textId="77777777" w:rsidR="0072282A" w:rsidRPr="00084F2E" w:rsidRDefault="0072282A">
      <w:pPr>
        <w:rPr>
          <w:lang w:val="en-US"/>
        </w:rPr>
      </w:pPr>
    </w:p>
    <w:p w14:paraId="0B6F7724" w14:textId="77777777" w:rsidR="0072282A" w:rsidRPr="00084F2E" w:rsidRDefault="0072282A">
      <w:pPr>
        <w:rPr>
          <w:lang w:val="en-US"/>
        </w:rPr>
      </w:pPr>
    </w:p>
    <w:p w14:paraId="4E3A4E75" w14:textId="77777777" w:rsidR="0072282A" w:rsidRPr="00084F2E" w:rsidRDefault="0072282A">
      <w:pPr>
        <w:rPr>
          <w:lang w:val="en-US"/>
        </w:rPr>
      </w:pPr>
    </w:p>
    <w:p w14:paraId="2DE0C90E" w14:textId="3FF846C4" w:rsidR="0072282A" w:rsidRPr="00084F2E" w:rsidRDefault="00AE77B4">
      <w:pPr>
        <w:rPr>
          <w:lang w:val="en-US"/>
        </w:rPr>
      </w:pPr>
      <w:r w:rsidRPr="00084F2E">
        <w:rPr>
          <w:iCs/>
          <w:noProof/>
          <w:lang w:val="en-US"/>
        </w:rPr>
        <mc:AlternateContent>
          <mc:Choice Requires="wps">
            <w:drawing>
              <wp:anchor distT="0" distB="0" distL="114300" distR="114300" simplePos="0" relativeHeight="251666432" behindDoc="0" locked="0" layoutInCell="1" allowOverlap="1" wp14:anchorId="0553E106" wp14:editId="2B56E768">
                <wp:simplePos x="0" y="0"/>
                <wp:positionH relativeFrom="column">
                  <wp:posOffset>10160</wp:posOffset>
                </wp:positionH>
                <wp:positionV relativeFrom="paragraph">
                  <wp:posOffset>88265</wp:posOffset>
                </wp:positionV>
                <wp:extent cx="2160905" cy="325120"/>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0905" cy="325120"/>
                        </a:xfrm>
                        <a:prstGeom prst="rect">
                          <a:avLst/>
                        </a:prstGeom>
                        <a:solidFill>
                          <a:sysClr val="window" lastClr="FFFFFF"/>
                        </a:solidFill>
                        <a:ln w="25400" cap="flat" cmpd="sng" algn="ctr">
                          <a:solidFill>
                            <a:srgbClr val="8064A2"/>
                          </a:solidFill>
                          <a:prstDash val="solid"/>
                        </a:ln>
                        <a:effectLst/>
                      </wps:spPr>
                      <wps:txbx>
                        <w:txbxContent>
                          <w:p w14:paraId="68C5D455" w14:textId="77777777" w:rsidR="00677688" w:rsidRDefault="00677688">
                            <w:r>
                              <w:t xml:space="preserve">Corruption index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553E106" id="Rectangle 24" o:spid="_x0000_s1032" style="position:absolute;margin-left:.8pt;margin-top:6.95pt;width:170.15pt;height:2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" fillcolor="window" strokecolor="#8064a2" strokeweight="2pt">
                <v:path arrowok="t"/>
                <v:textbox>
                  <w:txbxContent>
                    <w:p w14:paraId="68C5D455" w14:textId="77777777" w:rsidR="00677688" w:rsidRDefault="00677688">
                      <w:r>
                        <w:t xml:space="preserve">Corruption index </w:t>
                      </w:r>
                    </w:p>
                  </w:txbxContent>
                </v:textbox>
              </v:rect>
            </w:pict>
          </mc:Fallback>
        </mc:AlternateContent>
      </w:r>
    </w:p>
    <w:p w14:paraId="238DDCCE" w14:textId="22EF3CEF" w:rsidR="0072282A" w:rsidRPr="00084F2E" w:rsidRDefault="00AE77B4">
      <w:pPr>
        <w:rPr>
          <w:lang w:val="en-US"/>
        </w:rPr>
      </w:pPr>
      <w:r w:rsidRPr="00084F2E">
        <w:rPr>
          <w:iCs/>
          <w:noProof/>
          <w:lang w:val="en-US"/>
        </w:rPr>
        <mc:AlternateContent>
          <mc:Choice Requires="wps">
            <w:drawing>
              <wp:anchor distT="4294967295" distB="4294967295" distL="114300" distR="114300" simplePos="0" relativeHeight="251678720" behindDoc="0" locked="0" layoutInCell="1" allowOverlap="1" wp14:anchorId="7DEC511B" wp14:editId="0143D92D">
                <wp:simplePos x="0" y="0"/>
                <wp:positionH relativeFrom="column">
                  <wp:posOffset>2168525</wp:posOffset>
                </wp:positionH>
                <wp:positionV relativeFrom="paragraph">
                  <wp:posOffset>35559</wp:posOffset>
                </wp:positionV>
                <wp:extent cx="1294130" cy="0"/>
                <wp:effectExtent l="0" t="76200" r="1270" b="9525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9413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D177ED8" id="Straight Arrow Connector 26" o:spid="_x0000_s1026" type="#_x0000_t32" style="position:absolute;margin-left:170.75pt;margin-top:2.8pt;width:101.9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" strokecolor="#4a7ebb">
                <v:stroke endarrow="open"/>
                <o:lock v:ext="edit" shapetype="f"/>
              </v:shape>
            </w:pict>
          </mc:Fallback>
        </mc:AlternateContent>
      </w:r>
    </w:p>
    <w:p w14:paraId="145C7F97" w14:textId="77777777" w:rsidR="0072282A" w:rsidRPr="00084F2E" w:rsidRDefault="0072282A">
      <w:pPr>
        <w:rPr>
          <w:lang w:val="en-US"/>
        </w:rPr>
      </w:pPr>
    </w:p>
    <w:p w14:paraId="3B977289" w14:textId="77777777" w:rsidR="0072282A" w:rsidRPr="00084F2E" w:rsidRDefault="0072282A">
      <w:pPr>
        <w:rPr>
          <w:lang w:val="en-US"/>
        </w:rPr>
      </w:pPr>
    </w:p>
    <w:p w14:paraId="3C11D1D4" w14:textId="67AFA210" w:rsidR="0072282A" w:rsidRPr="00084F2E" w:rsidRDefault="00AE77B4">
      <w:pPr>
        <w:rPr>
          <w:lang w:val="en-US"/>
        </w:rPr>
      </w:pPr>
      <w:r w:rsidRPr="00084F2E">
        <w:rPr>
          <w:iCs/>
          <w:noProof/>
          <w:lang w:val="en-US"/>
        </w:rPr>
        <mc:AlternateContent>
          <mc:Choice Requires="wps">
            <w:drawing>
              <wp:anchor distT="0" distB="0" distL="114300" distR="114300" simplePos="0" relativeHeight="251667456" behindDoc="0" locked="0" layoutInCell="1" allowOverlap="1" wp14:anchorId="6DF08645" wp14:editId="6F92A422">
                <wp:simplePos x="0" y="0"/>
                <wp:positionH relativeFrom="column">
                  <wp:posOffset>1905</wp:posOffset>
                </wp:positionH>
                <wp:positionV relativeFrom="paragraph">
                  <wp:posOffset>47625</wp:posOffset>
                </wp:positionV>
                <wp:extent cx="2160905" cy="325120"/>
                <wp:effectExtent l="0" t="0" r="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0905" cy="325120"/>
                        </a:xfrm>
                        <a:prstGeom prst="rect">
                          <a:avLst/>
                        </a:prstGeom>
                        <a:solidFill>
                          <a:sysClr val="window" lastClr="FFFFFF"/>
                        </a:solidFill>
                        <a:ln w="25400" cap="flat" cmpd="sng" algn="ctr">
                          <a:solidFill>
                            <a:srgbClr val="8064A2"/>
                          </a:solidFill>
                          <a:prstDash val="solid"/>
                        </a:ln>
                        <a:effectLst/>
                      </wps:spPr>
                      <wps:txbx>
                        <w:txbxContent>
                          <w:p w14:paraId="40C54605" w14:textId="77777777" w:rsidR="00677688" w:rsidRDefault="00677688">
                            <w:r>
                              <w:t xml:space="preserve">Agri_employment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DF08645" id="Rectangle 25" o:spid="_x0000_s1033" style="position:absolute;margin-left:.15pt;margin-top:3.75pt;width:170.15pt;height:25.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" fillcolor="window" strokecolor="#8064a2" strokeweight="2pt">
                <v:path arrowok="t"/>
                <v:textbox>
                  <w:txbxContent>
                    <w:p w14:paraId="40C54605" w14:textId="77777777" w:rsidR="00677688" w:rsidRDefault="00677688">
                      <w:r>
                        <w:t xml:space="preserve">Agri_employment  </w:t>
                      </w:r>
                    </w:p>
                  </w:txbxContent>
                </v:textbox>
              </v:rect>
            </w:pict>
          </mc:Fallback>
        </mc:AlternateContent>
      </w:r>
    </w:p>
    <w:p w14:paraId="12AB869D" w14:textId="66DD9512" w:rsidR="0072282A" w:rsidRPr="00084F2E" w:rsidRDefault="00AE77B4">
      <w:pPr>
        <w:rPr>
          <w:lang w:val="en-US"/>
        </w:rPr>
      </w:pPr>
      <w:r w:rsidRPr="00084F2E">
        <w:rPr>
          <w:iCs/>
          <w:noProof/>
          <w:lang w:val="en-US"/>
        </w:rPr>
        <mc:AlternateContent>
          <mc:Choice Requires="wps">
            <w:drawing>
              <wp:anchor distT="4294967295" distB="4294967295" distL="114300" distR="114300" simplePos="0" relativeHeight="251677696" behindDoc="0" locked="0" layoutInCell="1" allowOverlap="1" wp14:anchorId="3F5C02DF" wp14:editId="2AE9D002">
                <wp:simplePos x="0" y="0"/>
                <wp:positionH relativeFrom="column">
                  <wp:posOffset>2171700</wp:posOffset>
                </wp:positionH>
                <wp:positionV relativeFrom="paragraph">
                  <wp:posOffset>66674</wp:posOffset>
                </wp:positionV>
                <wp:extent cx="1287780" cy="0"/>
                <wp:effectExtent l="0" t="76200" r="7620" b="9525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8778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8798881" id="Straight Arrow Connector 27" o:spid="_x0000_s1026" type="#_x0000_t32" style="position:absolute;margin-left:171pt;margin-top:5.25pt;width:101.4pt;height:0;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" strokecolor="#4a7ebb">
                <v:stroke endarrow="open"/>
                <o:lock v:ext="edit" shapetype="f"/>
              </v:shape>
            </w:pict>
          </mc:Fallback>
        </mc:AlternateContent>
      </w:r>
    </w:p>
    <w:p w14:paraId="5957EB48" w14:textId="77777777" w:rsidR="0072282A" w:rsidRPr="00084F2E" w:rsidRDefault="0072282A">
      <w:pPr>
        <w:rPr>
          <w:lang w:val="en-US"/>
        </w:rPr>
      </w:pPr>
    </w:p>
    <w:p w14:paraId="1CEA167B" w14:textId="77777777" w:rsidR="0072282A" w:rsidRPr="00084F2E" w:rsidRDefault="0072282A">
      <w:pPr>
        <w:rPr>
          <w:lang w:val="en-US"/>
        </w:rPr>
      </w:pPr>
    </w:p>
    <w:p w14:paraId="5B6D20AF" w14:textId="78C61BA3" w:rsidR="0072282A" w:rsidRPr="00084F2E" w:rsidRDefault="00AE77B4">
      <w:pPr>
        <w:rPr>
          <w:lang w:val="en-US"/>
        </w:rPr>
      </w:pPr>
      <w:r w:rsidRPr="00084F2E">
        <w:rPr>
          <w:iCs/>
          <w:noProof/>
          <w:lang w:val="en-US"/>
        </w:rPr>
        <mc:AlternateContent>
          <mc:Choice Requires="wps">
            <w:drawing>
              <wp:anchor distT="0" distB="0" distL="114300" distR="114300" simplePos="0" relativeHeight="251676672" behindDoc="0" locked="0" layoutInCell="1" allowOverlap="1" wp14:anchorId="47E6FDF4" wp14:editId="7086A71E">
                <wp:simplePos x="0" y="0"/>
                <wp:positionH relativeFrom="column">
                  <wp:posOffset>2164080</wp:posOffset>
                </wp:positionH>
                <wp:positionV relativeFrom="paragraph">
                  <wp:posOffset>127635</wp:posOffset>
                </wp:positionV>
                <wp:extent cx="1257300" cy="38100"/>
                <wp:effectExtent l="0" t="76200" r="0" b="5715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57300" cy="381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4F33BCC" id="Straight Arrow Connector 29" o:spid="_x0000_s1026" type="#_x0000_t32" style="position:absolute;margin-left:170.4pt;margin-top:10.05pt;width:99pt;height:3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" strokecolor="#4a7ebb">
                <v:stroke endarrow="open"/>
                <o:lock v:ext="edit" shapetype="f"/>
              </v:shape>
            </w:pict>
          </mc:Fallback>
        </mc:AlternateContent>
      </w:r>
    </w:p>
    <w:p w14:paraId="048BB5AA" w14:textId="77777777" w:rsidR="0072282A" w:rsidRPr="00084F2E" w:rsidRDefault="0072282A">
      <w:pPr>
        <w:rPr>
          <w:lang w:val="en-US"/>
        </w:rPr>
      </w:pPr>
    </w:p>
    <w:p w14:paraId="7EC4F74C" w14:textId="77777777" w:rsidR="0072282A" w:rsidRPr="00084F2E" w:rsidRDefault="0072282A">
      <w:pPr>
        <w:rPr>
          <w:lang w:val="en-US"/>
        </w:rPr>
      </w:pPr>
    </w:p>
    <w:p w14:paraId="655015D1" w14:textId="77777777" w:rsidR="0072282A" w:rsidRPr="00084F2E" w:rsidRDefault="0072282A">
      <w:pPr>
        <w:rPr>
          <w:lang w:val="en-US"/>
        </w:rPr>
      </w:pPr>
    </w:p>
    <w:p w14:paraId="4C61F2D4" w14:textId="77777777" w:rsidR="0072282A" w:rsidRPr="00084F2E" w:rsidRDefault="0072282A">
      <w:pPr>
        <w:rPr>
          <w:lang w:val="en-US"/>
        </w:rPr>
      </w:pPr>
    </w:p>
    <w:p w14:paraId="64AD8B2D" w14:textId="58DD0B67" w:rsidR="0072282A" w:rsidRPr="00084F2E" w:rsidRDefault="00AE77B4">
      <w:pPr>
        <w:rPr>
          <w:lang w:val="en-US"/>
        </w:rPr>
      </w:pPr>
      <w:r w:rsidRPr="00084F2E">
        <w:rPr>
          <w:iCs/>
          <w:noProof/>
          <w:lang w:val="en-US"/>
        </w:rPr>
        <mc:AlternateContent>
          <mc:Choice Requires="wps">
            <w:drawing>
              <wp:anchor distT="0" distB="0" distL="114300" distR="114300" simplePos="0" relativeHeight="251675648" behindDoc="0" locked="0" layoutInCell="1" allowOverlap="1" wp14:anchorId="03A9446C" wp14:editId="1E41AED6">
                <wp:simplePos x="0" y="0"/>
                <wp:positionH relativeFrom="column">
                  <wp:posOffset>2171700</wp:posOffset>
                </wp:positionH>
                <wp:positionV relativeFrom="paragraph">
                  <wp:posOffset>13335</wp:posOffset>
                </wp:positionV>
                <wp:extent cx="1263015" cy="334645"/>
                <wp:effectExtent l="0" t="57150" r="0" b="825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63015" cy="33464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1BAEC792" id="Straight Arrow Connector 30" o:spid="_x0000_s1026" type="#_x0000_t32" style="position:absolute;margin-left:171pt;margin-top:1.05pt;width:99.45pt;height:26.3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" strokecolor="#4a7ebb">
                <v:stroke endarrow="open"/>
                <o:lock v:ext="edit" shapetype="f"/>
              </v:shape>
            </w:pict>
          </mc:Fallback>
        </mc:AlternateContent>
      </w:r>
      <w:r w:rsidRPr="00084F2E">
        <w:rPr>
          <w:iCs/>
          <w:noProof/>
          <w:lang w:val="en-US"/>
        </w:rPr>
        <mc:AlternateContent>
          <mc:Choice Requires="wps">
            <w:drawing>
              <wp:anchor distT="0" distB="0" distL="114300" distR="114300" simplePos="0" relativeHeight="251670528" behindDoc="0" locked="0" layoutInCell="1" allowOverlap="1" wp14:anchorId="0FB2A15A" wp14:editId="59816C61">
                <wp:simplePos x="0" y="0"/>
                <wp:positionH relativeFrom="column">
                  <wp:posOffset>3175</wp:posOffset>
                </wp:positionH>
                <wp:positionV relativeFrom="paragraph">
                  <wp:posOffset>141605</wp:posOffset>
                </wp:positionV>
                <wp:extent cx="2160905" cy="325120"/>
                <wp:effectExtent l="0" t="0" r="0" b="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0905" cy="325120"/>
                        </a:xfrm>
                        <a:prstGeom prst="rect">
                          <a:avLst/>
                        </a:prstGeom>
                        <a:solidFill>
                          <a:sysClr val="window" lastClr="FFFFFF"/>
                        </a:solidFill>
                        <a:ln w="25400" cap="flat" cmpd="sng" algn="ctr">
                          <a:solidFill>
                            <a:srgbClr val="8064A2"/>
                          </a:solidFill>
                          <a:prstDash val="solid"/>
                        </a:ln>
                        <a:effectLst/>
                      </wps:spPr>
                      <wps:txbx>
                        <w:txbxContent>
                          <w:p w14:paraId="2BAC7D3C" w14:textId="77777777" w:rsidR="00677688" w:rsidRDefault="00677688">
                            <w:r>
                              <w:t xml:space="preserve">Government debt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FB2A15A" id="Rectangle 31" o:spid="_x0000_s1034" style="position:absolute;margin-left:.25pt;margin-top:11.15pt;width:170.15pt;height:25.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" fillcolor="window" strokecolor="#8064a2" strokeweight="2pt">
                <v:path arrowok="t"/>
                <v:textbox>
                  <w:txbxContent>
                    <w:p w14:paraId="2BAC7D3C" w14:textId="77777777" w:rsidR="00677688" w:rsidRDefault="00677688">
                      <w:r>
                        <w:t xml:space="preserve">Government debt  </w:t>
                      </w:r>
                    </w:p>
                  </w:txbxContent>
                </v:textbox>
              </v:rect>
            </w:pict>
          </mc:Fallback>
        </mc:AlternateContent>
      </w:r>
    </w:p>
    <w:p w14:paraId="70C12738" w14:textId="77777777" w:rsidR="0072282A" w:rsidRPr="00084F2E" w:rsidRDefault="0072282A">
      <w:pPr>
        <w:rPr>
          <w:lang w:val="en-US"/>
        </w:rPr>
      </w:pPr>
    </w:p>
    <w:p w14:paraId="3D0A826F" w14:textId="40FCC133" w:rsidR="0072282A" w:rsidRPr="00084F2E" w:rsidRDefault="00AE77B4">
      <w:pPr>
        <w:rPr>
          <w:lang w:val="en-US"/>
        </w:rPr>
      </w:pPr>
      <w:r w:rsidRPr="00084F2E">
        <w:rPr>
          <w:noProof/>
          <w:lang w:val="en-US"/>
        </w:rPr>
        <mc:AlternateContent>
          <mc:Choice Requires="wps">
            <w:drawing>
              <wp:anchor distT="0" distB="0" distL="114300" distR="114300" simplePos="0" relativeHeight="251681792" behindDoc="0" locked="0" layoutInCell="1" allowOverlap="1" wp14:anchorId="52E4C36D" wp14:editId="1D50D4B4">
                <wp:simplePos x="0" y="0"/>
                <wp:positionH relativeFrom="column">
                  <wp:posOffset>2160905</wp:posOffset>
                </wp:positionH>
                <wp:positionV relativeFrom="paragraph">
                  <wp:posOffset>120015</wp:posOffset>
                </wp:positionV>
                <wp:extent cx="1312545" cy="327025"/>
                <wp:effectExtent l="0" t="57150" r="0" b="15875"/>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12545" cy="32702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6274587" id="Straight Arrow Connector 32" o:spid="_x0000_s1026" type="#_x0000_t32" style="position:absolute;margin-left:170.15pt;margin-top:9.45pt;width:103.35pt;height:25.7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" strokecolor="#4a7ebb">
                <v:stroke endarrow="open"/>
                <o:lock v:ext="edit" shapetype="f"/>
              </v:shape>
            </w:pict>
          </mc:Fallback>
        </mc:AlternateContent>
      </w:r>
    </w:p>
    <w:p w14:paraId="573AB62A" w14:textId="468740BF" w:rsidR="0072282A" w:rsidRPr="00084F2E" w:rsidRDefault="00AE77B4">
      <w:pPr>
        <w:rPr>
          <w:lang w:val="en-US"/>
        </w:rPr>
      </w:pPr>
      <w:r w:rsidRPr="00084F2E">
        <w:rPr>
          <w:iCs/>
          <w:noProof/>
          <w:lang w:val="en-US"/>
        </w:rPr>
        <mc:AlternateContent>
          <mc:Choice Requires="wps">
            <w:drawing>
              <wp:anchor distT="0" distB="0" distL="114300" distR="114300" simplePos="0" relativeHeight="251680768" behindDoc="0" locked="0" layoutInCell="1" allowOverlap="1" wp14:anchorId="2D29FC3F" wp14:editId="2E8885F1">
                <wp:simplePos x="0" y="0"/>
                <wp:positionH relativeFrom="column">
                  <wp:posOffset>22860</wp:posOffset>
                </wp:positionH>
                <wp:positionV relativeFrom="paragraph">
                  <wp:posOffset>89535</wp:posOffset>
                </wp:positionV>
                <wp:extent cx="2103120" cy="325120"/>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3120" cy="325120"/>
                        </a:xfrm>
                        <a:prstGeom prst="rect">
                          <a:avLst/>
                        </a:prstGeom>
                        <a:solidFill>
                          <a:sysClr val="window" lastClr="FFFFFF"/>
                        </a:solidFill>
                        <a:ln w="25400" cap="flat" cmpd="sng" algn="ctr">
                          <a:solidFill>
                            <a:srgbClr val="8064A2"/>
                          </a:solidFill>
                          <a:prstDash val="solid"/>
                        </a:ln>
                        <a:effectLst/>
                      </wps:spPr>
                      <wps:txbx>
                        <w:txbxContent>
                          <w:p w14:paraId="112C3323" w14:textId="77777777" w:rsidR="00677688" w:rsidRDefault="00677688">
                            <w:r>
                              <w:t xml:space="preserve">Total saving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D29FC3F" id="Rectangle 33" o:spid="_x0000_s1035" style="position:absolute;margin-left:1.8pt;margin-top:7.05pt;width:165.6pt;height:25.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" fillcolor="window" strokecolor="#8064a2" strokeweight="2pt">
                <v:path arrowok="t"/>
                <v:textbox>
                  <w:txbxContent>
                    <w:p w14:paraId="112C3323" w14:textId="77777777" w:rsidR="00677688" w:rsidRDefault="00677688">
                      <w:r>
                        <w:t xml:space="preserve">Total saving </w:t>
                      </w:r>
                    </w:p>
                  </w:txbxContent>
                </v:textbox>
              </v:rect>
            </w:pict>
          </mc:Fallback>
        </mc:AlternateContent>
      </w:r>
    </w:p>
    <w:p w14:paraId="026B3AEF" w14:textId="77777777" w:rsidR="0072282A" w:rsidRPr="00084F2E" w:rsidRDefault="0072282A">
      <w:pPr>
        <w:rPr>
          <w:lang w:val="en-US"/>
        </w:rPr>
      </w:pPr>
    </w:p>
    <w:p w14:paraId="66C095D9" w14:textId="77777777" w:rsidR="0072282A" w:rsidRPr="00084F2E" w:rsidRDefault="0072282A">
      <w:pPr>
        <w:rPr>
          <w:lang w:val="en-US"/>
        </w:rPr>
      </w:pPr>
    </w:p>
    <w:p w14:paraId="05419A6D" w14:textId="77777777" w:rsidR="0072282A" w:rsidRPr="00084F2E" w:rsidRDefault="0072282A">
      <w:pPr>
        <w:rPr>
          <w:lang w:val="en-US"/>
        </w:rPr>
      </w:pPr>
    </w:p>
    <w:p w14:paraId="40CE03FD" w14:textId="77777777" w:rsidR="0072282A" w:rsidRPr="00084F2E" w:rsidRDefault="00AB1BEC">
      <w:pPr>
        <w:tabs>
          <w:tab w:val="left" w:pos="3098"/>
        </w:tabs>
        <w:rPr>
          <w:b w:val="0"/>
          <w:lang w:val="en-US"/>
        </w:rPr>
      </w:pPr>
      <w:r w:rsidRPr="00084F2E">
        <w:rPr>
          <w:b w:val="0"/>
          <w:lang w:val="en-US"/>
        </w:rPr>
        <w:t>Source: Developed by researcher based on literature review, 2025</w:t>
      </w:r>
    </w:p>
    <w:p w14:paraId="3A7BEA2F" w14:textId="77777777" w:rsidR="0072282A" w:rsidRPr="00084F2E" w:rsidRDefault="0072282A">
      <w:pPr>
        <w:tabs>
          <w:tab w:val="left" w:pos="3098"/>
        </w:tabs>
        <w:rPr>
          <w:b w:val="0"/>
          <w:lang w:val="en-US"/>
        </w:rPr>
      </w:pPr>
    </w:p>
    <w:p w14:paraId="3ED3EEC8" w14:textId="77777777" w:rsidR="0072282A" w:rsidRPr="00084F2E" w:rsidRDefault="00AB1BEC">
      <w:pPr>
        <w:spacing w:after="200" w:line="276" w:lineRule="auto"/>
        <w:rPr>
          <w:b w:val="0"/>
          <w:lang w:val="en-US"/>
        </w:rPr>
      </w:pPr>
      <w:r w:rsidRPr="00084F2E">
        <w:rPr>
          <w:b w:val="0"/>
          <w:lang w:val="en-US"/>
        </w:rPr>
        <w:br w:type="page"/>
      </w:r>
    </w:p>
    <w:p w14:paraId="637C4319" w14:textId="77777777" w:rsidR="0072282A" w:rsidRPr="00084F2E" w:rsidRDefault="0072282A">
      <w:pPr>
        <w:tabs>
          <w:tab w:val="left" w:pos="3098"/>
        </w:tabs>
        <w:rPr>
          <w:b w:val="0"/>
          <w:lang w:val="en-US"/>
        </w:rPr>
      </w:pPr>
    </w:p>
    <w:p w14:paraId="31270B1F" w14:textId="77777777" w:rsidR="0072282A" w:rsidRPr="00084F2E" w:rsidRDefault="00AB1BEC">
      <w:pPr>
        <w:keepNext/>
        <w:keepLines/>
        <w:spacing w:before="480"/>
        <w:jc w:val="center"/>
        <w:outlineLvl w:val="0"/>
        <w:rPr>
          <w:rFonts w:eastAsiaTheme="majorEastAsia" w:cstheme="majorBidi"/>
          <w:bCs/>
          <w:sz w:val="32"/>
          <w:szCs w:val="28"/>
          <w:lang w:val="en-US"/>
        </w:rPr>
      </w:pPr>
      <w:bookmarkStart w:id="40" w:name="_Toc220662013"/>
      <w:r w:rsidRPr="00084F2E">
        <w:rPr>
          <w:rFonts w:eastAsiaTheme="majorEastAsia" w:cstheme="majorBidi"/>
          <w:bCs/>
          <w:sz w:val="32"/>
          <w:szCs w:val="28"/>
          <w:lang w:val="en-US"/>
        </w:rPr>
        <w:t>CHAPTER THREE</w:t>
      </w:r>
      <w:bookmarkEnd w:id="40"/>
    </w:p>
    <w:p w14:paraId="41E27376" w14:textId="77777777" w:rsidR="0072282A" w:rsidRPr="00084F2E" w:rsidRDefault="00AB1BEC">
      <w:pPr>
        <w:keepNext/>
        <w:keepLines/>
        <w:spacing w:before="480"/>
        <w:jc w:val="center"/>
        <w:outlineLvl w:val="0"/>
        <w:rPr>
          <w:rFonts w:eastAsiaTheme="majorEastAsia" w:cstheme="majorBidi"/>
          <w:bCs/>
          <w:sz w:val="32"/>
          <w:szCs w:val="28"/>
          <w:lang w:val="en-US"/>
        </w:rPr>
      </w:pPr>
      <w:bookmarkStart w:id="41" w:name="_Toc220662014"/>
      <w:r w:rsidRPr="00084F2E">
        <w:rPr>
          <w:rFonts w:eastAsiaTheme="majorEastAsia" w:cstheme="majorBidi"/>
          <w:bCs/>
          <w:sz w:val="32"/>
          <w:szCs w:val="28"/>
          <w:lang w:val="en-US"/>
        </w:rPr>
        <w:t>RESEARCH METHODOLOGY</w:t>
      </w:r>
      <w:bookmarkEnd w:id="41"/>
    </w:p>
    <w:p w14:paraId="27744F7C" w14:textId="77777777" w:rsidR="0072282A" w:rsidRPr="00084F2E" w:rsidRDefault="0072282A">
      <w:pPr>
        <w:spacing w:line="360" w:lineRule="auto"/>
        <w:jc w:val="both"/>
        <w:rPr>
          <w:rFonts w:eastAsiaTheme="majorEastAsia" w:cstheme="majorBidi"/>
          <w:bCs/>
          <w:sz w:val="28"/>
          <w:szCs w:val="26"/>
          <w:lang w:val="en-US"/>
        </w:rPr>
      </w:pPr>
    </w:p>
    <w:p w14:paraId="341A04D1" w14:textId="218232B7" w:rsidR="0072282A" w:rsidRPr="00084F2E" w:rsidRDefault="00AB1BEC">
      <w:pPr>
        <w:shd w:val="clear" w:color="auto" w:fill="FFFFFF"/>
        <w:spacing w:after="240" w:line="360" w:lineRule="auto"/>
        <w:jc w:val="both"/>
        <w:rPr>
          <w:b w:val="0"/>
          <w:lang w:val="en-US"/>
        </w:rPr>
      </w:pPr>
      <w:r w:rsidRPr="00084F2E">
        <w:rPr>
          <w:b w:val="0"/>
          <w:lang w:val="en-US"/>
        </w:rPr>
        <w:t>This chapter outlines the research design that was utilized to examine the determinants of Ethiopia's agricultural export performance. It presents both qualitative and quantitative research designs, and data collection procedures that were utilized in order to collect data from the concerned informed stakeholders. It also describes the procedures employed to analyze the data. Using a mixed-methods study design, the study herein aims to investigate in depth the independent variables that affect agricultural export performance, such as economic indicators, infrastructure, and market access, and the dependent variable, agricultural export performance. The research design ensures the validity and reliability of the research.</w:t>
      </w:r>
    </w:p>
    <w:p w14:paraId="74DAA1D6" w14:textId="77777777" w:rsidR="00CD7161" w:rsidRPr="00084F2E" w:rsidRDefault="00CD7161" w:rsidP="00CD7161">
      <w:pPr>
        <w:keepNext/>
        <w:keepLines/>
        <w:spacing w:before="200" w:line="360" w:lineRule="auto"/>
        <w:jc w:val="both"/>
        <w:outlineLvl w:val="1"/>
        <w:rPr>
          <w:rFonts w:eastAsiaTheme="majorEastAsia" w:cs="Times New Roman"/>
          <w:bCs/>
          <w:sz w:val="28"/>
          <w:szCs w:val="21"/>
          <w:lang w:val="en-US"/>
        </w:rPr>
      </w:pPr>
      <w:bookmarkStart w:id="42" w:name="_Toc218434798"/>
      <w:bookmarkStart w:id="43" w:name="_Toc220662015"/>
      <w:r w:rsidRPr="00084F2E">
        <w:rPr>
          <w:rFonts w:eastAsiaTheme="majorEastAsia" w:cs="Times New Roman"/>
          <w:bCs/>
          <w:sz w:val="28"/>
          <w:szCs w:val="21"/>
          <w:lang w:val="en-US"/>
        </w:rPr>
        <w:t>3.2. Research Approach</w:t>
      </w:r>
      <w:bookmarkEnd w:id="42"/>
      <w:bookmarkEnd w:id="43"/>
    </w:p>
    <w:p w14:paraId="027F82CF" w14:textId="77777777" w:rsidR="00CD7161" w:rsidRPr="00084F2E" w:rsidRDefault="00CD7161" w:rsidP="00CD7161">
      <w:pPr>
        <w:shd w:val="clear" w:color="auto" w:fill="FFFFFF"/>
        <w:spacing w:after="240" w:line="360" w:lineRule="auto"/>
        <w:jc w:val="both"/>
        <w:rPr>
          <w:rFonts w:cs="Times New Roman"/>
          <w:b w:val="0"/>
          <w:lang w:val="en-US"/>
        </w:rPr>
      </w:pPr>
      <w:r w:rsidRPr="00084F2E">
        <w:rPr>
          <w:rFonts w:cs="Times New Roman"/>
          <w:b w:val="0"/>
          <w:lang w:val="en-US"/>
        </w:rPr>
        <w:t>This study adopts a purely quantitative, causal-explanatory research design. It utilizes secondary time-series data to evaluate the relationship between macroeconomic determinants and export performance. Quantitative methods enable precise measurement of variables, systematic testing of hypotheses, and objective evaluation of the strength and direction of relationships. Given the study’s focus on identifying how macroeconomic determinants influence export performance across countries and over an extensive time horizon, numerical indicators (such as growth rates, inflation, exchange rates, and trade volumes) provide a common, comparable basis for analysis. This approach minimizes interpretive bias that can arise from qualitative observations and supports the generation of generalizable conclusions that can inform policy and theory.</w:t>
      </w:r>
    </w:p>
    <w:p w14:paraId="70CA009C" w14:textId="77777777" w:rsidR="00CD7161" w:rsidRPr="00084F2E" w:rsidRDefault="00CD7161" w:rsidP="00CD7161">
      <w:pPr>
        <w:shd w:val="clear" w:color="auto" w:fill="FFFFFF"/>
        <w:spacing w:after="240" w:line="360" w:lineRule="auto"/>
        <w:jc w:val="both"/>
        <w:rPr>
          <w:rFonts w:cs="Times New Roman"/>
          <w:b w:val="0"/>
          <w:lang w:val="en-US"/>
        </w:rPr>
      </w:pPr>
      <w:r w:rsidRPr="00084F2E">
        <w:rPr>
          <w:rFonts w:cs="Times New Roman"/>
          <w:b w:val="0"/>
          <w:lang w:val="en-US"/>
        </w:rPr>
        <w:t>A causal-explanatory design is employed to move beyond mere association and toward understanding the mechanisms that drive export performance. By specifying a theoretical model that links macroeconomic determinants to export outcomes, the study tests whether changes in predictors (e.g., GDP growth, inflation, real exchange rate, terms of trade, monetary policy indicators) systematically produce shifts in export performance. This design emphasizes not only whether relationships exist, but also how and under what conditions they operate. The causal-</w:t>
      </w:r>
      <w:r w:rsidRPr="00084F2E">
        <w:rPr>
          <w:rFonts w:cs="Times New Roman"/>
          <w:b w:val="0"/>
          <w:lang w:val="en-US"/>
        </w:rPr>
        <w:lastRenderedPageBreak/>
        <w:t>explanatory lens is particularly suited for informing policymakers about which macroeconomic levers are most effective for enhancing export success, and under what structural circumstances these effects are amplified or dampened.</w:t>
      </w:r>
    </w:p>
    <w:p w14:paraId="10865078" w14:textId="77777777" w:rsidR="00CD7161" w:rsidRPr="00084F2E" w:rsidRDefault="00CD7161" w:rsidP="00CD7161">
      <w:pPr>
        <w:shd w:val="clear" w:color="auto" w:fill="FFFFFF"/>
        <w:spacing w:after="240" w:line="360" w:lineRule="auto"/>
        <w:jc w:val="both"/>
        <w:rPr>
          <w:rFonts w:cs="Times New Roman"/>
          <w:b w:val="0"/>
          <w:lang w:val="en-US"/>
        </w:rPr>
      </w:pPr>
      <w:r w:rsidRPr="00084F2E">
        <w:rPr>
          <w:rFonts w:cs="Times New Roman"/>
          <w:b w:val="0"/>
          <w:lang w:val="en-US"/>
        </w:rPr>
        <w:t>The analysis leverages secondary time-series data due to accessibility, coverage, and consistency across decades. Time-series data capture the dynamic evolution of macroeconomic conditions and export performance, enabling the estimation of lagged effects and temporal causality. Using secondary sources—such as national accounts, balance of payments data, price indices, and export values—from established databases ensures data reliability and standardization. The longitudinal nature of the data allows the study to model trends, persistence, and potential structural breaks, thereby improving the robustness of causal inferences.</w:t>
      </w:r>
    </w:p>
    <w:p w14:paraId="0BC9D673" w14:textId="77777777" w:rsidR="00CD7161" w:rsidRPr="00084F2E" w:rsidRDefault="00CD7161" w:rsidP="00CD7161">
      <w:pPr>
        <w:shd w:val="clear" w:color="auto" w:fill="FFFFFF"/>
        <w:spacing w:after="240" w:line="360" w:lineRule="auto"/>
        <w:jc w:val="both"/>
        <w:rPr>
          <w:rFonts w:cs="Times New Roman"/>
          <w:b w:val="0"/>
          <w:lang w:val="en-US"/>
        </w:rPr>
      </w:pPr>
      <w:r w:rsidRPr="00084F2E">
        <w:rPr>
          <w:rFonts w:cs="Times New Roman"/>
          <w:b w:val="0"/>
          <w:lang w:val="en-US"/>
        </w:rPr>
        <w:t>The study specifies a theory-driven econometric model in which export performance is regressed on a set of macroeconomic determinants. The theoretical underpinnings may draw on balance-of-payments theory, exchange rate pass-through, and growth-led export expansion, among others. By detailing the expected signs and channels of influence (e.g., depreciation of the real exchange rate may boost exports, while high inflation could erode competitiveness), the model is anchored in well-established economic concepts. This enhances interpretability and allows for hypothesis-driven testing, rather than purely data-driven discovery.</w:t>
      </w:r>
    </w:p>
    <w:p w14:paraId="5934BEDC" w14:textId="77777777" w:rsidR="00CD7161" w:rsidRPr="00084F2E" w:rsidRDefault="00CD7161" w:rsidP="00CD7161">
      <w:pPr>
        <w:shd w:val="clear" w:color="auto" w:fill="FFFFFF"/>
        <w:spacing w:after="240" w:line="360" w:lineRule="auto"/>
        <w:jc w:val="both"/>
        <w:rPr>
          <w:rFonts w:cs="Times New Roman"/>
          <w:b w:val="0"/>
          <w:lang w:val="en-US"/>
        </w:rPr>
      </w:pPr>
      <w:r w:rsidRPr="00084F2E">
        <w:rPr>
          <w:rFonts w:cs="Times New Roman"/>
          <w:b w:val="0"/>
          <w:lang w:val="en-US"/>
        </w:rPr>
        <w:t>Spanning three decades, the chosen temporal scope captures multiple business cycles, policy regimes, and external shocks, providing a rich context to observe how macroeconomic forces shape export performance over time. To ensure comparability, the study harmonizes data across countries and periods, addressing issues such as missing values, changing units, and revisions in national accounts. Techniques such as interpolation, deflation, and purchasing-power-adjusted prices may be employed where appropriate, with sensitivity analyses conducted to assess the impact of data handling choices on results.</w:t>
      </w:r>
    </w:p>
    <w:p w14:paraId="578AE9E4" w14:textId="77777777" w:rsidR="00CD7161" w:rsidRPr="00084F2E" w:rsidRDefault="00CD7161" w:rsidP="00CD7161">
      <w:pPr>
        <w:shd w:val="clear" w:color="auto" w:fill="FFFFFF"/>
        <w:spacing w:after="240" w:line="360" w:lineRule="auto"/>
        <w:jc w:val="both"/>
        <w:rPr>
          <w:rFonts w:cs="Times New Roman"/>
          <w:b w:val="0"/>
          <w:lang w:val="en-US"/>
        </w:rPr>
      </w:pPr>
      <w:r w:rsidRPr="00084F2E">
        <w:rPr>
          <w:rFonts w:cs="Times New Roman"/>
          <w:b w:val="0"/>
          <w:lang w:val="en-US"/>
        </w:rPr>
        <w:t xml:space="preserve">Recognizing the potential for endogeneity (where macroeconomic determinants and export performance influence each other), the study incorporates econometric strategies designed to strengthen causal interpretation. Methods may include the use of lagged explanatory variables, instrumental variables where valid instruments exist, fixed-effects to control for time-invariant country characteristics, and panel-corrected standard errors to account for cross-country </w:t>
      </w:r>
      <w:r w:rsidRPr="00084F2E">
        <w:rPr>
          <w:rFonts w:cs="Times New Roman"/>
          <w:b w:val="0"/>
          <w:lang w:val="en-US"/>
        </w:rPr>
        <w:lastRenderedPageBreak/>
        <w:t>correlation. Where feasible, Granger-causality tests or vector autoregression (VAR) approaches can be used to explore the directionality of relationships, complemented by robustness checks and alternative model specifications.</w:t>
      </w:r>
    </w:p>
    <w:p w14:paraId="073BC638" w14:textId="77777777" w:rsidR="00CD7161" w:rsidRPr="00084F2E" w:rsidRDefault="00CD7161" w:rsidP="00CD7161">
      <w:pPr>
        <w:shd w:val="clear" w:color="auto" w:fill="FFFFFF"/>
        <w:spacing w:after="240" w:line="360" w:lineRule="auto"/>
        <w:jc w:val="both"/>
        <w:rPr>
          <w:rFonts w:cs="Times New Roman"/>
          <w:b w:val="0"/>
          <w:lang w:val="en-US"/>
        </w:rPr>
      </w:pPr>
      <w:r w:rsidRPr="00084F2E">
        <w:rPr>
          <w:rFonts w:cs="Times New Roman"/>
          <w:b w:val="0"/>
          <w:lang w:val="en-US"/>
        </w:rPr>
        <w:t>A critical component of a purely quantitative approach is explicit attention to data quality and limitations. The study documents sources, variable definitions, measurement choices, and any data cleaning procedures. Limitations arising from data gaps, measurement error, or model assumptions are acknowledged, and their potential impact on conclusions is discussed. To promote transparency and replicability, the research provides documentation of datasets, code, and model specifications, allowing other researchers to reproduce the analysis or explore alternative specifications.</w:t>
      </w:r>
    </w:p>
    <w:p w14:paraId="1B300586" w14:textId="77777777" w:rsidR="00CD7161" w:rsidRPr="00084F2E" w:rsidRDefault="00CD7161" w:rsidP="00CD7161">
      <w:pPr>
        <w:shd w:val="clear" w:color="auto" w:fill="FFFFFF"/>
        <w:spacing w:after="240" w:line="360" w:lineRule="auto"/>
        <w:jc w:val="both"/>
        <w:rPr>
          <w:rFonts w:cs="Times New Roman"/>
          <w:b w:val="0"/>
          <w:szCs w:val="21"/>
          <w:lang w:val="en-US"/>
        </w:rPr>
      </w:pPr>
      <w:r w:rsidRPr="00084F2E">
        <w:rPr>
          <w:rFonts w:cs="Times New Roman"/>
          <w:b w:val="0"/>
          <w:lang w:val="en-US"/>
        </w:rPr>
        <w:t>By quantifying the causal links between macroeconomic determinants and export performance, the study aims to produce actionable insights for policymakers and stakeholders. The findings can illuminate which macroeconomic tools are most effective for supporting export-led growth, how these tools interact with country-specific conditions, and how policy should be calibrated across business cycles. The quantitative, time-series focus also contributes to the broader literature by offering cross-country comparative evidence over extended periods, highlighting convergence or divergence patterns and shedding light on structural factors that condition export resilience.</w:t>
      </w:r>
    </w:p>
    <w:p w14:paraId="1C509B7B" w14:textId="77777777" w:rsidR="00CD7161" w:rsidRPr="00084F2E" w:rsidRDefault="00CD7161" w:rsidP="00CD7161">
      <w:pPr>
        <w:keepNext/>
        <w:keepLines/>
        <w:spacing w:before="200" w:line="360" w:lineRule="auto"/>
        <w:jc w:val="both"/>
        <w:outlineLvl w:val="1"/>
        <w:rPr>
          <w:rFonts w:eastAsiaTheme="majorEastAsia" w:cs="Times New Roman"/>
          <w:bCs/>
          <w:sz w:val="28"/>
          <w:szCs w:val="21"/>
          <w:lang w:val="en-US"/>
        </w:rPr>
      </w:pPr>
      <w:bookmarkStart w:id="44" w:name="_Toc218434799"/>
      <w:bookmarkStart w:id="45" w:name="_Toc220662016"/>
      <w:r w:rsidRPr="00084F2E">
        <w:rPr>
          <w:rFonts w:eastAsiaTheme="majorEastAsia" w:cs="Times New Roman"/>
          <w:bCs/>
          <w:sz w:val="28"/>
          <w:szCs w:val="21"/>
          <w:lang w:val="en-US"/>
        </w:rPr>
        <w:t>3.3. Study Design</w:t>
      </w:r>
      <w:bookmarkEnd w:id="44"/>
      <w:bookmarkEnd w:id="45"/>
    </w:p>
    <w:p w14:paraId="5B698131" w14:textId="77777777" w:rsidR="00CD7161" w:rsidRPr="00084F2E" w:rsidRDefault="00CD7161" w:rsidP="00CD7161">
      <w:pPr>
        <w:shd w:val="clear" w:color="auto" w:fill="FFFFFF"/>
        <w:spacing w:after="240" w:line="360" w:lineRule="auto"/>
        <w:jc w:val="both"/>
        <w:rPr>
          <w:rFonts w:cs="Times New Roman"/>
          <w:b w:val="0"/>
          <w:szCs w:val="21"/>
          <w:lang w:val="en-US"/>
        </w:rPr>
      </w:pPr>
      <w:r w:rsidRPr="00084F2E">
        <w:rPr>
          <w:rFonts w:cs="Times New Roman"/>
          <w:b w:val="0"/>
          <w:szCs w:val="21"/>
          <w:lang w:val="en-US"/>
        </w:rPr>
        <w:t>The research would utilize a quantitative method which focused on the explanatory and descriptive study designs to examine the determinants of Ethiopian agricultural export performance.</w:t>
      </w:r>
    </w:p>
    <w:p w14:paraId="798E27E3" w14:textId="77777777" w:rsidR="00CD7161" w:rsidRPr="00084F2E" w:rsidRDefault="00CD7161" w:rsidP="00CD7161">
      <w:pPr>
        <w:shd w:val="clear" w:color="auto" w:fill="FFFFFF"/>
        <w:spacing w:after="240" w:line="360" w:lineRule="auto"/>
        <w:jc w:val="both"/>
        <w:rPr>
          <w:rFonts w:cs="Times New Roman"/>
          <w:b w:val="0"/>
          <w:szCs w:val="21"/>
          <w:lang w:val="en-US"/>
        </w:rPr>
      </w:pPr>
      <w:r w:rsidRPr="00084F2E">
        <w:rPr>
          <w:rFonts w:cs="Times New Roman"/>
          <w:b w:val="0"/>
          <w:szCs w:val="21"/>
          <w:lang w:val="en-US"/>
        </w:rPr>
        <w:t xml:space="preserve">The descriptive design would measure conditions of farm export performance and the respective background variables that could be related. Time series analysis is a statistical technique for analyzing data points that are taken, or measured, at a specific time interval. Time series analysis examines data patterns over time. Therefore, previous research conducted on the determinants of export performance of agricultural products in Ethiopia, can utilize time series analysis to offer an understanding of trends, cycles, and seasonality affecting agricultural export performance. The explanatory study would seek to determine cause-and-effect relationships between independent variables (i.e., economic factors, access to markets, and quality of infrastructure) and the dependent variable, export performance. The explanatory research design will use appropriate </w:t>
      </w:r>
      <w:r w:rsidRPr="00084F2E">
        <w:rPr>
          <w:rFonts w:cs="Times New Roman"/>
          <w:b w:val="0"/>
          <w:szCs w:val="21"/>
          <w:lang w:val="en-US"/>
        </w:rPr>
        <w:lastRenderedPageBreak/>
        <w:t xml:space="preserve">statistical methods (e.g., regression analysis) to break down the factors that affect farm trade patterns. </w:t>
      </w:r>
    </w:p>
    <w:p w14:paraId="5D9D2FAA" w14:textId="77777777" w:rsidR="00CD7161" w:rsidRPr="00084F2E" w:rsidRDefault="00CD7161" w:rsidP="00CD7161">
      <w:pPr>
        <w:keepNext/>
        <w:keepLines/>
        <w:spacing w:before="200" w:after="240"/>
        <w:outlineLvl w:val="1"/>
        <w:rPr>
          <w:rFonts w:eastAsiaTheme="majorEastAsia" w:cs="Times New Roman"/>
          <w:bCs/>
          <w:sz w:val="28"/>
          <w:szCs w:val="26"/>
          <w:lang w:val="en-US"/>
        </w:rPr>
      </w:pPr>
      <w:bookmarkStart w:id="46" w:name="_Toc218434800"/>
      <w:bookmarkStart w:id="47" w:name="_Toc220662017"/>
      <w:r w:rsidRPr="00084F2E">
        <w:rPr>
          <w:rFonts w:eastAsiaTheme="majorEastAsia" w:cs="Times New Roman"/>
          <w:bCs/>
          <w:sz w:val="28"/>
          <w:szCs w:val="26"/>
          <w:lang w:val="en-US"/>
        </w:rPr>
        <w:t>3.4. Data Type and sources</w:t>
      </w:r>
      <w:bookmarkEnd w:id="46"/>
      <w:bookmarkEnd w:id="47"/>
    </w:p>
    <w:p w14:paraId="723A84DD" w14:textId="77777777" w:rsidR="00CD7161" w:rsidRPr="00084F2E" w:rsidRDefault="00CD7161" w:rsidP="00CD7161">
      <w:pPr>
        <w:shd w:val="clear" w:color="auto" w:fill="FFFFFF"/>
        <w:spacing w:after="240" w:line="360" w:lineRule="auto"/>
        <w:jc w:val="both"/>
        <w:rPr>
          <w:rFonts w:cs="Times New Roman"/>
          <w:b w:val="0"/>
          <w:szCs w:val="21"/>
          <w:lang w:val="en-US"/>
        </w:rPr>
      </w:pPr>
      <w:r w:rsidRPr="00084F2E">
        <w:rPr>
          <w:rFonts w:cs="Times New Roman"/>
          <w:b w:val="0"/>
          <w:szCs w:val="21"/>
          <w:lang w:val="en-US"/>
        </w:rPr>
        <w:t>his study relies exclusively on secondary time-series data collected from reputable national and international sources. Primary sources include the National Bank of Ethiopia (NBE) Annual Reports and the Ministry of Trade and Regional Integration, which provide authoritative macroeconomic and trade data pertinent to the Ethiopian context. Complementary international indicators are drawn from the World Bank’s World Development Indicators, which offer standardized measures for cross-country comparisons and long-run trends. Agricultural dynamics are informed by FAOSTAT, ensuring consistent coverage of production and export-related variables in the sector. To capture governance-related influences, the study incorporates data from the Worldwide Governance Indicators, specifically for the Corruption Index, enabling analysis of institutional quality alongside macroeconomic determinants.</w:t>
      </w:r>
    </w:p>
    <w:p w14:paraId="4A081902" w14:textId="77777777" w:rsidR="00CD7161" w:rsidRPr="00084F2E" w:rsidRDefault="00CD7161" w:rsidP="00CD7161">
      <w:pPr>
        <w:keepNext/>
        <w:keepLines/>
        <w:spacing w:before="200" w:line="360" w:lineRule="auto"/>
        <w:jc w:val="both"/>
        <w:outlineLvl w:val="1"/>
        <w:rPr>
          <w:rFonts w:eastAsiaTheme="majorEastAsia" w:cs="Times New Roman"/>
          <w:bCs/>
          <w:sz w:val="28"/>
          <w:szCs w:val="21"/>
          <w:lang w:val="en-US"/>
        </w:rPr>
      </w:pPr>
      <w:bookmarkStart w:id="48" w:name="_Toc218434801"/>
      <w:bookmarkStart w:id="49" w:name="_Toc220662018"/>
      <w:r w:rsidRPr="00084F2E">
        <w:rPr>
          <w:rFonts w:eastAsiaTheme="majorEastAsia" w:cs="Times New Roman"/>
          <w:bCs/>
          <w:sz w:val="28"/>
          <w:szCs w:val="21"/>
          <w:lang w:val="en-US"/>
        </w:rPr>
        <w:t>3.5. Period of the Study</w:t>
      </w:r>
      <w:bookmarkEnd w:id="48"/>
      <w:bookmarkEnd w:id="49"/>
      <w:r w:rsidRPr="00084F2E">
        <w:rPr>
          <w:rFonts w:eastAsiaTheme="majorEastAsia" w:cs="Times New Roman"/>
          <w:bCs/>
          <w:sz w:val="28"/>
          <w:szCs w:val="21"/>
          <w:lang w:val="en-US"/>
        </w:rPr>
        <w:t xml:space="preserve"> </w:t>
      </w:r>
    </w:p>
    <w:p w14:paraId="33B42BFB" w14:textId="77777777" w:rsidR="00CD7161" w:rsidRPr="00084F2E" w:rsidRDefault="00CD7161" w:rsidP="00CD7161">
      <w:pPr>
        <w:shd w:val="clear" w:color="auto" w:fill="FFFFFF"/>
        <w:spacing w:after="240" w:line="360" w:lineRule="auto"/>
        <w:jc w:val="both"/>
        <w:rPr>
          <w:rFonts w:cs="Times New Roman"/>
          <w:b w:val="0"/>
          <w:szCs w:val="21"/>
          <w:lang w:val="en-US"/>
        </w:rPr>
      </w:pPr>
      <w:r w:rsidRPr="00084F2E">
        <w:rPr>
          <w:rFonts w:cs="Times New Roman"/>
          <w:b w:val="0"/>
          <w:szCs w:val="21"/>
          <w:lang w:val="en-US"/>
        </w:rPr>
        <w:t>The study covers a 30-year period from 1993 to 2022. This span captures the transition from Ethiopia’s shift toward a market-oriented economy in the early 1990s through subsequent development phases, policy reforms, and evolving macroeconomic conditions. By including three decades of data, the study can examine long-run trends, regime changes, and the persistence of macroeconomic effects on agricultural exports, while also allowing for robust time-series analysis that accounts for structural changes over time.</w:t>
      </w:r>
    </w:p>
    <w:p w14:paraId="22081640" w14:textId="77777777" w:rsidR="00CD7161" w:rsidRPr="00084F2E" w:rsidRDefault="00CD7161" w:rsidP="00CD7161">
      <w:pPr>
        <w:shd w:val="clear" w:color="auto" w:fill="FFFFFF"/>
        <w:spacing w:after="240" w:line="360" w:lineRule="auto"/>
        <w:jc w:val="both"/>
        <w:rPr>
          <w:rFonts w:cs="Times New Roman"/>
          <w:b w:val="0"/>
          <w:szCs w:val="21"/>
          <w:lang w:val="en-US"/>
        </w:rPr>
      </w:pPr>
      <w:r w:rsidRPr="00084F2E">
        <w:rPr>
          <w:rFonts w:cs="Times New Roman"/>
          <w:b w:val="0"/>
          <w:szCs w:val="21"/>
          <w:lang w:val="en-US"/>
        </w:rPr>
        <w:t>The 1993 year marks the beginning of significant post-reform economic activity in Ethiopia following the transitional government’s move toward liberalization and market-oriented policies. Starting in 1993 enables the study to align with the onset of formal reforms, policy shifts, and institutional changes that are expected to influence export performance. The choice of 1993 as the starting point ensures that the analysis observes the fullest possible horizon of impact from reform-related determinants, while maintaining consistency with available macroeconomic indicators from national sources.</w:t>
      </w:r>
    </w:p>
    <w:p w14:paraId="2B4A5577" w14:textId="77777777" w:rsidR="00CD7161" w:rsidRPr="00084F2E" w:rsidRDefault="00CD7161" w:rsidP="00CD7161">
      <w:pPr>
        <w:keepNext/>
        <w:keepLines/>
        <w:spacing w:before="200" w:line="360" w:lineRule="auto"/>
        <w:jc w:val="both"/>
        <w:outlineLvl w:val="1"/>
        <w:rPr>
          <w:rStyle w:val="Emphasis"/>
          <w:rFonts w:eastAsiaTheme="majorEastAsia"/>
          <w:b w:val="0"/>
        </w:rPr>
      </w:pPr>
      <w:bookmarkStart w:id="50" w:name="_Toc218432909"/>
      <w:bookmarkStart w:id="51" w:name="_Toc218434802"/>
      <w:bookmarkStart w:id="52" w:name="_Toc219118559"/>
      <w:bookmarkStart w:id="53" w:name="_Toc219118635"/>
      <w:bookmarkStart w:id="54" w:name="_Toc220662019"/>
      <w:r w:rsidRPr="00084F2E">
        <w:rPr>
          <w:rStyle w:val="Emphasis"/>
          <w:rFonts w:eastAsiaTheme="majorEastAsia"/>
          <w:b w:val="0"/>
        </w:rPr>
        <w:lastRenderedPageBreak/>
        <w:t>The 2022 is the most recent year for which a complete set of validated macroeconomic and agricultural export data was available across all sources (NBE and World Bank) at the time of the analysis. Using 2022 as the terminal year ensures that the study relies on comprehensive, harmonized data that meet quality and comparability standards, facilitating robust estimation and cross-year comparisons. The selected end-point also reflects data completeness for key variables, enabling consistent treatment across the entire time series.</w:t>
      </w:r>
      <w:bookmarkEnd w:id="50"/>
      <w:bookmarkEnd w:id="51"/>
      <w:bookmarkEnd w:id="52"/>
      <w:bookmarkEnd w:id="53"/>
      <w:bookmarkEnd w:id="54"/>
    </w:p>
    <w:p w14:paraId="405DACEC" w14:textId="77777777" w:rsidR="0072282A" w:rsidRPr="00084F2E" w:rsidRDefault="00AB1BEC">
      <w:pPr>
        <w:keepNext/>
        <w:keepLines/>
        <w:spacing w:before="200" w:after="240"/>
        <w:outlineLvl w:val="1"/>
        <w:rPr>
          <w:rFonts w:eastAsiaTheme="majorEastAsia" w:cstheme="majorBidi"/>
          <w:bCs/>
          <w:sz w:val="28"/>
          <w:szCs w:val="26"/>
          <w:lang w:val="en-US"/>
        </w:rPr>
      </w:pPr>
      <w:bookmarkStart w:id="55" w:name="_Toc220662020"/>
      <w:r w:rsidRPr="00084F2E">
        <w:rPr>
          <w:rFonts w:eastAsiaTheme="majorEastAsia" w:cstheme="majorBidi"/>
          <w:bCs/>
          <w:sz w:val="28"/>
          <w:szCs w:val="26"/>
          <w:lang w:val="en-US"/>
        </w:rPr>
        <w:t>3.6. Model Specification</w:t>
      </w:r>
      <w:bookmarkEnd w:id="55"/>
    </w:p>
    <w:p w14:paraId="64BFA077" w14:textId="77777777" w:rsidR="0072282A" w:rsidRPr="00084F2E" w:rsidRDefault="00AB1BEC">
      <w:pPr>
        <w:shd w:val="clear" w:color="auto" w:fill="FFFFFF"/>
        <w:spacing w:after="100" w:afterAutospacing="1" w:line="360" w:lineRule="auto"/>
        <w:jc w:val="both"/>
        <w:rPr>
          <w:rFonts w:cs="Times New Roman"/>
          <w:b w:val="0"/>
          <w:lang w:val="en-US"/>
        </w:rPr>
      </w:pPr>
      <w:r w:rsidRPr="00084F2E">
        <w:rPr>
          <w:rFonts w:cs="Times New Roman"/>
          <w:b w:val="0"/>
          <w:lang w:val="en-US"/>
        </w:rPr>
        <w:t xml:space="preserve">As outlined in the literature review, trade theories have made improvements to better analyze the factors that influence export performance. This project presents refinements made by adding additional explanatory variables that at the core of this research. A time series data model was analyzed on the performance of agricultural commodities to provide reliable expected outcomes. </w:t>
      </w:r>
    </w:p>
    <w:p w14:paraId="267BE10E" w14:textId="77777777" w:rsidR="0072282A" w:rsidRPr="00084F2E" w:rsidRDefault="00AB1BEC">
      <w:pPr>
        <w:shd w:val="clear" w:color="auto" w:fill="FFFFFF"/>
        <w:spacing w:after="100" w:afterAutospacing="1" w:line="360" w:lineRule="auto"/>
        <w:jc w:val="both"/>
        <w:rPr>
          <w:rFonts w:cs="Times New Roman"/>
          <w:b w:val="0"/>
          <w:lang w:val="en-US"/>
        </w:rPr>
      </w:pPr>
      <w:r w:rsidRPr="00084F2E">
        <w:rPr>
          <w:rFonts w:cs="Times New Roman"/>
          <w:b w:val="0"/>
          <w:lang w:val="en-US"/>
        </w:rPr>
        <w:t>A time series analysis technique is particularly effective in analyzing the performance of agricultural commodities over time in exports. This approach has a tendency to highlight trends in the trade data, seasonal trends, and forecasting. It is also much easier to evaluate the reasons or causes of changes in exports based on circumstances, for example, limited market demand or government policies. Time series analysis tends to lead to a higher degree of expected outcomes than might be the case using panel data, which combines several subjects and adds extra layers of complexity over time series analysis that focuses on a single subject over time. Time series methodology is particularly useful in analyzing the seasonal trends and cyclical patterns associated with agricultural commodities or for assessing the timing of planting and the resulting quantities that will be available for export related to each harvest following planting. Time series methodology is also best-suited to produce short-term forecast of the expected future quantities available for export regarding the commodity of interest, that provide useful information for stakeholders contemplating one step ahead planning. Furthermore, a time series analysis can be conducted with the same unit which eliminates the need for data collection across time and can portray the impact of one off events on the export performance as well. Overall, for a direct export dynamics evaluation of Ethiopia’s agriculture, time series analysis is the most practical and economical strategy.</w:t>
      </w:r>
    </w:p>
    <w:p w14:paraId="7975982B" w14:textId="77777777" w:rsidR="0072282A" w:rsidRPr="00084F2E" w:rsidRDefault="00AB1BEC">
      <w:pPr>
        <w:shd w:val="clear" w:color="auto" w:fill="FFFFFF"/>
        <w:spacing w:after="100" w:afterAutospacing="1" w:line="360" w:lineRule="auto"/>
        <w:jc w:val="both"/>
        <w:rPr>
          <w:rFonts w:cs="Times New Roman"/>
          <w:b w:val="0"/>
          <w:lang w:val="en-US"/>
        </w:rPr>
      </w:pPr>
      <w:r w:rsidRPr="00084F2E">
        <w:rPr>
          <w:rFonts w:cs="Times New Roman"/>
          <w:b w:val="0"/>
          <w:lang w:val="en-US"/>
        </w:rPr>
        <w:lastRenderedPageBreak/>
        <w:t>A number of theories have set the groundwork for the theories of international trade such as: absolute advantage theory (Smith, 1776), comparative advantage theory (Ricardo, 1951), Heckscher–Ohlin theory (Heckscher, 1919), choice similarity theory (Linder, 1961), and new trade theory (Krugman, 1983).</w:t>
      </w:r>
    </w:p>
    <w:p w14:paraId="2F5BB1C4" w14:textId="77777777" w:rsidR="0072282A" w:rsidRPr="00084F2E" w:rsidRDefault="00AB1BEC">
      <w:pPr>
        <w:shd w:val="clear" w:color="auto" w:fill="FFFFFF"/>
        <w:spacing w:after="100" w:afterAutospacing="1" w:line="360" w:lineRule="auto"/>
        <w:jc w:val="both"/>
        <w:rPr>
          <w:rFonts w:cs="Times New Roman"/>
          <w:b w:val="0"/>
          <w:lang w:val="en-US"/>
        </w:rPr>
      </w:pPr>
      <w:r w:rsidRPr="00084F2E">
        <w:rPr>
          <w:rFonts w:cs="Times New Roman"/>
          <w:b w:val="0"/>
          <w:lang w:val="en-US"/>
        </w:rPr>
        <w:t>The econometric model to be employed in this study has been influenced by the models from Olper (2001), Majeed et al. (2006), Idsardi (2010), Amoro &amp; Shen (2013), Tesfaye (2014) and Abolagba et al. (2010) and adjusted based on Kahfi (2016), Kiani (2018), Reinert (2020), and Nasrullah et al. (2020), and by incorporating both theoretical and empirical material and established information regarding data available, would lead to the mathematical formulation of the model of international trade in imperfect substitute products.</w:t>
      </w:r>
    </w:p>
    <w:p w14:paraId="6BBF87B0" w14:textId="77777777" w:rsidR="0072282A" w:rsidRPr="00084F2E" w:rsidRDefault="00AB1BEC">
      <w:pPr>
        <w:spacing w:before="240" w:line="360" w:lineRule="auto"/>
        <w:jc w:val="both"/>
        <w:rPr>
          <w:rFonts w:cs="Times New Roman"/>
          <w:b w:val="0"/>
          <w:lang w:val="en-US"/>
        </w:rPr>
      </w:pPr>
      <w:r w:rsidRPr="00084F2E">
        <w:rPr>
          <w:rFonts w:cs="Times New Roman"/>
          <w:b w:val="0"/>
          <w:lang w:val="en-US"/>
        </w:rPr>
        <w:t>The study employed the Autoregressive Distributed Lag (ARDL) model to analyze the determinants of Ethiopian agricultural exports across 30 export categories from 1993 to 2022. This model allows for both short-run and long-run estimations of how various independent variables affect export performance. The ARDL specification is beneficial for model specification as it allows for the direct interpretation of elasticities from the coefficients.</w:t>
      </w:r>
    </w:p>
    <w:p w14:paraId="2DC562D3" w14:textId="77777777" w:rsidR="0072282A" w:rsidRPr="00084F2E" w:rsidRDefault="0072282A">
      <w:pPr>
        <w:spacing w:before="240" w:line="360" w:lineRule="auto"/>
        <w:jc w:val="both"/>
        <w:rPr>
          <w:rFonts w:cs="Times New Roman"/>
          <w:b w:val="0"/>
          <w:lang w:val="en-US"/>
        </w:rPr>
      </w:pPr>
    </w:p>
    <w:p w14:paraId="086D041C" w14:textId="77777777" w:rsidR="0072282A" w:rsidRPr="00084F2E" w:rsidRDefault="00AB1BEC">
      <w:pPr>
        <w:spacing w:before="240" w:line="360" w:lineRule="auto"/>
        <w:jc w:val="both"/>
        <w:rPr>
          <w:rFonts w:cs="Times New Roman"/>
          <w:b w:val="0"/>
          <w:lang w:val="en-US"/>
        </w:rPr>
      </w:pPr>
      <w:r w:rsidRPr="00084F2E">
        <w:rPr>
          <w:rFonts w:cs="Times New Roman"/>
          <w:b w:val="0"/>
          <w:lang w:val="en-US"/>
        </w:rPr>
        <w:t>The model is specified as follows:</w:t>
      </w:r>
    </w:p>
    <w:p w14:paraId="59435646" w14:textId="77777777" w:rsidR="0072282A" w:rsidRPr="00084F2E" w:rsidRDefault="00AB1BEC">
      <w:pPr>
        <w:spacing w:before="240" w:line="360" w:lineRule="auto"/>
        <w:jc w:val="both"/>
        <w:rPr>
          <w:rFonts w:cs="Times New Roman"/>
          <w:b w:val="0"/>
          <w:lang w:val="en-US"/>
        </w:rPr>
      </w:pPr>
      <m:oMath>
        <m:r>
          <m:rPr>
            <m:sty m:val="bi"/>
          </m:rPr>
          <w:rPr>
            <w:rFonts w:ascii="Cambria Math" w:hAnsi="Cambria Math" w:cs="Times New Roman"/>
            <w:lang w:val="en-US"/>
          </w:rPr>
          <m:t>∆AEXP=α</m:t>
        </m:r>
        <m:r>
          <m:rPr>
            <m:sty m:val="bi"/>
          </m:rPr>
          <w:rPr>
            <w:rFonts w:ascii="Cambria Math" w:hAnsi="Cambria Math" w:cs="Times New Roman"/>
            <w:lang w:val="en-US"/>
          </w:rPr>
          <m:t>0+</m:t>
        </m:r>
        <m:nary>
          <m:naryPr>
            <m:chr m:val="∑"/>
            <m:limLoc m:val="undOvr"/>
            <m:ctrlPr>
              <w:rPr>
                <w:rFonts w:ascii="Cambria Math" w:hAnsi="Cambria Math" w:cs="Times New Roman"/>
                <w:b w:val="0"/>
                <w:i/>
                <w:lang w:val="en-US"/>
              </w:rPr>
            </m:ctrlPr>
          </m:naryPr>
          <m:sub>
            <m:r>
              <m:rPr>
                <m:sty m:val="bi"/>
              </m:rPr>
              <w:rPr>
                <w:rFonts w:ascii="Cambria Math" w:hAnsi="Cambria Math" w:cs="Times New Roman"/>
                <w:lang w:val="en-US"/>
              </w:rPr>
              <m:t>i=1</m:t>
            </m:r>
          </m:sub>
          <m:sup>
            <m:r>
              <m:rPr>
                <m:sty m:val="bi"/>
              </m:rPr>
              <w:rPr>
                <w:rFonts w:ascii="Cambria Math" w:hAnsi="Cambria Math" w:cs="Times New Roman"/>
                <w:lang w:val="en-US"/>
              </w:rPr>
              <m:t>p</m:t>
            </m:r>
          </m:sup>
          <m:e>
            <m:r>
              <m:rPr>
                <m:sty m:val="bi"/>
              </m:rPr>
              <w:rPr>
                <w:rFonts w:ascii="Cambria Math" w:hAnsi="Cambria Math" w:cs="Times New Roman"/>
                <w:lang w:val="en-US"/>
              </w:rPr>
              <m:t>α∆EXPt-1</m:t>
            </m:r>
          </m:e>
        </m:nary>
        <m:r>
          <m:rPr>
            <m:sty m:val="bi"/>
          </m:rPr>
          <w:rPr>
            <w:rFonts w:ascii="Cambria Math" w:hAnsi="Cambria Math" w:cs="Times New Roman"/>
            <w:lang w:val="en-US"/>
          </w:rPr>
          <m:t>+</m:t>
        </m:r>
        <m:nary>
          <m:naryPr>
            <m:chr m:val="∑"/>
            <m:limLoc m:val="undOvr"/>
            <m:ctrlPr>
              <w:rPr>
                <w:rFonts w:ascii="Cambria Math" w:hAnsi="Cambria Math" w:cs="Times New Roman"/>
                <w:b w:val="0"/>
                <w:i/>
                <w:lang w:val="en-US"/>
              </w:rPr>
            </m:ctrlPr>
          </m:naryPr>
          <m:sub>
            <m:r>
              <m:rPr>
                <m:sty m:val="bi"/>
              </m:rPr>
              <w:rPr>
                <w:rFonts w:ascii="Cambria Math" w:hAnsi="Cambria Math" w:cs="Times New Roman"/>
                <w:lang w:val="en-US"/>
              </w:rPr>
              <m:t>j=1</m:t>
            </m:r>
          </m:sub>
          <m:sup>
            <m:r>
              <m:rPr>
                <m:sty m:val="bi"/>
              </m:rPr>
              <w:rPr>
                <w:rFonts w:ascii="Cambria Math" w:hAnsi="Cambria Math" w:cs="Times New Roman"/>
                <w:lang w:val="en-US"/>
              </w:rPr>
              <m:t>q</m:t>
            </m:r>
            <m:r>
              <m:rPr>
                <m:sty m:val="bi"/>
              </m:rPr>
              <w:rPr>
                <w:rFonts w:ascii="Cambria Math" w:hAnsi="Cambria Math" w:cs="Times New Roman"/>
                <w:lang w:val="en-US"/>
              </w:rPr>
              <m:t>1</m:t>
            </m:r>
          </m:sup>
          <m:e>
            <m:r>
              <m:rPr>
                <m:sty m:val="bi"/>
              </m:rPr>
              <w:rPr>
                <w:rFonts w:ascii="Cambria Math" w:hAnsi="Cambria Math" w:cs="Times New Roman"/>
                <w:lang w:val="en-US"/>
              </w:rPr>
              <m:t>βj∆GDPt-j</m:t>
            </m:r>
          </m:e>
        </m:nary>
      </m:oMath>
      <w:r w:rsidRPr="00084F2E">
        <w:rPr>
          <w:rFonts w:cs="Times New Roman"/>
          <w:b w:val="0"/>
          <w:lang w:val="en-US"/>
        </w:rPr>
        <w:t>+</w:t>
      </w:r>
      <m:oMath>
        <m:nary>
          <m:naryPr>
            <m:chr m:val="∑"/>
            <m:limLoc m:val="subSup"/>
            <m:ctrlPr>
              <w:rPr>
                <w:rFonts w:ascii="Cambria Math" w:hAnsi="Cambria Math" w:cs="Times New Roman"/>
                <w:b w:val="0"/>
                <w:i/>
                <w:lang w:val="en-US"/>
              </w:rPr>
            </m:ctrlPr>
          </m:naryPr>
          <m:sub>
            <m:r>
              <m:rPr>
                <m:sty m:val="bi"/>
              </m:rPr>
              <w:rPr>
                <w:rFonts w:ascii="Cambria Math" w:hAnsi="Cambria Math" w:cs="Times New Roman"/>
                <w:lang w:val="en-US"/>
              </w:rPr>
              <m:t>k=0</m:t>
            </m:r>
          </m:sub>
          <m:sup>
            <m:r>
              <m:rPr>
                <m:sty m:val="bi"/>
              </m:rPr>
              <w:rPr>
                <w:rFonts w:ascii="Cambria Math" w:hAnsi="Cambria Math" w:cs="Times New Roman"/>
                <w:lang w:val="en-US"/>
              </w:rPr>
              <m:t>q</m:t>
            </m:r>
            <m:r>
              <m:rPr>
                <m:sty m:val="bi"/>
              </m:rPr>
              <w:rPr>
                <w:rFonts w:ascii="Cambria Math" w:hAnsi="Cambria Math" w:cs="Times New Roman"/>
                <w:lang w:val="en-US"/>
              </w:rPr>
              <m:t>2</m:t>
            </m:r>
          </m:sup>
          <m:e>
            <m:r>
              <m:rPr>
                <m:sty m:val="bi"/>
              </m:rPr>
              <w:rPr>
                <w:rFonts w:ascii="Cambria Math" w:hAnsi="Cambria Math" w:cs="Times New Roman"/>
                <w:lang w:val="en-US"/>
              </w:rPr>
              <m:t>γk∆FDIt-k</m:t>
            </m:r>
          </m:e>
        </m:nary>
        <m:r>
          <m:rPr>
            <m:sty m:val="bi"/>
          </m:rPr>
          <w:rPr>
            <w:rFonts w:ascii="Cambria Math" w:hAnsi="Cambria Math" w:cs="Times New Roman"/>
            <w:lang w:val="en-US"/>
          </w:rPr>
          <m:t>+</m:t>
        </m:r>
        <m:nary>
          <m:naryPr>
            <m:chr m:val="∑"/>
            <m:limLoc m:val="subSup"/>
            <m:ctrlPr>
              <w:rPr>
                <w:rFonts w:ascii="Cambria Math" w:hAnsi="Cambria Math" w:cs="Times New Roman"/>
                <w:b w:val="0"/>
                <w:i/>
                <w:lang w:val="en-US"/>
              </w:rPr>
            </m:ctrlPr>
          </m:naryPr>
          <m:sub>
            <m:r>
              <m:rPr>
                <m:sty m:val="bi"/>
              </m:rPr>
              <w:rPr>
                <w:rFonts w:ascii="Cambria Math" w:hAnsi="Cambria Math" w:cs="Times New Roman"/>
                <w:lang w:val="en-US"/>
              </w:rPr>
              <m:t>i=0</m:t>
            </m:r>
          </m:sub>
          <m:sup>
            <m:r>
              <m:rPr>
                <m:sty m:val="bi"/>
              </m:rPr>
              <w:rPr>
                <w:rFonts w:ascii="Cambria Math" w:hAnsi="Cambria Math" w:cs="Times New Roman"/>
                <w:lang w:val="en-US"/>
              </w:rPr>
              <m:t>q</m:t>
            </m:r>
            <m:r>
              <m:rPr>
                <m:sty m:val="bi"/>
              </m:rPr>
              <w:rPr>
                <w:rFonts w:ascii="Cambria Math" w:hAnsi="Cambria Math" w:cs="Times New Roman"/>
                <w:lang w:val="en-US"/>
              </w:rPr>
              <m:t>3</m:t>
            </m:r>
          </m:sup>
          <m:e>
            <m:r>
              <m:rPr>
                <m:sty m:val="bi"/>
              </m:rPr>
              <w:rPr>
                <w:rFonts w:ascii="Cambria Math" w:hAnsi="Cambria Math" w:cs="Times New Roman"/>
                <w:lang w:val="en-US"/>
              </w:rPr>
              <m:t>δ∆GNSt-1</m:t>
            </m:r>
          </m:e>
        </m:nary>
        <m:r>
          <m:rPr>
            <m:sty m:val="bi"/>
          </m:rPr>
          <w:rPr>
            <w:rFonts w:ascii="Cambria Math" w:hAnsi="Cambria Math" w:cs="Times New Roman"/>
            <w:lang w:val="en-US"/>
          </w:rPr>
          <m:t>+</m:t>
        </m:r>
        <m:nary>
          <m:naryPr>
            <m:chr m:val="∑"/>
            <m:limLoc m:val="subSup"/>
            <m:ctrlPr>
              <w:rPr>
                <w:rFonts w:ascii="Cambria Math" w:hAnsi="Cambria Math" w:cs="Times New Roman"/>
                <w:b w:val="0"/>
                <w:i/>
                <w:lang w:val="en-US"/>
              </w:rPr>
            </m:ctrlPr>
          </m:naryPr>
          <m:sub>
            <m:r>
              <m:rPr>
                <m:sty m:val="bi"/>
              </m:rPr>
              <w:rPr>
                <w:rFonts w:ascii="Cambria Math" w:hAnsi="Cambria Math" w:cs="Times New Roman"/>
                <w:lang w:val="en-US"/>
              </w:rPr>
              <m:t>m=0</m:t>
            </m:r>
          </m:sub>
          <m:sup>
            <m:r>
              <m:rPr>
                <m:sty m:val="bi"/>
              </m:rPr>
              <w:rPr>
                <w:rFonts w:ascii="Cambria Math" w:hAnsi="Cambria Math" w:cs="Times New Roman"/>
                <w:lang w:val="en-US"/>
              </w:rPr>
              <m:t>q</m:t>
            </m:r>
            <m:r>
              <m:rPr>
                <m:sty m:val="bi"/>
              </m:rPr>
              <w:rPr>
                <w:rFonts w:ascii="Cambria Math" w:hAnsi="Cambria Math" w:cs="Times New Roman"/>
                <w:lang w:val="en-US"/>
              </w:rPr>
              <m:t>4</m:t>
            </m:r>
          </m:sup>
          <m:e>
            <m:r>
              <m:rPr>
                <m:sty m:val="bi"/>
              </m:rPr>
              <w:rPr>
                <w:rFonts w:ascii="Cambria Math" w:hAnsi="Cambria Math" w:cs="Times New Roman"/>
                <w:lang w:val="en-US"/>
              </w:rPr>
              <m:t>∅m∆CPIt-m</m:t>
            </m:r>
          </m:e>
        </m:nary>
        <m:r>
          <m:rPr>
            <m:sty m:val="bi"/>
          </m:rPr>
          <w:rPr>
            <w:rFonts w:ascii="Cambria Math" w:hAnsi="Cambria Math" w:cs="Times New Roman"/>
            <w:lang w:val="en-US"/>
          </w:rPr>
          <m:t>+</m:t>
        </m:r>
        <m:nary>
          <m:naryPr>
            <m:chr m:val="∑"/>
            <m:limLoc m:val="subSup"/>
            <m:ctrlPr>
              <w:rPr>
                <w:rFonts w:ascii="Cambria Math" w:hAnsi="Cambria Math" w:cs="Times New Roman"/>
                <w:b w:val="0"/>
                <w:i/>
                <w:lang w:val="en-US"/>
              </w:rPr>
            </m:ctrlPr>
          </m:naryPr>
          <m:sub>
            <m:r>
              <m:rPr>
                <m:sty m:val="bi"/>
              </m:rPr>
              <w:rPr>
                <w:rFonts w:ascii="Cambria Math" w:hAnsi="Cambria Math" w:cs="Times New Roman"/>
                <w:lang w:val="en-US"/>
              </w:rPr>
              <m:t>n=0</m:t>
            </m:r>
          </m:sub>
          <m:sup>
            <m:r>
              <m:rPr>
                <m:sty m:val="bi"/>
              </m:rPr>
              <w:rPr>
                <w:rFonts w:ascii="Cambria Math" w:hAnsi="Cambria Math" w:cs="Times New Roman"/>
                <w:lang w:val="en-US"/>
              </w:rPr>
              <m:t>q</m:t>
            </m:r>
            <m:r>
              <m:rPr>
                <m:sty m:val="bi"/>
              </m:rPr>
              <w:rPr>
                <w:rFonts w:ascii="Cambria Math" w:hAnsi="Cambria Math" w:cs="Times New Roman"/>
                <w:lang w:val="en-US"/>
              </w:rPr>
              <m:t>5</m:t>
            </m:r>
          </m:sup>
          <m:e>
            <m:r>
              <m:rPr>
                <m:sty m:val="bi"/>
              </m:rPr>
              <w:rPr>
                <w:rFonts w:ascii="Cambria Math" w:hAnsi="Cambria Math" w:cs="Times New Roman"/>
                <w:lang w:val="en-US"/>
              </w:rPr>
              <m:t>θn∆CORRt-n</m:t>
            </m:r>
          </m:e>
        </m:nary>
        <m:r>
          <m:rPr>
            <m:sty m:val="bi"/>
          </m:rPr>
          <w:rPr>
            <w:rFonts w:ascii="Cambria Math" w:hAnsi="Cambria Math" w:cs="Times New Roman"/>
            <w:lang w:val="en-US"/>
          </w:rPr>
          <m:t>+</m:t>
        </m:r>
        <m:nary>
          <m:naryPr>
            <m:chr m:val="∑"/>
            <m:limLoc m:val="subSup"/>
            <m:ctrlPr>
              <w:rPr>
                <w:rFonts w:ascii="Cambria Math" w:hAnsi="Cambria Math" w:cs="Times New Roman"/>
                <w:b w:val="0"/>
                <w:i/>
                <w:lang w:val="en-US"/>
              </w:rPr>
            </m:ctrlPr>
          </m:naryPr>
          <m:sub>
            <m:r>
              <m:rPr>
                <m:sty m:val="bi"/>
              </m:rPr>
              <w:rPr>
                <w:rFonts w:ascii="Cambria Math" w:hAnsi="Cambria Math" w:cs="Times New Roman"/>
                <w:lang w:val="en-US"/>
              </w:rPr>
              <m:t>o=0</m:t>
            </m:r>
          </m:sub>
          <m:sup>
            <m:r>
              <m:rPr>
                <m:sty m:val="bi"/>
              </m:rPr>
              <w:rPr>
                <w:rFonts w:ascii="Cambria Math" w:hAnsi="Cambria Math" w:cs="Times New Roman"/>
                <w:lang w:val="en-US"/>
              </w:rPr>
              <m:t>q</m:t>
            </m:r>
            <m:r>
              <m:rPr>
                <m:sty m:val="bi"/>
              </m:rPr>
              <w:rPr>
                <w:rFonts w:ascii="Cambria Math" w:hAnsi="Cambria Math" w:cs="Times New Roman"/>
                <w:lang w:val="en-US"/>
              </w:rPr>
              <m:t>6</m:t>
            </m:r>
          </m:sup>
          <m:e>
            <m:r>
              <m:rPr>
                <m:sty m:val="bi"/>
              </m:rPr>
              <w:rPr>
                <w:rFonts w:ascii="Cambria Math" w:hAnsi="Cambria Math" w:cs="Times New Roman"/>
                <w:lang w:val="en-US"/>
              </w:rPr>
              <m:t>φo∆DEBTt-o</m:t>
            </m:r>
          </m:e>
        </m:nary>
        <m:r>
          <m:rPr>
            <m:sty m:val="bi"/>
          </m:rPr>
          <w:rPr>
            <w:rFonts w:ascii="Cambria Math" w:hAnsi="Cambria Math" w:cs="Times New Roman"/>
            <w:lang w:val="en-US"/>
          </w:rPr>
          <m:t>+</m:t>
        </m:r>
        <m:nary>
          <m:naryPr>
            <m:chr m:val="∑"/>
            <m:limLoc m:val="subSup"/>
            <m:ctrlPr>
              <w:rPr>
                <w:rFonts w:ascii="Cambria Math" w:hAnsi="Cambria Math" w:cs="Times New Roman"/>
                <w:i/>
                <w:lang w:val="en-US"/>
              </w:rPr>
            </m:ctrlPr>
          </m:naryPr>
          <m:sub>
            <m:r>
              <m:rPr>
                <m:sty m:val="bi"/>
              </m:rPr>
              <w:rPr>
                <w:rFonts w:ascii="Cambria Math" w:hAnsi="Cambria Math" w:cs="Times New Roman"/>
                <w:lang w:val="en-US"/>
              </w:rPr>
              <m:t>p=0</m:t>
            </m:r>
          </m:sub>
          <m:sup>
            <m:r>
              <m:rPr>
                <m:sty m:val="bi"/>
              </m:rPr>
              <w:rPr>
                <w:rFonts w:ascii="Cambria Math" w:hAnsi="Cambria Math" w:cs="Times New Roman"/>
                <w:lang w:val="en-US"/>
              </w:rPr>
              <m:t>q</m:t>
            </m:r>
            <m:r>
              <m:rPr>
                <m:sty m:val="bi"/>
              </m:rPr>
              <w:rPr>
                <w:rFonts w:ascii="Cambria Math" w:hAnsi="Cambria Math" w:cs="Times New Roman"/>
                <w:lang w:val="en-US"/>
              </w:rPr>
              <m:t>7</m:t>
            </m:r>
          </m:sup>
          <m:e>
            <m:r>
              <m:rPr>
                <m:sty m:val="bi"/>
              </m:rPr>
              <w:rPr>
                <w:rFonts w:ascii="Cambria Math" w:hAnsi="Cambria Math" w:cs="Times New Roman"/>
                <w:lang w:val="en-US"/>
              </w:rPr>
              <m:t>ωp∆TAXt-p</m:t>
            </m:r>
          </m:e>
        </m:nary>
        <m:r>
          <m:rPr>
            <m:sty m:val="bi"/>
          </m:rPr>
          <w:rPr>
            <w:rFonts w:ascii="Cambria Math" w:hAnsi="Cambria Math" w:cs="Times New Roman"/>
            <w:lang w:val="en-US"/>
          </w:rPr>
          <m:t>+</m:t>
        </m:r>
        <m:nary>
          <m:naryPr>
            <m:chr m:val="∑"/>
            <m:limLoc m:val="subSup"/>
            <m:ctrlPr>
              <w:rPr>
                <w:rFonts w:ascii="Cambria Math" w:hAnsi="Cambria Math" w:cs="Times New Roman"/>
                <w:i/>
                <w:lang w:val="en-US"/>
              </w:rPr>
            </m:ctrlPr>
          </m:naryPr>
          <m:sub>
            <m:r>
              <m:rPr>
                <m:sty m:val="bi"/>
              </m:rPr>
              <w:rPr>
                <w:rFonts w:ascii="Cambria Math" w:hAnsi="Cambria Math" w:cs="Times New Roman"/>
                <w:lang w:val="en-US"/>
              </w:rPr>
              <m:t>q=0</m:t>
            </m:r>
          </m:sub>
          <m:sup>
            <m:r>
              <m:rPr>
                <m:sty m:val="bi"/>
              </m:rPr>
              <w:rPr>
                <w:rFonts w:ascii="Cambria Math" w:hAnsi="Cambria Math" w:cs="Times New Roman"/>
                <w:lang w:val="en-US"/>
              </w:rPr>
              <m:t>q</m:t>
            </m:r>
            <m:r>
              <m:rPr>
                <m:sty m:val="bi"/>
              </m:rPr>
              <w:rPr>
                <w:rFonts w:ascii="Cambria Math" w:hAnsi="Cambria Math" w:cs="Times New Roman"/>
                <w:lang w:val="en-US"/>
              </w:rPr>
              <m:t>8</m:t>
            </m:r>
          </m:sup>
          <m:e>
            <m:r>
              <m:rPr>
                <m:sty m:val="bi"/>
              </m:rPr>
              <w:rPr>
                <w:rFonts w:ascii="Cambria Math" w:hAnsi="Cambria Math" w:cs="Times New Roman"/>
                <w:lang w:val="en-US"/>
              </w:rPr>
              <m:t>μEXRt-q</m:t>
            </m:r>
          </m:e>
        </m:nary>
        <m:r>
          <m:rPr>
            <m:sty m:val="bi"/>
          </m:rPr>
          <w:rPr>
            <w:rFonts w:ascii="Cambria Math" w:hAnsi="Cambria Math" w:cs="Times New Roman"/>
            <w:lang w:val="en-US"/>
          </w:rPr>
          <m:t>+</m:t>
        </m:r>
        <m:nary>
          <m:naryPr>
            <m:chr m:val="∑"/>
            <m:limLoc m:val="subSup"/>
            <m:ctrlPr>
              <w:rPr>
                <w:rFonts w:ascii="Cambria Math" w:hAnsi="Cambria Math" w:cs="Times New Roman"/>
                <w:i/>
                <w:lang w:val="en-US"/>
              </w:rPr>
            </m:ctrlPr>
          </m:naryPr>
          <m:sub>
            <m:r>
              <m:rPr>
                <m:sty m:val="bi"/>
              </m:rPr>
              <w:rPr>
                <w:rFonts w:ascii="Cambria Math" w:hAnsi="Cambria Math" w:cs="Times New Roman"/>
                <w:lang w:val="en-US"/>
              </w:rPr>
              <m:t>r=0</m:t>
            </m:r>
          </m:sub>
          <m:sup>
            <m:r>
              <m:rPr>
                <m:sty m:val="bi"/>
              </m:rPr>
              <w:rPr>
                <w:rFonts w:ascii="Cambria Math" w:hAnsi="Cambria Math" w:cs="Times New Roman"/>
                <w:lang w:val="en-US"/>
              </w:rPr>
              <m:t>q</m:t>
            </m:r>
            <m:r>
              <m:rPr>
                <m:sty m:val="bi"/>
              </m:rPr>
              <w:rPr>
                <w:rFonts w:ascii="Cambria Math" w:hAnsi="Cambria Math" w:cs="Times New Roman"/>
                <w:lang w:val="en-US"/>
              </w:rPr>
              <m:t>9</m:t>
            </m:r>
          </m:sup>
          <m:e>
            <m:r>
              <m:rPr>
                <m:sty m:val="bi"/>
              </m:rPr>
              <w:rPr>
                <w:rFonts w:ascii="Cambria Math" w:hAnsi="Cambria Math" w:cs="Times New Roman"/>
                <w:lang w:val="en-US"/>
              </w:rPr>
              <m:t>ρr∆EMPt-r</m:t>
            </m:r>
          </m:e>
        </m:nary>
        <m:r>
          <m:rPr>
            <m:sty m:val="bi"/>
          </m:rPr>
          <w:rPr>
            <w:rFonts w:ascii="Cambria Math" w:hAnsi="Cambria Math" w:cs="Times New Roman"/>
            <w:lang w:val="en-US"/>
          </w:rPr>
          <m:t>+λ</m:t>
        </m:r>
        <m:r>
          <m:rPr>
            <m:sty m:val="bi"/>
          </m:rPr>
          <w:rPr>
            <w:rFonts w:ascii="Cambria Math" w:hAnsi="Cambria Math" w:cs="Times New Roman"/>
            <w:lang w:val="en-US"/>
          </w:rPr>
          <m:t>1</m:t>
        </m:r>
        <m:r>
          <m:rPr>
            <m:sty m:val="bi"/>
          </m:rPr>
          <w:rPr>
            <w:rFonts w:ascii="Cambria Math" w:hAnsi="Cambria Math" w:cs="Times New Roman"/>
            <w:lang w:val="en-US"/>
          </w:rPr>
          <m:t>AEXPt-1+λ</m:t>
        </m:r>
        <m:r>
          <m:rPr>
            <m:sty m:val="bi"/>
          </m:rPr>
          <w:rPr>
            <w:rFonts w:ascii="Cambria Math" w:hAnsi="Cambria Math" w:cs="Times New Roman"/>
            <w:lang w:val="en-US"/>
          </w:rPr>
          <m:t>2</m:t>
        </m:r>
        <m:r>
          <m:rPr>
            <m:sty m:val="bi"/>
          </m:rPr>
          <w:rPr>
            <w:rFonts w:ascii="Cambria Math" w:hAnsi="Cambria Math" w:cs="Times New Roman"/>
            <w:lang w:val="en-US"/>
          </w:rPr>
          <m:t>GDPt-1+λ</m:t>
        </m:r>
        <m:r>
          <m:rPr>
            <m:sty m:val="bi"/>
          </m:rPr>
          <w:rPr>
            <w:rFonts w:ascii="Cambria Math" w:hAnsi="Cambria Math" w:cs="Times New Roman"/>
            <w:lang w:val="en-US"/>
          </w:rPr>
          <m:t>3</m:t>
        </m:r>
        <m:r>
          <m:rPr>
            <m:sty m:val="bi"/>
          </m:rPr>
          <w:rPr>
            <w:rFonts w:ascii="Cambria Math" w:hAnsi="Cambria Math" w:cs="Times New Roman"/>
            <w:lang w:val="en-US"/>
          </w:rPr>
          <m:t>FDIt-1+λ</m:t>
        </m:r>
        <m:r>
          <m:rPr>
            <m:sty m:val="bi"/>
          </m:rPr>
          <w:rPr>
            <w:rFonts w:ascii="Cambria Math" w:hAnsi="Cambria Math" w:cs="Times New Roman"/>
            <w:lang w:val="en-US"/>
          </w:rPr>
          <m:t>4</m:t>
        </m:r>
        <m:r>
          <m:rPr>
            <m:sty m:val="bi"/>
          </m:rPr>
          <w:rPr>
            <w:rFonts w:ascii="Cambria Math" w:hAnsi="Cambria Math" w:cs="Times New Roman"/>
            <w:lang w:val="en-US"/>
          </w:rPr>
          <m:t>GNSt-1+λ</m:t>
        </m:r>
        <m:r>
          <m:rPr>
            <m:sty m:val="bi"/>
          </m:rPr>
          <w:rPr>
            <w:rFonts w:ascii="Cambria Math" w:hAnsi="Cambria Math" w:cs="Times New Roman"/>
            <w:lang w:val="en-US"/>
          </w:rPr>
          <m:t>5</m:t>
        </m:r>
        <m:r>
          <m:rPr>
            <m:sty m:val="bi"/>
          </m:rPr>
          <w:rPr>
            <w:rFonts w:ascii="Cambria Math" w:hAnsi="Cambria Math" w:cs="Times New Roman"/>
            <w:lang w:val="en-US"/>
          </w:rPr>
          <m:t>CPIt-1+λ</m:t>
        </m:r>
        <m:r>
          <m:rPr>
            <m:sty m:val="bi"/>
          </m:rPr>
          <w:rPr>
            <w:rFonts w:ascii="Cambria Math" w:hAnsi="Cambria Math" w:cs="Times New Roman"/>
            <w:lang w:val="en-US"/>
          </w:rPr>
          <m:t>6</m:t>
        </m:r>
        <m:r>
          <m:rPr>
            <m:sty m:val="bi"/>
          </m:rPr>
          <w:rPr>
            <w:rFonts w:ascii="Cambria Math" w:hAnsi="Cambria Math" w:cs="Times New Roman"/>
            <w:lang w:val="en-US"/>
          </w:rPr>
          <m:t>CORRt-1+λ</m:t>
        </m:r>
        <m:r>
          <m:rPr>
            <m:sty m:val="bi"/>
          </m:rPr>
          <w:rPr>
            <w:rFonts w:ascii="Cambria Math" w:hAnsi="Cambria Math" w:cs="Times New Roman"/>
            <w:lang w:val="en-US"/>
          </w:rPr>
          <m:t>7</m:t>
        </m:r>
        <m:r>
          <m:rPr>
            <m:sty m:val="bi"/>
          </m:rPr>
          <w:rPr>
            <w:rFonts w:ascii="Cambria Math" w:hAnsi="Cambria Math" w:cs="Times New Roman"/>
            <w:lang w:val="en-US"/>
          </w:rPr>
          <m:t>DEBTt-1+λ</m:t>
        </m:r>
        <m:r>
          <m:rPr>
            <m:sty m:val="bi"/>
          </m:rPr>
          <w:rPr>
            <w:rFonts w:ascii="Cambria Math" w:hAnsi="Cambria Math" w:cs="Times New Roman"/>
            <w:lang w:val="en-US"/>
          </w:rPr>
          <m:t>8</m:t>
        </m:r>
        <m:r>
          <m:rPr>
            <m:sty m:val="bi"/>
          </m:rPr>
          <w:rPr>
            <w:rFonts w:ascii="Cambria Math" w:hAnsi="Cambria Math" w:cs="Times New Roman"/>
            <w:lang w:val="en-US"/>
          </w:rPr>
          <m:t>TAXt-1+λ</m:t>
        </m:r>
        <m:r>
          <m:rPr>
            <m:sty m:val="bi"/>
          </m:rPr>
          <w:rPr>
            <w:rFonts w:ascii="Cambria Math" w:hAnsi="Cambria Math" w:cs="Times New Roman"/>
            <w:lang w:val="en-US"/>
          </w:rPr>
          <m:t>9</m:t>
        </m:r>
        <m:r>
          <m:rPr>
            <m:sty m:val="bi"/>
          </m:rPr>
          <w:rPr>
            <w:rFonts w:ascii="Cambria Math" w:hAnsi="Cambria Math" w:cs="Times New Roman"/>
            <w:lang w:val="en-US"/>
          </w:rPr>
          <m:t>EXRt-1+λ</m:t>
        </m:r>
        <m:r>
          <m:rPr>
            <m:sty m:val="bi"/>
          </m:rPr>
          <w:rPr>
            <w:rFonts w:ascii="Cambria Math" w:hAnsi="Cambria Math" w:cs="Times New Roman"/>
            <w:lang w:val="en-US"/>
          </w:rPr>
          <m:t>10</m:t>
        </m:r>
        <m:r>
          <m:rPr>
            <m:sty m:val="bi"/>
          </m:rPr>
          <w:rPr>
            <w:rFonts w:ascii="Cambria Math" w:hAnsi="Cambria Math" w:cs="Times New Roman"/>
            <w:lang w:val="en-US"/>
          </w:rPr>
          <m:t>EMPt-1+εt</m:t>
        </m:r>
      </m:oMath>
    </w:p>
    <w:p w14:paraId="0751ACCD" w14:textId="77777777" w:rsidR="0072282A" w:rsidRPr="00084F2E" w:rsidRDefault="00AB1BEC">
      <w:pPr>
        <w:spacing w:before="240" w:line="360" w:lineRule="auto"/>
        <w:jc w:val="both"/>
        <w:rPr>
          <w:rFonts w:cs="Times New Roman"/>
          <w:b w:val="0"/>
          <w:lang w:val="en-US"/>
        </w:rPr>
      </w:pPr>
      <w:r w:rsidRPr="00084F2E">
        <w:rPr>
          <w:rFonts w:cs="Times New Roman"/>
          <w:lang w:val="en-US"/>
        </w:rPr>
        <w:br/>
      </w:r>
      <w:r w:rsidRPr="00084F2E">
        <w:rPr>
          <w:rFonts w:cs="Times New Roman"/>
          <w:b w:val="0"/>
          <w:lang w:val="en-US"/>
        </w:rPr>
        <w:t>Where:</w:t>
      </w:r>
    </w:p>
    <w:p w14:paraId="635EE121" w14:textId="77777777" w:rsidR="0072282A" w:rsidRPr="00084F2E" w:rsidRDefault="00AB1BEC">
      <w:pPr>
        <w:pStyle w:val="ListParagraph"/>
        <w:numPr>
          <w:ilvl w:val="0"/>
          <w:numId w:val="3"/>
        </w:numPr>
        <w:spacing w:before="240" w:line="360" w:lineRule="auto"/>
        <w:jc w:val="both"/>
        <w:rPr>
          <w:rFonts w:cs="Times New Roman"/>
          <w:b w:val="0"/>
          <w:bCs/>
        </w:rPr>
      </w:pPr>
      <w:r w:rsidRPr="00084F2E">
        <w:rPr>
          <w:rFonts w:cs="Times New Roman"/>
          <w:b w:val="0"/>
          <w:bCs/>
        </w:rPr>
        <w:t>αi= Coefficients of ΔAEXP lags Short-run persistence of exports</w:t>
      </w:r>
    </w:p>
    <w:p w14:paraId="49EF92B8" w14:textId="77777777" w:rsidR="0072282A" w:rsidRPr="00084F2E" w:rsidRDefault="00AB1BEC">
      <w:pPr>
        <w:pStyle w:val="ListParagraph"/>
        <w:numPr>
          <w:ilvl w:val="0"/>
          <w:numId w:val="3"/>
        </w:numPr>
        <w:spacing w:before="240" w:line="360" w:lineRule="auto"/>
        <w:jc w:val="both"/>
        <w:rPr>
          <w:rFonts w:cs="Times New Roman"/>
          <w:b w:val="0"/>
          <w:bCs/>
        </w:rPr>
      </w:pPr>
      <w:r w:rsidRPr="00084F2E">
        <w:rPr>
          <w:rFonts w:cs="Times New Roman"/>
          <w:b w:val="0"/>
          <w:bCs/>
        </w:rPr>
        <w:lastRenderedPageBreak/>
        <w:t>β, γ, δ, θ, η, φ, ψ, μ, ρ= Coefficients of ΔX variables short-run impact of each explanatory variable (GDP, FDI, CPI, Government debt, Indirect tax revenue, Gross national saving, Exchange rate, Agricultural farm labor, Corruption control index)</w:t>
      </w:r>
    </w:p>
    <w:p w14:paraId="659DDC57" w14:textId="77777777" w:rsidR="00AE7658" w:rsidRPr="00084F2E" w:rsidRDefault="00AE7658" w:rsidP="00AE7658">
      <w:pPr>
        <w:pStyle w:val="ListParagraph"/>
        <w:numPr>
          <w:ilvl w:val="0"/>
          <w:numId w:val="3"/>
        </w:numPr>
        <w:spacing w:before="240" w:line="360" w:lineRule="auto"/>
        <w:jc w:val="both"/>
        <w:rPr>
          <w:rFonts w:cs="Times New Roman"/>
          <w:b w:val="0"/>
          <w:bCs/>
        </w:rPr>
      </w:pPr>
      <w:r w:rsidRPr="00084F2E">
        <w:rPr>
          <w:rFonts w:cs="Times New Roman"/>
          <w:b w:val="0"/>
          <w:bCs/>
        </w:rPr>
        <w:t>λ...λ₁₀ Coefficients of lagged level terms, long-run relationships between AEXP and explanatory variables</w:t>
      </w:r>
    </w:p>
    <w:p w14:paraId="741AECE3" w14:textId="77777777" w:rsidR="00AE7658" w:rsidRPr="00084F2E" w:rsidRDefault="00AE7658" w:rsidP="00AE7658">
      <w:pPr>
        <w:pStyle w:val="ListParagraph"/>
        <w:numPr>
          <w:ilvl w:val="0"/>
          <w:numId w:val="3"/>
        </w:numPr>
        <w:spacing w:before="240" w:line="360" w:lineRule="auto"/>
        <w:jc w:val="both"/>
        <w:rPr>
          <w:rFonts w:cs="Times New Roman"/>
          <w:b w:val="0"/>
          <w:bCs/>
        </w:rPr>
      </w:pPr>
      <w:r w:rsidRPr="00084F2E">
        <w:rPr>
          <w:rFonts w:cs="Times New Roman"/>
          <w:b w:val="0"/>
          <w:bCs/>
        </w:rPr>
        <w:t>α₀ Constant term, average short-run change when others are constant</w:t>
      </w:r>
    </w:p>
    <w:p w14:paraId="47FEC743" w14:textId="77777777" w:rsidR="00AE7658" w:rsidRPr="00084F2E" w:rsidRDefault="00AE7658" w:rsidP="00AE7658">
      <w:pPr>
        <w:pStyle w:val="ListParagraph"/>
        <w:numPr>
          <w:ilvl w:val="0"/>
          <w:numId w:val="3"/>
        </w:numPr>
        <w:spacing w:before="240" w:line="360" w:lineRule="auto"/>
        <w:jc w:val="both"/>
        <w:rPr>
          <w:rFonts w:cs="Times New Roman"/>
          <w:b w:val="0"/>
        </w:rPr>
      </w:pPr>
      <w:r w:rsidRPr="00084F2E">
        <w:rPr>
          <w:rFonts w:cs="Times New Roman"/>
          <w:b w:val="0"/>
          <w:bCs/>
        </w:rPr>
        <w:t>εₜ Error term, Unexplained random shocks</w:t>
      </w:r>
    </w:p>
    <w:p w14:paraId="2C5F5C7C" w14:textId="77777777" w:rsidR="0072282A" w:rsidRPr="00084F2E" w:rsidRDefault="00AB1BEC">
      <w:pPr>
        <w:spacing w:before="360" w:after="240" w:line="360" w:lineRule="auto"/>
        <w:jc w:val="both"/>
        <w:outlineLvl w:val="3"/>
        <w:rPr>
          <w:rFonts w:cs="Times New Roman"/>
          <w:bCs/>
          <w:lang w:val="en-US"/>
        </w:rPr>
      </w:pPr>
      <w:r w:rsidRPr="00084F2E">
        <w:rPr>
          <w:rFonts w:cs="Times New Roman"/>
          <w:bCs/>
          <w:lang w:val="en-US"/>
        </w:rPr>
        <w:t>Model Application</w:t>
      </w:r>
    </w:p>
    <w:p w14:paraId="616BD0EB" w14:textId="77777777" w:rsidR="0072282A" w:rsidRPr="00084F2E" w:rsidRDefault="00AB1BEC">
      <w:pPr>
        <w:spacing w:after="240" w:line="360" w:lineRule="auto"/>
        <w:jc w:val="both"/>
        <w:rPr>
          <w:rFonts w:cs="Times New Roman"/>
          <w:b w:val="0"/>
          <w:lang w:val="en-US"/>
        </w:rPr>
      </w:pPr>
      <w:r w:rsidRPr="00084F2E">
        <w:rPr>
          <w:rFonts w:cs="Times New Roman"/>
          <w:b w:val="0"/>
          <w:lang w:val="en-US"/>
        </w:rPr>
        <w:t>The model was utilized with the dataset of Ethiopian agricultural exports for those years. The analysis will include:</w:t>
      </w:r>
    </w:p>
    <w:p w14:paraId="003AB957" w14:textId="77777777" w:rsidR="0072282A" w:rsidRPr="00084F2E" w:rsidRDefault="00AB1BEC">
      <w:pPr>
        <w:spacing w:after="240" w:line="360" w:lineRule="auto"/>
        <w:jc w:val="both"/>
        <w:rPr>
          <w:rFonts w:cs="Times New Roman"/>
          <w:b w:val="0"/>
          <w:lang w:val="en-US"/>
        </w:rPr>
      </w:pPr>
      <w:r w:rsidRPr="00084F2E">
        <w:rPr>
          <w:rFonts w:cs="Times New Roman"/>
          <w:b w:val="0"/>
          <w:lang w:val="en-US"/>
        </w:rPr>
        <w:t xml:space="preserve">• The assembly of the data for the relevant variables for each of the 30 export categories. </w:t>
      </w:r>
    </w:p>
    <w:p w14:paraId="67E4FCA5" w14:textId="77777777" w:rsidR="0072282A" w:rsidRPr="00084F2E" w:rsidRDefault="00AB1BEC">
      <w:pPr>
        <w:spacing w:after="240" w:line="360" w:lineRule="auto"/>
        <w:jc w:val="both"/>
        <w:rPr>
          <w:rFonts w:cs="Times New Roman"/>
          <w:b w:val="0"/>
          <w:lang w:val="en-US"/>
        </w:rPr>
      </w:pPr>
      <w:r w:rsidRPr="00084F2E">
        <w:rPr>
          <w:rFonts w:cs="Times New Roman"/>
          <w:b w:val="0"/>
          <w:lang w:val="en-US"/>
        </w:rPr>
        <w:t xml:space="preserve">• The model coefficients will be estimated. </w:t>
      </w:r>
    </w:p>
    <w:p w14:paraId="56BD2F11" w14:textId="77777777" w:rsidR="0072282A" w:rsidRPr="00084F2E" w:rsidRDefault="00AB1BEC">
      <w:pPr>
        <w:spacing w:after="240" w:line="360" w:lineRule="auto"/>
        <w:jc w:val="both"/>
        <w:rPr>
          <w:rFonts w:cs="Times New Roman"/>
          <w:b w:val="0"/>
          <w:lang w:val="en-US"/>
        </w:rPr>
      </w:pPr>
      <w:r w:rsidRPr="00084F2E">
        <w:rPr>
          <w:rFonts w:cs="Times New Roman"/>
          <w:b w:val="0"/>
          <w:lang w:val="en-US"/>
        </w:rPr>
        <w:t xml:space="preserve">• The short-run and the long-run effects of the specified variables on export performance will be evaluated. </w:t>
      </w:r>
    </w:p>
    <w:p w14:paraId="32C38155" w14:textId="77777777" w:rsidR="0072282A" w:rsidRPr="00084F2E" w:rsidRDefault="00AB1BEC">
      <w:pPr>
        <w:keepNext/>
        <w:keepLines/>
        <w:spacing w:before="200" w:after="240"/>
        <w:outlineLvl w:val="1"/>
        <w:rPr>
          <w:rFonts w:eastAsiaTheme="majorEastAsia" w:cstheme="majorBidi"/>
          <w:bCs/>
          <w:sz w:val="28"/>
          <w:szCs w:val="26"/>
          <w:lang w:val="en-US"/>
        </w:rPr>
      </w:pPr>
      <w:bookmarkStart w:id="56" w:name="_Toc220662021"/>
      <w:r w:rsidRPr="00084F2E">
        <w:rPr>
          <w:rFonts w:eastAsiaTheme="majorEastAsia" w:cstheme="majorBidi"/>
          <w:bCs/>
          <w:sz w:val="28"/>
          <w:szCs w:val="26"/>
          <w:lang w:val="en-US"/>
        </w:rPr>
        <w:t>3.7. Description of study variables and measurements</w:t>
      </w:r>
      <w:bookmarkEnd w:id="56"/>
      <w:r w:rsidRPr="00084F2E">
        <w:rPr>
          <w:rFonts w:eastAsiaTheme="majorEastAsia" w:cstheme="majorBidi"/>
          <w:bCs/>
          <w:sz w:val="28"/>
          <w:szCs w:val="26"/>
          <w:lang w:val="en-US"/>
        </w:rPr>
        <w:t xml:space="preserve"> </w:t>
      </w:r>
    </w:p>
    <w:p w14:paraId="7589D438" w14:textId="77777777" w:rsidR="00CD7161" w:rsidRPr="00084F2E" w:rsidRDefault="00AB1BEC">
      <w:pPr>
        <w:shd w:val="clear" w:color="auto" w:fill="FFFFFF"/>
        <w:spacing w:after="240" w:line="360" w:lineRule="auto"/>
        <w:jc w:val="both"/>
        <w:rPr>
          <w:rFonts w:cs="Times New Roman"/>
          <w:b w:val="0"/>
          <w:bCs/>
          <w:lang w:val="en-US"/>
        </w:rPr>
      </w:pPr>
      <w:r w:rsidRPr="00084F2E">
        <w:rPr>
          <w:rFonts w:cs="Times New Roman"/>
          <w:bCs/>
          <w:lang w:val="en-US"/>
        </w:rPr>
        <w:t xml:space="preserve">EPt (Export performance of Agricultural Exports): </w:t>
      </w:r>
      <w:r w:rsidRPr="00084F2E">
        <w:rPr>
          <w:rFonts w:cs="Times New Roman"/>
          <w:b w:val="0"/>
          <w:bCs/>
          <w:lang w:val="en-US"/>
        </w:rPr>
        <w:t>The value of a country’s agricultural exports at year t indicates the ability and effectiveness of a country’s agricultural sector to compete in overseas foreign markets (WTO, 2022).</w:t>
      </w:r>
    </w:p>
    <w:p w14:paraId="114571C6" w14:textId="5C9259BF" w:rsidR="0072282A" w:rsidRPr="00084F2E" w:rsidRDefault="00AB1BEC">
      <w:pPr>
        <w:shd w:val="clear" w:color="auto" w:fill="FFFFFF"/>
        <w:spacing w:after="240" w:line="360" w:lineRule="auto"/>
        <w:jc w:val="both"/>
        <w:rPr>
          <w:rFonts w:cs="Times New Roman"/>
          <w:bCs/>
          <w:lang w:val="en-US"/>
        </w:rPr>
      </w:pPr>
      <w:r w:rsidRPr="00084F2E">
        <w:rPr>
          <w:rFonts w:cs="Times New Roman"/>
          <w:bCs/>
          <w:lang w:val="en-US"/>
        </w:rPr>
        <w:t xml:space="preserve">GDPt (Gross Domestic Product): </w:t>
      </w:r>
      <w:r w:rsidRPr="00084F2E">
        <w:rPr>
          <w:rFonts w:cs="Times New Roman"/>
          <w:b w:val="0"/>
          <w:bCs/>
          <w:lang w:val="en-US"/>
        </w:rPr>
        <w:t>Refers to the total monetary value of all goods and services produced within country at year t, it is used to refer to size and economic activity (Lokshin, 2023). A greater GDP indicates more economic activity and productivity in a country, as well as helping to improve agricultural export performance by providing additional resources to invest in agricultural technology and infrastructure (Lokshin, 2023).</w:t>
      </w:r>
    </w:p>
    <w:p w14:paraId="302A6EE1" w14:textId="77777777" w:rsidR="0072282A" w:rsidRPr="00084F2E" w:rsidRDefault="00AB1BEC">
      <w:pPr>
        <w:shd w:val="clear" w:color="auto" w:fill="FFFFFF"/>
        <w:spacing w:after="240" w:line="360" w:lineRule="auto"/>
        <w:jc w:val="both"/>
        <w:rPr>
          <w:rFonts w:cs="Times New Roman"/>
          <w:bCs/>
          <w:lang w:val="en-US"/>
        </w:rPr>
      </w:pPr>
      <w:r w:rsidRPr="00084F2E">
        <w:rPr>
          <w:rFonts w:cs="Times New Roman"/>
          <w:bCs/>
          <w:lang w:val="en-US"/>
        </w:rPr>
        <w:t xml:space="preserve">ERt (Exchange Rate): </w:t>
      </w:r>
      <w:r w:rsidRPr="00084F2E">
        <w:rPr>
          <w:rFonts w:cs="Times New Roman"/>
          <w:b w:val="0"/>
          <w:bCs/>
          <w:lang w:val="en-US"/>
        </w:rPr>
        <w:t xml:space="preserve">A measure of the value of one currency over the other, showing how much one currency is worth in terms of another. It affects the export price competitiveness (Annual Report 2022/23, 2022). Jayne et al. (2016) findings show that depreciation of currency has a </w:t>
      </w:r>
      <w:r w:rsidRPr="00084F2E">
        <w:rPr>
          <w:rFonts w:cs="Times New Roman"/>
          <w:b w:val="0"/>
          <w:bCs/>
          <w:lang w:val="en-US"/>
        </w:rPr>
        <w:lastRenderedPageBreak/>
        <w:t>positive effect on export agriculture by reducing commodities' prices in foreign currency terms. This effect is most notably observed in countries where farm exports account for a significant percentage of export totals. Also, studies such as Masud et al. (2021) demonstrate that whenever the exchange rate rises (i.e., whenever the domestic currency falls), the amount of agricultural products exported rises.</w:t>
      </w:r>
    </w:p>
    <w:p w14:paraId="66EC7F2F" w14:textId="77777777" w:rsidR="0072282A" w:rsidRPr="00084F2E" w:rsidRDefault="00AB1BEC">
      <w:pPr>
        <w:shd w:val="clear" w:color="auto" w:fill="FFFFFF"/>
        <w:spacing w:after="240" w:line="360" w:lineRule="auto"/>
        <w:jc w:val="both"/>
        <w:rPr>
          <w:rFonts w:cs="Times New Roman"/>
          <w:bCs/>
          <w:lang w:val="en-US"/>
        </w:rPr>
      </w:pPr>
      <w:r w:rsidRPr="00084F2E">
        <w:rPr>
          <w:rFonts w:cs="Times New Roman"/>
          <w:bCs/>
          <w:lang w:val="en-US"/>
        </w:rPr>
        <w:t xml:space="preserve">CIt (Corruption Index): </w:t>
      </w:r>
      <w:r w:rsidRPr="00084F2E">
        <w:rPr>
          <w:rFonts w:cs="Times New Roman"/>
          <w:b w:val="0"/>
          <w:bCs/>
          <w:lang w:val="en-US"/>
        </w:rPr>
        <w:t>Approximation of the perceived levels of corruption at time t in country, derived from surveys and expert opinions. The index is higher, the less corrupt it is (Abdelmeguid et al., 2022). A lower perceived level of corruption, as indicated by a higher Corruption Index, can facilitate a better environment for the export of agriculture through greater efficiency in trade processes and foreign investment drawing (Abdelmeguid et al., 2022).</w:t>
      </w:r>
    </w:p>
    <w:p w14:paraId="19D818ED" w14:textId="77777777" w:rsidR="0072282A" w:rsidRPr="00084F2E" w:rsidRDefault="00AB1BEC">
      <w:pPr>
        <w:shd w:val="clear" w:color="auto" w:fill="FFFFFF"/>
        <w:spacing w:after="240" w:line="360" w:lineRule="auto"/>
        <w:jc w:val="both"/>
        <w:rPr>
          <w:rFonts w:cs="Times New Roman"/>
          <w:bCs/>
          <w:lang w:val="en-US"/>
        </w:rPr>
      </w:pPr>
      <w:r w:rsidRPr="00084F2E">
        <w:rPr>
          <w:rFonts w:cs="Times New Roman"/>
          <w:bCs/>
          <w:lang w:val="en-US"/>
        </w:rPr>
        <w:t xml:space="preserve">Consumer Price Index (CPI): </w:t>
      </w:r>
      <w:r w:rsidRPr="00084F2E">
        <w:rPr>
          <w:rFonts w:cs="Times New Roman"/>
          <w:b w:val="0"/>
          <w:bCs/>
          <w:lang w:val="en-US"/>
        </w:rPr>
        <w:t>It is a measure that considers the long-term average change in the cost of a basket of goods and services purchased by final consumers. It usually includes items such as food and drinks, shelter, clothes, transport, health care, entertainment, education, and other products and services (U.S. Bureau of Labor Statistics, 2022).</w:t>
      </w:r>
      <w:r w:rsidRPr="00084F2E">
        <w:rPr>
          <w:rFonts w:cs="Times New Roman"/>
          <w:bCs/>
          <w:lang w:val="en-US"/>
        </w:rPr>
        <w:t xml:space="preserve"> </w:t>
      </w:r>
      <w:r w:rsidRPr="00084F2E">
        <w:rPr>
          <w:rFonts w:cs="Times New Roman"/>
          <w:b w:val="0"/>
          <w:lang w:val="en-US"/>
        </w:rPr>
        <w:t>Rising prices captured by the CPI may indicate inflation, which can erode the competitiveness of agricultural exports if domestic prices rise faster than those in international markets, potentially leading to reduced export volumes (U.S. Bureau of Labor Statistics, 2022).</w:t>
      </w:r>
    </w:p>
    <w:p w14:paraId="1240F053" w14:textId="77777777" w:rsidR="0072282A" w:rsidRPr="00084F2E" w:rsidRDefault="00AB1BEC">
      <w:pPr>
        <w:shd w:val="clear" w:color="auto" w:fill="FFFFFF"/>
        <w:spacing w:after="240" w:line="360" w:lineRule="auto"/>
        <w:jc w:val="both"/>
        <w:rPr>
          <w:rFonts w:cs="Times New Roman"/>
          <w:b w:val="0"/>
          <w:lang w:val="en-US"/>
        </w:rPr>
      </w:pPr>
      <w:r w:rsidRPr="00084F2E">
        <w:rPr>
          <w:rFonts w:cs="Times New Roman"/>
          <w:lang w:val="en-US"/>
        </w:rPr>
        <w:t>TRt (Tariff Revenues):</w:t>
      </w:r>
      <w:r w:rsidRPr="00084F2E">
        <w:rPr>
          <w:rFonts w:cs="Times New Roman"/>
          <w:b w:val="0"/>
          <w:lang w:val="en-US"/>
        </w:rPr>
        <w:t xml:space="preserve"> This reflects the revenue brought into the country in the form of tariffs on imported products at time t. This represents trade policy and may influence international competitive advantage regarding exports (International Labor Organization, 2022). High revenues from tariffs may also mean a protective trade policy of limiting opportunities for foreign competition exists. High tariffs may lead to retaliatory measures and limit access to international markets, negatively affecting agricultural exports (International Labor Organization, 2022).</w:t>
      </w:r>
    </w:p>
    <w:p w14:paraId="60506AC7" w14:textId="77777777" w:rsidR="0072282A" w:rsidRPr="00084F2E" w:rsidRDefault="00AB1BEC">
      <w:pPr>
        <w:shd w:val="clear" w:color="auto" w:fill="FFFFFF"/>
        <w:spacing w:after="240" w:line="360" w:lineRule="auto"/>
        <w:jc w:val="both"/>
        <w:rPr>
          <w:rFonts w:cs="Times New Roman"/>
          <w:b w:val="0"/>
          <w:lang w:val="en-US"/>
        </w:rPr>
      </w:pPr>
      <w:r w:rsidRPr="00084F2E">
        <w:rPr>
          <w:rFonts w:cs="Times New Roman"/>
          <w:lang w:val="en-US"/>
        </w:rPr>
        <w:t>FDIt (Foreign Direct Investment):</w:t>
      </w:r>
      <w:r w:rsidRPr="00084F2E">
        <w:rPr>
          <w:rFonts w:cs="Times New Roman"/>
          <w:b w:val="0"/>
          <w:lang w:val="en-US"/>
        </w:rPr>
        <w:t xml:space="preserve"> This represents the net inflows of investment to the country in year t to foreign direct investment inflows. This represents the level of foreign investment, and subsequently the level of influence on international trade and agricultural exports (International Labor Organization, 2022). An increase in foreign direct investment inflows may result in increased access to capital, technology, and expertise which will subsequently lead an overall </w:t>
      </w:r>
      <w:r w:rsidRPr="00084F2E">
        <w:rPr>
          <w:rFonts w:cs="Times New Roman"/>
          <w:b w:val="0"/>
          <w:lang w:val="en-US"/>
        </w:rPr>
        <w:lastRenderedPageBreak/>
        <w:t>increased production and agricultural export performance (International Labor Organization, 2022).</w:t>
      </w:r>
    </w:p>
    <w:p w14:paraId="081D5134" w14:textId="77777777" w:rsidR="0072282A" w:rsidRPr="00084F2E" w:rsidRDefault="00AB1BEC">
      <w:pPr>
        <w:shd w:val="clear" w:color="auto" w:fill="FFFFFF"/>
        <w:spacing w:after="240" w:line="360" w:lineRule="auto"/>
        <w:jc w:val="both"/>
        <w:rPr>
          <w:rFonts w:cs="Times New Roman"/>
          <w:b w:val="0"/>
          <w:lang w:val="en-US"/>
        </w:rPr>
      </w:pPr>
      <w:r w:rsidRPr="00084F2E">
        <w:rPr>
          <w:rFonts w:cs="Times New Roman"/>
          <w:lang w:val="en-US"/>
        </w:rPr>
        <w:t>Savt (Total Saving):</w:t>
      </w:r>
      <w:r w:rsidRPr="00084F2E">
        <w:rPr>
          <w:rFonts w:cs="Times New Roman"/>
          <w:b w:val="0"/>
          <w:lang w:val="en-US"/>
        </w:rPr>
        <w:t xml:space="preserve"> This the total amount of savings present within the country's borders at time t, which is typically placed into the amount of total investable savings. Total saving can determine the amount that can be determined for investments in other sectors, which would promote the amount of agriculture capital and productivity in the respective economy (WTO, 2022). Higher total savings within a country typically allows for the determination of higher amounts of investment associated with agricultural productivity while enabling higher capable savings (WTO, 2022).</w:t>
      </w:r>
    </w:p>
    <w:p w14:paraId="67C0E37F" w14:textId="06723889" w:rsidR="0072282A" w:rsidRPr="00084F2E" w:rsidRDefault="00AB1BEC">
      <w:pPr>
        <w:shd w:val="clear" w:color="auto" w:fill="FFFFFF"/>
        <w:spacing w:after="240" w:line="360" w:lineRule="auto"/>
        <w:jc w:val="both"/>
        <w:rPr>
          <w:rFonts w:cs="Times New Roman"/>
          <w:b w:val="0"/>
          <w:lang w:val="en-US"/>
        </w:rPr>
      </w:pPr>
      <w:r w:rsidRPr="00084F2E">
        <w:rPr>
          <w:rFonts w:cs="Times New Roman"/>
          <w:lang w:val="en-US"/>
        </w:rPr>
        <w:t>LFt (Agri employment):</w:t>
      </w:r>
      <w:r w:rsidRPr="00084F2E">
        <w:rPr>
          <w:rFonts w:cs="Times New Roman"/>
          <w:b w:val="0"/>
          <w:lang w:val="en-US"/>
        </w:rPr>
        <w:t xml:space="preserve"> </w:t>
      </w:r>
      <w:bookmarkStart w:id="57" w:name="_Hlk187512980"/>
      <w:r w:rsidRPr="00084F2E">
        <w:rPr>
          <w:rFonts w:cs="Times New Roman"/>
          <w:b w:val="0"/>
          <w:lang w:val="en-US"/>
        </w:rPr>
        <w:t>This represents the total number of individuals that comprise the labor force in the country at time t, consisting of people who are both employed and unemployed (International Labour Organization, 2022). Additionally, a larger labor force can supply the required labor for agricultural production; if the labor force is under-skilled or underutilized, this will not contribute to enhancing agricultural export performance (International Labour Organization, 2022).</w:t>
      </w:r>
    </w:p>
    <w:p w14:paraId="67BBC552" w14:textId="604BB925" w:rsidR="00DE2630" w:rsidRPr="00084F2E" w:rsidRDefault="00DE2630" w:rsidP="00DE2630">
      <w:pPr>
        <w:keepNext/>
        <w:keepLines/>
        <w:spacing w:before="200" w:after="240"/>
        <w:outlineLvl w:val="1"/>
        <w:rPr>
          <w:rFonts w:eastAsiaTheme="majorEastAsia" w:cstheme="majorBidi"/>
          <w:bCs/>
          <w:sz w:val="28"/>
          <w:szCs w:val="26"/>
          <w:lang w:val="en-US"/>
        </w:rPr>
      </w:pPr>
      <w:bookmarkStart w:id="58" w:name="_Toc220662022"/>
      <w:r w:rsidRPr="00084F2E">
        <w:rPr>
          <w:rFonts w:eastAsiaTheme="majorEastAsia" w:cstheme="majorBidi"/>
          <w:bCs/>
          <w:sz w:val="28"/>
          <w:szCs w:val="26"/>
          <w:lang w:val="en-US"/>
        </w:rPr>
        <w:t>3.8. Operational definition of study variables</w:t>
      </w:r>
      <w:bookmarkEnd w:id="58"/>
    </w:p>
    <w:p w14:paraId="0E0B8114" w14:textId="77777777" w:rsidR="008A6EDB" w:rsidRPr="00084F2E" w:rsidRDefault="008A6EDB" w:rsidP="00A37187">
      <w:pPr>
        <w:spacing w:before="100" w:beforeAutospacing="1" w:after="100" w:afterAutospacing="1" w:line="360" w:lineRule="auto"/>
        <w:jc w:val="both"/>
        <w:rPr>
          <w:rFonts w:cs="Times New Roman"/>
          <w:b w:val="0"/>
          <w:lang w:val="en-US"/>
        </w:rPr>
      </w:pPr>
      <w:r w:rsidRPr="00084F2E">
        <w:rPr>
          <w:rFonts w:cs="Times New Roman"/>
          <w:bCs/>
          <w:lang w:val="en-US"/>
        </w:rPr>
        <w:t>Export Performance:</w:t>
      </w:r>
      <w:r w:rsidRPr="00084F2E">
        <w:rPr>
          <w:rFonts w:cs="Times New Roman"/>
          <w:b w:val="0"/>
          <w:lang w:val="en-US"/>
        </w:rPr>
        <w:t xml:space="preserve"> Measured as the annual growth rate and total monetary value of agricultural commodities exported from Ethiopia. It is quantified using the Free on Board (FOB) value in US dollars, representing the efficiency of the sector in competing within international markets (Beleska-Spasova, 2014).</w:t>
      </w:r>
    </w:p>
    <w:p w14:paraId="6A638C84" w14:textId="77777777" w:rsidR="008A6EDB" w:rsidRPr="00084F2E" w:rsidRDefault="008A6EDB" w:rsidP="00A37187">
      <w:pPr>
        <w:spacing w:before="100" w:beforeAutospacing="1" w:after="100" w:afterAutospacing="1" w:line="360" w:lineRule="auto"/>
        <w:jc w:val="both"/>
        <w:rPr>
          <w:rFonts w:cs="Times New Roman"/>
          <w:b w:val="0"/>
          <w:lang w:val="en-US"/>
        </w:rPr>
      </w:pPr>
      <w:r w:rsidRPr="00084F2E">
        <w:rPr>
          <w:rFonts w:cs="Times New Roman"/>
          <w:bCs/>
          <w:lang w:val="en-US"/>
        </w:rPr>
        <w:t>Foreign Direct Investment (FDI):</w:t>
      </w:r>
      <w:r w:rsidRPr="00084F2E">
        <w:rPr>
          <w:rFonts w:cs="Times New Roman"/>
          <w:b w:val="0"/>
          <w:lang w:val="en-US"/>
        </w:rPr>
        <w:t xml:space="preserve"> Defined as the net annual inflows of foreign capital specifically allocated to the Ethiopian agricultural sector. This variable is measured in millions of US dollars (USD) as reported by the Ethiopian Investment Commission and the World Bank (Gebremariam &amp; Ying, 2022).</w:t>
      </w:r>
    </w:p>
    <w:p w14:paraId="142DEDF4" w14:textId="48F6DE89" w:rsidR="008A6EDB" w:rsidRPr="00084F2E" w:rsidRDefault="008A6EDB" w:rsidP="00A37187">
      <w:pPr>
        <w:spacing w:before="100" w:beforeAutospacing="1" w:after="100" w:afterAutospacing="1" w:line="360" w:lineRule="auto"/>
        <w:jc w:val="both"/>
        <w:rPr>
          <w:rFonts w:ascii="Courier New" w:hAnsi="Courier New" w:cs="Courier New"/>
          <w:b w:val="0"/>
          <w:sz w:val="20"/>
          <w:szCs w:val="20"/>
          <w:lang w:val="en-US"/>
        </w:rPr>
      </w:pPr>
      <w:r w:rsidRPr="00084F2E">
        <w:rPr>
          <w:rFonts w:cs="Times New Roman"/>
          <w:bCs/>
          <w:lang w:val="en-US"/>
        </w:rPr>
        <w:t>Trade-to-GDP Ratio:</w:t>
      </w:r>
      <w:r w:rsidRPr="00084F2E">
        <w:rPr>
          <w:rFonts w:cs="Times New Roman"/>
          <w:b w:val="0"/>
          <w:lang w:val="en-US"/>
        </w:rPr>
        <w:t xml:space="preserve"> A proxy for economic openness, calculated as the sum of Ethiopia’s total exports and imports divided by the total Gross Domestic Product (GDP) (World Bank, 2023).</w:t>
      </w:r>
    </w:p>
    <w:p w14:paraId="410E52ED" w14:textId="77777777" w:rsidR="008A6EDB" w:rsidRPr="00084F2E" w:rsidRDefault="008A6EDB" w:rsidP="00A37187">
      <w:pPr>
        <w:spacing w:before="100" w:beforeAutospacing="1" w:after="100" w:afterAutospacing="1" w:line="360" w:lineRule="auto"/>
        <w:jc w:val="both"/>
        <w:rPr>
          <w:rFonts w:cs="Times New Roman"/>
          <w:b w:val="0"/>
          <w:lang w:val="en-US"/>
        </w:rPr>
      </w:pPr>
      <w:r w:rsidRPr="00084F2E">
        <w:rPr>
          <w:rFonts w:cs="Times New Roman"/>
          <w:bCs/>
          <w:lang w:val="en-US"/>
        </w:rPr>
        <w:lastRenderedPageBreak/>
        <w:t>Corruption Perceptions Index (CPI):</w:t>
      </w:r>
      <w:r w:rsidRPr="00084F2E">
        <w:rPr>
          <w:rFonts w:cs="Times New Roman"/>
          <w:b w:val="0"/>
          <w:lang w:val="en-US"/>
        </w:rPr>
        <w:t xml:space="preserve"> An annual index score provided by Transparency International that ranks the perceived level of public sector corruption in Ethiopia. The variable is measured on a scale of 0 (highly corrupt) to 100 (very clean), where lower scores indicate higher institutional barriers to trade (Goshu et al., 2024).</w:t>
      </w:r>
    </w:p>
    <w:p w14:paraId="5D902B28" w14:textId="77777777" w:rsidR="008A6EDB" w:rsidRPr="00084F2E" w:rsidRDefault="008A6EDB" w:rsidP="00A37187">
      <w:pPr>
        <w:spacing w:before="100" w:beforeAutospacing="1" w:after="100" w:afterAutospacing="1" w:line="360" w:lineRule="auto"/>
        <w:jc w:val="both"/>
        <w:rPr>
          <w:rFonts w:cs="Times New Roman"/>
          <w:b w:val="0"/>
          <w:lang w:val="en-US"/>
        </w:rPr>
      </w:pPr>
      <w:r w:rsidRPr="00084F2E">
        <w:rPr>
          <w:rFonts w:cs="Times New Roman"/>
          <w:bCs/>
          <w:lang w:val="en-US"/>
        </w:rPr>
        <w:t>Employment in Agriculture:</w:t>
      </w:r>
      <w:r w:rsidRPr="00084F2E">
        <w:rPr>
          <w:rFonts w:cs="Times New Roman"/>
          <w:b w:val="0"/>
          <w:lang w:val="en-US"/>
        </w:rPr>
        <w:t xml:space="preserve"> Defined as the percentage of the total Ethiopian labor force active in the agricultural sector. This includes all persons of working age who, during a specified period, were in paid employment or self-employment within agricultural production (Ashine, 2024).</w:t>
      </w:r>
    </w:p>
    <w:p w14:paraId="7ED48E4B" w14:textId="77777777" w:rsidR="008A6EDB" w:rsidRPr="00084F2E" w:rsidRDefault="008A6EDB" w:rsidP="00A37187">
      <w:pPr>
        <w:spacing w:before="100" w:beforeAutospacing="1" w:after="100" w:afterAutospacing="1" w:line="360" w:lineRule="auto"/>
        <w:jc w:val="both"/>
        <w:rPr>
          <w:rFonts w:cs="Times New Roman"/>
          <w:b w:val="0"/>
          <w:lang w:val="en-US"/>
        </w:rPr>
      </w:pPr>
      <w:r w:rsidRPr="00084F2E">
        <w:rPr>
          <w:rFonts w:cs="Times New Roman"/>
          <w:bCs/>
          <w:lang w:val="en-US"/>
        </w:rPr>
        <w:t>Agricultural Productivity:</w:t>
      </w:r>
      <w:r w:rsidRPr="00084F2E">
        <w:rPr>
          <w:rFonts w:cs="Times New Roman"/>
          <w:b w:val="0"/>
          <w:lang w:val="en-US"/>
        </w:rPr>
        <w:t xml:space="preserve"> Measured as the total agricultural output per unit of land (yield). Specifically, it is quantified as the volume of crop production in kilograms per hectare ( kg/ha ). This serves as a metric for the technical efficiency of the sector (Aragie et al., 2023).</w:t>
      </w:r>
    </w:p>
    <w:p w14:paraId="3B63E19C" w14:textId="77777777" w:rsidR="008A6EDB" w:rsidRPr="00084F2E" w:rsidRDefault="008A6EDB" w:rsidP="00A37187">
      <w:pPr>
        <w:spacing w:before="100" w:beforeAutospacing="1" w:after="100" w:afterAutospacing="1" w:line="360" w:lineRule="auto"/>
        <w:jc w:val="both"/>
        <w:rPr>
          <w:rFonts w:cs="Times New Roman"/>
          <w:b w:val="0"/>
          <w:lang w:val="en-US"/>
        </w:rPr>
      </w:pPr>
      <w:r w:rsidRPr="00084F2E">
        <w:rPr>
          <w:rFonts w:cs="Times New Roman"/>
          <w:bCs/>
          <w:lang w:val="en-US"/>
        </w:rPr>
        <w:t>Agricultural Export Value:</w:t>
      </w:r>
      <w:r w:rsidRPr="00084F2E">
        <w:rPr>
          <w:rFonts w:cs="Times New Roman"/>
          <w:b w:val="0"/>
          <w:lang w:val="en-US"/>
        </w:rPr>
        <w:t xml:space="preserve"> The total annual aggregate value of all agricultural products (including coffee, oilseeds, and pulses) shipped from Ethiopia to the rest of the world. This is measured in constant US dollars to account for inflation (Countries, 2024).</w:t>
      </w:r>
    </w:p>
    <w:p w14:paraId="4AB9E8D0" w14:textId="77777777" w:rsidR="00CD7161" w:rsidRPr="00084F2E" w:rsidRDefault="008A6EDB" w:rsidP="002A39A6">
      <w:pPr>
        <w:shd w:val="clear" w:color="auto" w:fill="FFFFFF"/>
        <w:spacing w:after="240" w:line="360" w:lineRule="auto"/>
        <w:jc w:val="both"/>
        <w:rPr>
          <w:rFonts w:cs="Times New Roman"/>
          <w:b w:val="0"/>
          <w:lang w:val="en-US"/>
        </w:rPr>
      </w:pPr>
      <w:r w:rsidRPr="00084F2E">
        <w:rPr>
          <w:rFonts w:cs="Times New Roman"/>
          <w:bCs/>
          <w:lang w:val="en-US"/>
        </w:rPr>
        <w:t>Trade Agreements Impact:</w:t>
      </w:r>
      <w:r w:rsidRPr="00084F2E">
        <w:rPr>
          <w:rFonts w:cs="Times New Roman"/>
          <w:b w:val="0"/>
          <w:lang w:val="en-US"/>
        </w:rPr>
        <w:t xml:space="preserve"> Measured as a binary dummy variable (0 or 1) indicating Ethiopia’s active participation in or ratification of specific regional or international trade blocks (e.g., AfCFTA, COMESA). A value of 1 represents the presence of an active agreement reducing tariff/non-tariff barriers, while 0 represents its absence (Ajewumi et al., 2024).</w:t>
      </w:r>
    </w:p>
    <w:p w14:paraId="5A4F8AB3" w14:textId="62E05EA8" w:rsidR="00CD7161" w:rsidRPr="00084F2E" w:rsidRDefault="00CD7161" w:rsidP="00CD7161">
      <w:pPr>
        <w:shd w:val="clear" w:color="auto" w:fill="FFFFFF"/>
        <w:spacing w:after="240" w:line="360" w:lineRule="auto"/>
        <w:jc w:val="both"/>
        <w:rPr>
          <w:rFonts w:cs="Times New Roman"/>
          <w:b w:val="0"/>
          <w:lang w:val="en-US"/>
        </w:rPr>
      </w:pPr>
      <w:r w:rsidRPr="00084F2E">
        <w:rPr>
          <w:rFonts w:cs="Times New Roman"/>
          <w:b w:val="0"/>
          <w:lang w:val="en-US"/>
        </w:rPr>
        <w:t xml:space="preserve">Table: The expected signs of study variables </w:t>
      </w:r>
    </w:p>
    <w:tbl>
      <w:tblPr>
        <w:tblStyle w:val="TableGridLight1"/>
        <w:tblW w:w="0" w:type="auto"/>
        <w:tblInd w:w="0" w:type="dxa"/>
        <w:tblLook w:val="04A0" w:firstRow="1" w:lastRow="0" w:firstColumn="1" w:lastColumn="0" w:noHBand="0" w:noVBand="1"/>
      </w:tblPr>
      <w:tblGrid>
        <w:gridCol w:w="2219"/>
        <w:gridCol w:w="963"/>
        <w:gridCol w:w="4662"/>
        <w:gridCol w:w="1506"/>
      </w:tblGrid>
      <w:tr w:rsidR="00084F2E" w:rsidRPr="00084F2E" w14:paraId="1C8D3C6A" w14:textId="77777777" w:rsidTr="00677688">
        <w:tc>
          <w:tcPr>
            <w:tcW w:w="0" w:type="auto"/>
            <w:tcBorders>
              <w:top w:val="single" w:sz="4" w:space="0" w:color="BFBFBF"/>
              <w:left w:val="single" w:sz="4" w:space="0" w:color="BFBFBF"/>
              <w:bottom w:val="single" w:sz="4" w:space="0" w:color="BFBFBF"/>
              <w:right w:val="single" w:sz="4" w:space="0" w:color="BFBFBF"/>
            </w:tcBorders>
            <w:hideMark/>
          </w:tcPr>
          <w:p w14:paraId="3888E68B" w14:textId="77777777" w:rsidR="00CD7161" w:rsidRPr="00084F2E" w:rsidRDefault="00CD7161" w:rsidP="00677688">
            <w:pPr>
              <w:spacing w:line="360" w:lineRule="auto"/>
              <w:rPr>
                <w:rFonts w:cs="Times New Roman"/>
                <w:b w:val="0"/>
                <w:lang w:val="en-US"/>
              </w:rPr>
            </w:pPr>
            <w:r w:rsidRPr="00084F2E">
              <w:rPr>
                <w:rFonts w:cs="Times New Roman"/>
                <w:b w:val="0"/>
                <w:lang w:val="en-US"/>
              </w:rPr>
              <w:t>Variable</w:t>
            </w:r>
          </w:p>
        </w:tc>
        <w:tc>
          <w:tcPr>
            <w:tcW w:w="0" w:type="auto"/>
            <w:tcBorders>
              <w:top w:val="single" w:sz="4" w:space="0" w:color="BFBFBF"/>
              <w:left w:val="single" w:sz="4" w:space="0" w:color="BFBFBF"/>
              <w:bottom w:val="single" w:sz="4" w:space="0" w:color="BFBFBF"/>
              <w:right w:val="single" w:sz="4" w:space="0" w:color="BFBFBF"/>
            </w:tcBorders>
            <w:hideMark/>
          </w:tcPr>
          <w:p w14:paraId="77014373" w14:textId="77777777" w:rsidR="00CD7161" w:rsidRPr="00084F2E" w:rsidRDefault="00CD7161" w:rsidP="00677688">
            <w:pPr>
              <w:spacing w:line="360" w:lineRule="auto"/>
              <w:rPr>
                <w:rFonts w:cs="Times New Roman"/>
                <w:b w:val="0"/>
                <w:lang w:val="en-US"/>
              </w:rPr>
            </w:pPr>
            <w:r w:rsidRPr="00084F2E">
              <w:rPr>
                <w:rFonts w:cs="Times New Roman"/>
                <w:b w:val="0"/>
                <w:lang w:val="en-US"/>
              </w:rPr>
              <w:t>Symbol</w:t>
            </w:r>
          </w:p>
        </w:tc>
        <w:tc>
          <w:tcPr>
            <w:tcW w:w="0" w:type="auto"/>
            <w:tcBorders>
              <w:top w:val="single" w:sz="4" w:space="0" w:color="BFBFBF"/>
              <w:left w:val="single" w:sz="4" w:space="0" w:color="BFBFBF"/>
              <w:bottom w:val="single" w:sz="4" w:space="0" w:color="BFBFBF"/>
              <w:right w:val="single" w:sz="4" w:space="0" w:color="BFBFBF"/>
            </w:tcBorders>
            <w:hideMark/>
          </w:tcPr>
          <w:p w14:paraId="068594A2" w14:textId="77777777" w:rsidR="00CD7161" w:rsidRPr="00084F2E" w:rsidRDefault="00CD7161" w:rsidP="00677688">
            <w:pPr>
              <w:spacing w:line="360" w:lineRule="auto"/>
              <w:rPr>
                <w:rFonts w:cs="Times New Roman"/>
                <w:b w:val="0"/>
                <w:lang w:val="en-US"/>
              </w:rPr>
            </w:pPr>
            <w:r w:rsidRPr="00084F2E">
              <w:rPr>
                <w:rFonts w:cs="Times New Roman"/>
                <w:b w:val="0"/>
                <w:lang w:val="en-US"/>
              </w:rPr>
              <w:t>Measurement/Unit</w:t>
            </w:r>
          </w:p>
        </w:tc>
        <w:tc>
          <w:tcPr>
            <w:tcW w:w="0" w:type="auto"/>
            <w:tcBorders>
              <w:top w:val="single" w:sz="4" w:space="0" w:color="BFBFBF"/>
              <w:left w:val="single" w:sz="4" w:space="0" w:color="BFBFBF"/>
              <w:bottom w:val="single" w:sz="4" w:space="0" w:color="BFBFBF"/>
              <w:right w:val="single" w:sz="4" w:space="0" w:color="BFBFBF"/>
            </w:tcBorders>
            <w:hideMark/>
          </w:tcPr>
          <w:p w14:paraId="4DA3B616" w14:textId="77777777" w:rsidR="00CD7161" w:rsidRPr="00084F2E" w:rsidRDefault="00CD7161" w:rsidP="00677688">
            <w:pPr>
              <w:spacing w:line="360" w:lineRule="auto"/>
              <w:rPr>
                <w:rFonts w:cs="Times New Roman"/>
                <w:b w:val="0"/>
                <w:lang w:val="en-US"/>
              </w:rPr>
            </w:pPr>
            <w:r w:rsidRPr="00084F2E">
              <w:rPr>
                <w:rFonts w:cs="Times New Roman"/>
                <w:b w:val="0"/>
                <w:lang w:val="en-US"/>
              </w:rPr>
              <w:t>Expected Sign</w:t>
            </w:r>
          </w:p>
        </w:tc>
      </w:tr>
      <w:tr w:rsidR="00084F2E" w:rsidRPr="00084F2E" w14:paraId="16BB213E" w14:textId="77777777" w:rsidTr="00677688">
        <w:tc>
          <w:tcPr>
            <w:tcW w:w="0" w:type="auto"/>
            <w:tcBorders>
              <w:top w:val="single" w:sz="4" w:space="0" w:color="BFBFBF"/>
              <w:left w:val="single" w:sz="4" w:space="0" w:color="BFBFBF"/>
              <w:bottom w:val="single" w:sz="4" w:space="0" w:color="BFBFBF"/>
              <w:right w:val="single" w:sz="4" w:space="0" w:color="BFBFBF"/>
            </w:tcBorders>
            <w:hideMark/>
          </w:tcPr>
          <w:p w14:paraId="715380DA" w14:textId="77777777" w:rsidR="00CD7161" w:rsidRPr="00084F2E" w:rsidRDefault="00CD7161" w:rsidP="00677688">
            <w:pPr>
              <w:spacing w:line="360" w:lineRule="auto"/>
              <w:rPr>
                <w:rFonts w:cs="Times New Roman"/>
                <w:b w:val="0"/>
                <w:lang w:val="en-US"/>
              </w:rPr>
            </w:pPr>
            <w:r w:rsidRPr="00084F2E">
              <w:rPr>
                <w:rFonts w:cs="Times New Roman"/>
                <w:b w:val="0"/>
                <w:bCs/>
                <w:lang w:val="en-US"/>
              </w:rPr>
              <w:t>Agricultural Exports</w:t>
            </w:r>
          </w:p>
        </w:tc>
        <w:tc>
          <w:tcPr>
            <w:tcW w:w="0" w:type="auto"/>
            <w:tcBorders>
              <w:top w:val="single" w:sz="4" w:space="0" w:color="BFBFBF"/>
              <w:left w:val="single" w:sz="4" w:space="0" w:color="BFBFBF"/>
              <w:bottom w:val="single" w:sz="4" w:space="0" w:color="BFBFBF"/>
              <w:right w:val="single" w:sz="4" w:space="0" w:color="BFBFBF"/>
            </w:tcBorders>
            <w:hideMark/>
          </w:tcPr>
          <w:p w14:paraId="2B831CF0" w14:textId="77777777" w:rsidR="00CD7161" w:rsidRPr="00084F2E" w:rsidRDefault="00CD7161" w:rsidP="00677688">
            <w:pPr>
              <w:spacing w:line="360" w:lineRule="auto"/>
              <w:rPr>
                <w:rFonts w:cs="Times New Roman"/>
                <w:b w:val="0"/>
                <w:lang w:val="en-US"/>
              </w:rPr>
            </w:pPr>
            <w:r w:rsidRPr="00084F2E">
              <w:rPr>
                <w:rFonts w:cs="Times New Roman"/>
                <w:b w:val="0"/>
                <w:lang w:val="en-US"/>
              </w:rPr>
              <w:t>AEXP</w:t>
            </w:r>
          </w:p>
        </w:tc>
        <w:tc>
          <w:tcPr>
            <w:tcW w:w="0" w:type="auto"/>
            <w:tcBorders>
              <w:top w:val="single" w:sz="4" w:space="0" w:color="BFBFBF"/>
              <w:left w:val="single" w:sz="4" w:space="0" w:color="BFBFBF"/>
              <w:bottom w:val="single" w:sz="4" w:space="0" w:color="BFBFBF"/>
              <w:right w:val="single" w:sz="4" w:space="0" w:color="BFBFBF"/>
            </w:tcBorders>
            <w:hideMark/>
          </w:tcPr>
          <w:p w14:paraId="5FF9F2D6" w14:textId="77777777" w:rsidR="00CD7161" w:rsidRPr="00084F2E" w:rsidRDefault="00CD7161" w:rsidP="00677688">
            <w:pPr>
              <w:spacing w:line="360" w:lineRule="auto"/>
              <w:rPr>
                <w:rFonts w:cs="Times New Roman"/>
                <w:b w:val="0"/>
                <w:lang w:val="en-US"/>
              </w:rPr>
            </w:pPr>
            <w:r w:rsidRPr="00084F2E">
              <w:rPr>
                <w:rFonts w:cs="Times New Roman"/>
                <w:b w:val="0"/>
                <w:lang w:val="en-US"/>
              </w:rPr>
              <w:t>Natural Log of total annual export value (USD)</w:t>
            </w:r>
          </w:p>
        </w:tc>
        <w:tc>
          <w:tcPr>
            <w:tcW w:w="0" w:type="auto"/>
            <w:tcBorders>
              <w:top w:val="single" w:sz="4" w:space="0" w:color="BFBFBF"/>
              <w:left w:val="single" w:sz="4" w:space="0" w:color="BFBFBF"/>
              <w:bottom w:val="single" w:sz="4" w:space="0" w:color="BFBFBF"/>
              <w:right w:val="single" w:sz="4" w:space="0" w:color="BFBFBF"/>
            </w:tcBorders>
            <w:hideMark/>
          </w:tcPr>
          <w:p w14:paraId="12E5D8CE" w14:textId="77777777" w:rsidR="00CD7161" w:rsidRPr="00084F2E" w:rsidRDefault="00CD7161" w:rsidP="00677688">
            <w:pPr>
              <w:spacing w:line="360" w:lineRule="auto"/>
              <w:rPr>
                <w:rFonts w:cs="Times New Roman"/>
                <w:b w:val="0"/>
                <w:lang w:val="en-US"/>
              </w:rPr>
            </w:pPr>
            <w:r w:rsidRPr="00084F2E">
              <w:rPr>
                <w:rFonts w:cs="Times New Roman"/>
                <w:b w:val="0"/>
                <w:lang w:val="en-US"/>
              </w:rPr>
              <w:t>Dependent</w:t>
            </w:r>
          </w:p>
        </w:tc>
      </w:tr>
      <w:tr w:rsidR="00084F2E" w:rsidRPr="00084F2E" w14:paraId="20B33A71" w14:textId="77777777" w:rsidTr="00677688">
        <w:tc>
          <w:tcPr>
            <w:tcW w:w="0" w:type="auto"/>
            <w:tcBorders>
              <w:top w:val="single" w:sz="4" w:space="0" w:color="BFBFBF"/>
              <w:left w:val="single" w:sz="4" w:space="0" w:color="BFBFBF"/>
              <w:bottom w:val="single" w:sz="4" w:space="0" w:color="BFBFBF"/>
              <w:right w:val="single" w:sz="4" w:space="0" w:color="BFBFBF"/>
            </w:tcBorders>
            <w:hideMark/>
          </w:tcPr>
          <w:p w14:paraId="23F7092A" w14:textId="77777777" w:rsidR="00CD7161" w:rsidRPr="00084F2E" w:rsidRDefault="00CD7161" w:rsidP="00677688">
            <w:pPr>
              <w:spacing w:line="360" w:lineRule="auto"/>
              <w:rPr>
                <w:rFonts w:cs="Times New Roman"/>
                <w:b w:val="0"/>
                <w:lang w:val="en-US"/>
              </w:rPr>
            </w:pPr>
            <w:r w:rsidRPr="00084F2E">
              <w:rPr>
                <w:rFonts w:cs="Times New Roman"/>
                <w:b w:val="0"/>
                <w:bCs/>
                <w:lang w:val="en-US"/>
              </w:rPr>
              <w:t>Gross Domestic Product</w:t>
            </w:r>
          </w:p>
        </w:tc>
        <w:tc>
          <w:tcPr>
            <w:tcW w:w="0" w:type="auto"/>
            <w:tcBorders>
              <w:top w:val="single" w:sz="4" w:space="0" w:color="BFBFBF"/>
              <w:left w:val="single" w:sz="4" w:space="0" w:color="BFBFBF"/>
              <w:bottom w:val="single" w:sz="4" w:space="0" w:color="BFBFBF"/>
              <w:right w:val="single" w:sz="4" w:space="0" w:color="BFBFBF"/>
            </w:tcBorders>
            <w:hideMark/>
          </w:tcPr>
          <w:p w14:paraId="5727483A" w14:textId="77777777" w:rsidR="00CD7161" w:rsidRPr="00084F2E" w:rsidRDefault="00CD7161" w:rsidP="00677688">
            <w:pPr>
              <w:spacing w:line="360" w:lineRule="auto"/>
              <w:rPr>
                <w:rFonts w:cs="Times New Roman"/>
                <w:b w:val="0"/>
                <w:lang w:val="en-US"/>
              </w:rPr>
            </w:pPr>
            <w:r w:rsidRPr="00084F2E">
              <w:rPr>
                <w:rFonts w:cs="Times New Roman"/>
                <w:b w:val="0"/>
                <w:lang w:val="en-US"/>
              </w:rPr>
              <w:t>GDP</w:t>
            </w:r>
          </w:p>
        </w:tc>
        <w:tc>
          <w:tcPr>
            <w:tcW w:w="0" w:type="auto"/>
            <w:tcBorders>
              <w:top w:val="single" w:sz="4" w:space="0" w:color="BFBFBF"/>
              <w:left w:val="single" w:sz="4" w:space="0" w:color="BFBFBF"/>
              <w:bottom w:val="single" w:sz="4" w:space="0" w:color="BFBFBF"/>
              <w:right w:val="single" w:sz="4" w:space="0" w:color="BFBFBF"/>
            </w:tcBorders>
            <w:hideMark/>
          </w:tcPr>
          <w:p w14:paraId="190ACD36" w14:textId="77777777" w:rsidR="00CD7161" w:rsidRPr="00084F2E" w:rsidRDefault="00CD7161" w:rsidP="00677688">
            <w:pPr>
              <w:spacing w:line="360" w:lineRule="auto"/>
              <w:rPr>
                <w:rFonts w:cs="Times New Roman"/>
                <w:b w:val="0"/>
                <w:lang w:val="en-US"/>
              </w:rPr>
            </w:pPr>
            <w:r w:rsidRPr="00084F2E">
              <w:rPr>
                <w:rFonts w:cs="Times New Roman"/>
                <w:b w:val="0"/>
                <w:lang w:val="en-US"/>
              </w:rPr>
              <w:t>Natural Log of Real GDP (proxy for production capacity)</w:t>
            </w:r>
          </w:p>
        </w:tc>
        <w:tc>
          <w:tcPr>
            <w:tcW w:w="0" w:type="auto"/>
            <w:tcBorders>
              <w:top w:val="single" w:sz="4" w:space="0" w:color="BFBFBF"/>
              <w:left w:val="single" w:sz="4" w:space="0" w:color="BFBFBF"/>
              <w:bottom w:val="single" w:sz="4" w:space="0" w:color="BFBFBF"/>
              <w:right w:val="single" w:sz="4" w:space="0" w:color="BFBFBF"/>
            </w:tcBorders>
            <w:hideMark/>
          </w:tcPr>
          <w:p w14:paraId="4E6F58EC" w14:textId="77777777" w:rsidR="00CD7161" w:rsidRPr="00084F2E" w:rsidRDefault="00CD7161" w:rsidP="00677688">
            <w:pPr>
              <w:spacing w:line="360" w:lineRule="auto"/>
              <w:rPr>
                <w:rFonts w:cs="Times New Roman"/>
                <w:b w:val="0"/>
                <w:lang w:val="en-US"/>
              </w:rPr>
            </w:pPr>
            <w:r w:rsidRPr="00084F2E">
              <w:rPr>
                <w:rFonts w:cs="Times New Roman"/>
                <w:b w:val="0"/>
                <w:lang w:val="en-US"/>
              </w:rPr>
              <w:t>(+)</w:t>
            </w:r>
          </w:p>
        </w:tc>
      </w:tr>
      <w:tr w:rsidR="00084F2E" w:rsidRPr="00084F2E" w14:paraId="6504D987" w14:textId="77777777" w:rsidTr="00677688">
        <w:tc>
          <w:tcPr>
            <w:tcW w:w="0" w:type="auto"/>
            <w:tcBorders>
              <w:top w:val="single" w:sz="4" w:space="0" w:color="BFBFBF"/>
              <w:left w:val="single" w:sz="4" w:space="0" w:color="BFBFBF"/>
              <w:bottom w:val="single" w:sz="4" w:space="0" w:color="BFBFBF"/>
              <w:right w:val="single" w:sz="4" w:space="0" w:color="BFBFBF"/>
            </w:tcBorders>
            <w:hideMark/>
          </w:tcPr>
          <w:p w14:paraId="16D5B953" w14:textId="77777777" w:rsidR="00CD7161" w:rsidRPr="00084F2E" w:rsidRDefault="00CD7161" w:rsidP="00677688">
            <w:pPr>
              <w:spacing w:line="360" w:lineRule="auto"/>
              <w:rPr>
                <w:rFonts w:cs="Times New Roman"/>
                <w:b w:val="0"/>
                <w:lang w:val="en-US"/>
              </w:rPr>
            </w:pPr>
            <w:r w:rsidRPr="00084F2E">
              <w:rPr>
                <w:rFonts w:cs="Times New Roman"/>
                <w:b w:val="0"/>
                <w:bCs/>
                <w:lang w:val="en-US"/>
              </w:rPr>
              <w:t>Corruption Index</w:t>
            </w:r>
          </w:p>
        </w:tc>
        <w:tc>
          <w:tcPr>
            <w:tcW w:w="0" w:type="auto"/>
            <w:tcBorders>
              <w:top w:val="single" w:sz="4" w:space="0" w:color="BFBFBF"/>
              <w:left w:val="single" w:sz="4" w:space="0" w:color="BFBFBF"/>
              <w:bottom w:val="single" w:sz="4" w:space="0" w:color="BFBFBF"/>
              <w:right w:val="single" w:sz="4" w:space="0" w:color="BFBFBF"/>
            </w:tcBorders>
            <w:hideMark/>
          </w:tcPr>
          <w:p w14:paraId="20336871" w14:textId="77777777" w:rsidR="00CD7161" w:rsidRPr="00084F2E" w:rsidRDefault="00CD7161" w:rsidP="00677688">
            <w:pPr>
              <w:spacing w:line="360" w:lineRule="auto"/>
              <w:rPr>
                <w:rFonts w:cs="Times New Roman"/>
                <w:b w:val="0"/>
                <w:lang w:val="en-US"/>
              </w:rPr>
            </w:pPr>
            <w:r w:rsidRPr="00084F2E">
              <w:rPr>
                <w:rFonts w:cs="Times New Roman"/>
                <w:b w:val="0"/>
                <w:lang w:val="en-US"/>
              </w:rPr>
              <w:t>CORR</w:t>
            </w:r>
          </w:p>
        </w:tc>
        <w:tc>
          <w:tcPr>
            <w:tcW w:w="0" w:type="auto"/>
            <w:tcBorders>
              <w:top w:val="single" w:sz="4" w:space="0" w:color="BFBFBF"/>
              <w:left w:val="single" w:sz="4" w:space="0" w:color="BFBFBF"/>
              <w:bottom w:val="single" w:sz="4" w:space="0" w:color="BFBFBF"/>
              <w:right w:val="single" w:sz="4" w:space="0" w:color="BFBFBF"/>
            </w:tcBorders>
            <w:hideMark/>
          </w:tcPr>
          <w:p w14:paraId="6F3A6EDF" w14:textId="77777777" w:rsidR="00CD7161" w:rsidRPr="00084F2E" w:rsidRDefault="00CD7161" w:rsidP="00677688">
            <w:pPr>
              <w:spacing w:line="360" w:lineRule="auto"/>
              <w:rPr>
                <w:rFonts w:cs="Times New Roman"/>
                <w:b w:val="0"/>
                <w:lang w:val="en-US"/>
              </w:rPr>
            </w:pPr>
            <w:r w:rsidRPr="00084F2E">
              <w:rPr>
                <w:rFonts w:cs="Times New Roman"/>
                <w:b w:val="0"/>
                <w:lang w:val="en-US"/>
              </w:rPr>
              <w:t>Normalized score (-2.5 to +2.5)</w:t>
            </w:r>
          </w:p>
        </w:tc>
        <w:tc>
          <w:tcPr>
            <w:tcW w:w="0" w:type="auto"/>
            <w:tcBorders>
              <w:top w:val="single" w:sz="4" w:space="0" w:color="BFBFBF"/>
              <w:left w:val="single" w:sz="4" w:space="0" w:color="BFBFBF"/>
              <w:bottom w:val="single" w:sz="4" w:space="0" w:color="BFBFBF"/>
              <w:right w:val="single" w:sz="4" w:space="0" w:color="BFBFBF"/>
            </w:tcBorders>
            <w:hideMark/>
          </w:tcPr>
          <w:p w14:paraId="2FBC4737" w14:textId="77777777" w:rsidR="00CD7161" w:rsidRPr="00084F2E" w:rsidRDefault="00CD7161" w:rsidP="00677688">
            <w:pPr>
              <w:spacing w:line="360" w:lineRule="auto"/>
              <w:rPr>
                <w:rFonts w:cs="Times New Roman"/>
                <w:b w:val="0"/>
                <w:lang w:val="en-US"/>
              </w:rPr>
            </w:pPr>
            <w:r w:rsidRPr="00084F2E">
              <w:rPr>
                <w:rFonts w:cs="Times New Roman"/>
                <w:b w:val="0"/>
                <w:lang w:val="en-US"/>
              </w:rPr>
              <w:t>(+)</w:t>
            </w:r>
          </w:p>
        </w:tc>
      </w:tr>
      <w:tr w:rsidR="00084F2E" w:rsidRPr="00084F2E" w14:paraId="64A7C105" w14:textId="77777777" w:rsidTr="00677688">
        <w:tc>
          <w:tcPr>
            <w:tcW w:w="0" w:type="auto"/>
            <w:tcBorders>
              <w:top w:val="single" w:sz="4" w:space="0" w:color="BFBFBF"/>
              <w:left w:val="single" w:sz="4" w:space="0" w:color="BFBFBF"/>
              <w:bottom w:val="single" w:sz="4" w:space="0" w:color="BFBFBF"/>
              <w:right w:val="single" w:sz="4" w:space="0" w:color="BFBFBF"/>
            </w:tcBorders>
            <w:hideMark/>
          </w:tcPr>
          <w:p w14:paraId="0619F400" w14:textId="77777777" w:rsidR="00CD7161" w:rsidRPr="00084F2E" w:rsidRDefault="00CD7161" w:rsidP="00677688">
            <w:pPr>
              <w:spacing w:line="360" w:lineRule="auto"/>
              <w:rPr>
                <w:rFonts w:cs="Times New Roman"/>
                <w:b w:val="0"/>
                <w:lang w:val="en-US"/>
              </w:rPr>
            </w:pPr>
            <w:r w:rsidRPr="00084F2E">
              <w:rPr>
                <w:rFonts w:cs="Times New Roman"/>
                <w:b w:val="0"/>
                <w:bCs/>
                <w:lang w:val="en-US"/>
              </w:rPr>
              <w:t>Consumer Price Index</w:t>
            </w:r>
          </w:p>
        </w:tc>
        <w:tc>
          <w:tcPr>
            <w:tcW w:w="0" w:type="auto"/>
            <w:tcBorders>
              <w:top w:val="single" w:sz="4" w:space="0" w:color="BFBFBF"/>
              <w:left w:val="single" w:sz="4" w:space="0" w:color="BFBFBF"/>
              <w:bottom w:val="single" w:sz="4" w:space="0" w:color="BFBFBF"/>
              <w:right w:val="single" w:sz="4" w:space="0" w:color="BFBFBF"/>
            </w:tcBorders>
            <w:hideMark/>
          </w:tcPr>
          <w:p w14:paraId="2CB26351" w14:textId="77777777" w:rsidR="00CD7161" w:rsidRPr="00084F2E" w:rsidRDefault="00CD7161" w:rsidP="00677688">
            <w:pPr>
              <w:spacing w:line="360" w:lineRule="auto"/>
              <w:rPr>
                <w:rFonts w:cs="Times New Roman"/>
                <w:b w:val="0"/>
                <w:lang w:val="en-US"/>
              </w:rPr>
            </w:pPr>
            <w:r w:rsidRPr="00084F2E">
              <w:rPr>
                <w:rFonts w:cs="Times New Roman"/>
                <w:b w:val="0"/>
                <w:lang w:val="en-US"/>
              </w:rPr>
              <w:t>CPI</w:t>
            </w:r>
          </w:p>
        </w:tc>
        <w:tc>
          <w:tcPr>
            <w:tcW w:w="0" w:type="auto"/>
            <w:tcBorders>
              <w:top w:val="single" w:sz="4" w:space="0" w:color="BFBFBF"/>
              <w:left w:val="single" w:sz="4" w:space="0" w:color="BFBFBF"/>
              <w:bottom w:val="single" w:sz="4" w:space="0" w:color="BFBFBF"/>
              <w:right w:val="single" w:sz="4" w:space="0" w:color="BFBFBF"/>
            </w:tcBorders>
            <w:hideMark/>
          </w:tcPr>
          <w:p w14:paraId="5298E08F" w14:textId="77777777" w:rsidR="00CD7161" w:rsidRPr="00084F2E" w:rsidRDefault="00CD7161" w:rsidP="00677688">
            <w:pPr>
              <w:spacing w:line="360" w:lineRule="auto"/>
              <w:rPr>
                <w:rFonts w:cs="Times New Roman"/>
                <w:b w:val="0"/>
                <w:lang w:val="en-US"/>
              </w:rPr>
            </w:pPr>
            <w:r w:rsidRPr="00084F2E">
              <w:rPr>
                <w:rFonts w:cs="Times New Roman"/>
                <w:b w:val="0"/>
                <w:lang w:val="en-US"/>
              </w:rPr>
              <w:t>Annual percentage change (Inflation)</w:t>
            </w:r>
          </w:p>
        </w:tc>
        <w:tc>
          <w:tcPr>
            <w:tcW w:w="0" w:type="auto"/>
            <w:tcBorders>
              <w:top w:val="single" w:sz="4" w:space="0" w:color="BFBFBF"/>
              <w:left w:val="single" w:sz="4" w:space="0" w:color="BFBFBF"/>
              <w:bottom w:val="single" w:sz="4" w:space="0" w:color="BFBFBF"/>
              <w:right w:val="single" w:sz="4" w:space="0" w:color="BFBFBF"/>
            </w:tcBorders>
            <w:hideMark/>
          </w:tcPr>
          <w:p w14:paraId="4DEBA863" w14:textId="77777777" w:rsidR="00CD7161" w:rsidRPr="00084F2E" w:rsidRDefault="00CD7161" w:rsidP="00677688">
            <w:pPr>
              <w:spacing w:line="360" w:lineRule="auto"/>
              <w:rPr>
                <w:rFonts w:cs="Times New Roman"/>
                <w:b w:val="0"/>
                <w:lang w:val="en-US"/>
              </w:rPr>
            </w:pPr>
            <w:r w:rsidRPr="00084F2E">
              <w:rPr>
                <w:rFonts w:cs="Times New Roman"/>
                <w:b w:val="0"/>
                <w:lang w:val="en-US"/>
              </w:rPr>
              <w:t>(-)</w:t>
            </w:r>
          </w:p>
        </w:tc>
      </w:tr>
      <w:tr w:rsidR="00084F2E" w:rsidRPr="00084F2E" w14:paraId="3CC28C35" w14:textId="77777777" w:rsidTr="00677688">
        <w:tc>
          <w:tcPr>
            <w:tcW w:w="0" w:type="auto"/>
            <w:tcBorders>
              <w:top w:val="single" w:sz="4" w:space="0" w:color="BFBFBF"/>
              <w:left w:val="single" w:sz="4" w:space="0" w:color="BFBFBF"/>
              <w:bottom w:val="single" w:sz="4" w:space="0" w:color="BFBFBF"/>
              <w:right w:val="single" w:sz="4" w:space="0" w:color="BFBFBF"/>
            </w:tcBorders>
            <w:hideMark/>
          </w:tcPr>
          <w:p w14:paraId="12A4BB9B" w14:textId="77777777" w:rsidR="00CD7161" w:rsidRPr="00084F2E" w:rsidRDefault="00CD7161" w:rsidP="00677688">
            <w:pPr>
              <w:spacing w:line="360" w:lineRule="auto"/>
              <w:rPr>
                <w:rFonts w:cs="Times New Roman"/>
                <w:b w:val="0"/>
                <w:lang w:val="en-US"/>
              </w:rPr>
            </w:pPr>
            <w:r w:rsidRPr="00084F2E">
              <w:rPr>
                <w:rFonts w:cs="Times New Roman"/>
                <w:b w:val="0"/>
                <w:bCs/>
                <w:lang w:val="en-US"/>
              </w:rPr>
              <w:lastRenderedPageBreak/>
              <w:t>Foreign Investment</w:t>
            </w:r>
          </w:p>
        </w:tc>
        <w:tc>
          <w:tcPr>
            <w:tcW w:w="0" w:type="auto"/>
            <w:tcBorders>
              <w:top w:val="single" w:sz="4" w:space="0" w:color="BFBFBF"/>
              <w:left w:val="single" w:sz="4" w:space="0" w:color="BFBFBF"/>
              <w:bottom w:val="single" w:sz="4" w:space="0" w:color="BFBFBF"/>
              <w:right w:val="single" w:sz="4" w:space="0" w:color="BFBFBF"/>
            </w:tcBorders>
            <w:hideMark/>
          </w:tcPr>
          <w:p w14:paraId="54BDD42B" w14:textId="77777777" w:rsidR="00CD7161" w:rsidRPr="00084F2E" w:rsidRDefault="00CD7161" w:rsidP="00677688">
            <w:pPr>
              <w:spacing w:line="360" w:lineRule="auto"/>
              <w:rPr>
                <w:rFonts w:cs="Times New Roman"/>
                <w:b w:val="0"/>
                <w:lang w:val="en-US"/>
              </w:rPr>
            </w:pPr>
            <w:r w:rsidRPr="00084F2E">
              <w:rPr>
                <w:rFonts w:cs="Times New Roman"/>
                <w:b w:val="0"/>
                <w:lang w:val="en-US"/>
              </w:rPr>
              <w:t>FDI</w:t>
            </w:r>
          </w:p>
        </w:tc>
        <w:tc>
          <w:tcPr>
            <w:tcW w:w="0" w:type="auto"/>
            <w:tcBorders>
              <w:top w:val="single" w:sz="4" w:space="0" w:color="BFBFBF"/>
              <w:left w:val="single" w:sz="4" w:space="0" w:color="BFBFBF"/>
              <w:bottom w:val="single" w:sz="4" w:space="0" w:color="BFBFBF"/>
              <w:right w:val="single" w:sz="4" w:space="0" w:color="BFBFBF"/>
            </w:tcBorders>
            <w:hideMark/>
          </w:tcPr>
          <w:p w14:paraId="11814B91" w14:textId="77777777" w:rsidR="00CD7161" w:rsidRPr="00084F2E" w:rsidRDefault="00CD7161" w:rsidP="00677688">
            <w:pPr>
              <w:spacing w:line="360" w:lineRule="auto"/>
              <w:rPr>
                <w:rFonts w:cs="Times New Roman"/>
                <w:b w:val="0"/>
                <w:lang w:val="en-US"/>
              </w:rPr>
            </w:pPr>
            <w:r w:rsidRPr="00084F2E">
              <w:rPr>
                <w:rFonts w:cs="Times New Roman"/>
                <w:b w:val="0"/>
                <w:lang w:val="en-US"/>
              </w:rPr>
              <w:t>Natural Log of net FDI inflows</w:t>
            </w:r>
          </w:p>
        </w:tc>
        <w:tc>
          <w:tcPr>
            <w:tcW w:w="0" w:type="auto"/>
            <w:tcBorders>
              <w:top w:val="single" w:sz="4" w:space="0" w:color="BFBFBF"/>
              <w:left w:val="single" w:sz="4" w:space="0" w:color="BFBFBF"/>
              <w:bottom w:val="single" w:sz="4" w:space="0" w:color="BFBFBF"/>
              <w:right w:val="single" w:sz="4" w:space="0" w:color="BFBFBF"/>
            </w:tcBorders>
            <w:hideMark/>
          </w:tcPr>
          <w:p w14:paraId="283CBA44" w14:textId="77777777" w:rsidR="00CD7161" w:rsidRPr="00084F2E" w:rsidRDefault="00CD7161" w:rsidP="00677688">
            <w:pPr>
              <w:spacing w:line="360" w:lineRule="auto"/>
              <w:rPr>
                <w:rFonts w:cs="Times New Roman"/>
                <w:b w:val="0"/>
                <w:lang w:val="en-US"/>
              </w:rPr>
            </w:pPr>
            <w:r w:rsidRPr="00084F2E">
              <w:rPr>
                <w:rFonts w:cs="Times New Roman"/>
                <w:b w:val="0"/>
                <w:lang w:val="en-US"/>
              </w:rPr>
              <w:t>(+)</w:t>
            </w:r>
          </w:p>
        </w:tc>
      </w:tr>
      <w:tr w:rsidR="00084F2E" w:rsidRPr="00084F2E" w14:paraId="12E1FC16" w14:textId="77777777" w:rsidTr="00677688">
        <w:tc>
          <w:tcPr>
            <w:tcW w:w="0" w:type="auto"/>
            <w:tcBorders>
              <w:top w:val="single" w:sz="4" w:space="0" w:color="BFBFBF"/>
              <w:left w:val="single" w:sz="4" w:space="0" w:color="BFBFBF"/>
              <w:bottom w:val="single" w:sz="4" w:space="0" w:color="BFBFBF"/>
              <w:right w:val="single" w:sz="4" w:space="0" w:color="BFBFBF"/>
            </w:tcBorders>
            <w:hideMark/>
          </w:tcPr>
          <w:p w14:paraId="0E89AE5D" w14:textId="77777777" w:rsidR="00CD7161" w:rsidRPr="00084F2E" w:rsidRDefault="00CD7161" w:rsidP="00677688">
            <w:pPr>
              <w:spacing w:line="360" w:lineRule="auto"/>
              <w:rPr>
                <w:rFonts w:cs="Times New Roman"/>
                <w:b w:val="0"/>
                <w:lang w:val="en-US"/>
              </w:rPr>
            </w:pPr>
            <w:r w:rsidRPr="00084F2E">
              <w:rPr>
                <w:rFonts w:cs="Times New Roman"/>
                <w:b w:val="0"/>
                <w:bCs/>
                <w:lang w:val="en-US"/>
              </w:rPr>
              <w:t>National Savings</w:t>
            </w:r>
          </w:p>
        </w:tc>
        <w:tc>
          <w:tcPr>
            <w:tcW w:w="0" w:type="auto"/>
            <w:tcBorders>
              <w:top w:val="single" w:sz="4" w:space="0" w:color="BFBFBF"/>
              <w:left w:val="single" w:sz="4" w:space="0" w:color="BFBFBF"/>
              <w:bottom w:val="single" w:sz="4" w:space="0" w:color="BFBFBF"/>
              <w:right w:val="single" w:sz="4" w:space="0" w:color="BFBFBF"/>
            </w:tcBorders>
            <w:hideMark/>
          </w:tcPr>
          <w:p w14:paraId="52F2E8D8" w14:textId="77777777" w:rsidR="00CD7161" w:rsidRPr="00084F2E" w:rsidRDefault="00CD7161" w:rsidP="00677688">
            <w:pPr>
              <w:spacing w:line="360" w:lineRule="auto"/>
              <w:rPr>
                <w:rFonts w:cs="Times New Roman"/>
                <w:b w:val="0"/>
                <w:lang w:val="en-US"/>
              </w:rPr>
            </w:pPr>
            <w:r w:rsidRPr="00084F2E">
              <w:rPr>
                <w:rFonts w:cs="Times New Roman"/>
                <w:b w:val="0"/>
                <w:lang w:val="en-US"/>
              </w:rPr>
              <w:t>GNS</w:t>
            </w:r>
          </w:p>
        </w:tc>
        <w:tc>
          <w:tcPr>
            <w:tcW w:w="0" w:type="auto"/>
            <w:tcBorders>
              <w:top w:val="single" w:sz="4" w:space="0" w:color="BFBFBF"/>
              <w:left w:val="single" w:sz="4" w:space="0" w:color="BFBFBF"/>
              <w:bottom w:val="single" w:sz="4" w:space="0" w:color="BFBFBF"/>
              <w:right w:val="single" w:sz="4" w:space="0" w:color="BFBFBF"/>
            </w:tcBorders>
            <w:hideMark/>
          </w:tcPr>
          <w:p w14:paraId="4BDB961D" w14:textId="77777777" w:rsidR="00CD7161" w:rsidRPr="00084F2E" w:rsidRDefault="00CD7161" w:rsidP="00677688">
            <w:pPr>
              <w:spacing w:line="360" w:lineRule="auto"/>
              <w:rPr>
                <w:rFonts w:cs="Times New Roman"/>
                <w:b w:val="0"/>
                <w:lang w:val="en-US"/>
              </w:rPr>
            </w:pPr>
            <w:r w:rsidRPr="00084F2E">
              <w:rPr>
                <w:rFonts w:cs="Times New Roman"/>
                <w:b w:val="0"/>
                <w:lang w:val="en-US"/>
              </w:rPr>
              <w:t>Natural Log of Gross National Savings</w:t>
            </w:r>
          </w:p>
        </w:tc>
        <w:tc>
          <w:tcPr>
            <w:tcW w:w="0" w:type="auto"/>
            <w:tcBorders>
              <w:top w:val="single" w:sz="4" w:space="0" w:color="BFBFBF"/>
              <w:left w:val="single" w:sz="4" w:space="0" w:color="BFBFBF"/>
              <w:bottom w:val="single" w:sz="4" w:space="0" w:color="BFBFBF"/>
              <w:right w:val="single" w:sz="4" w:space="0" w:color="BFBFBF"/>
            </w:tcBorders>
            <w:hideMark/>
          </w:tcPr>
          <w:p w14:paraId="421AA2BD" w14:textId="77777777" w:rsidR="00CD7161" w:rsidRPr="00084F2E" w:rsidRDefault="00CD7161" w:rsidP="00677688">
            <w:pPr>
              <w:spacing w:line="360" w:lineRule="auto"/>
              <w:rPr>
                <w:rFonts w:cs="Times New Roman"/>
                <w:b w:val="0"/>
                <w:lang w:val="en-US"/>
              </w:rPr>
            </w:pPr>
            <w:r w:rsidRPr="00084F2E">
              <w:rPr>
                <w:rFonts w:cs="Times New Roman"/>
                <w:b w:val="0"/>
                <w:lang w:val="en-US"/>
              </w:rPr>
              <w:t>(+)</w:t>
            </w:r>
          </w:p>
        </w:tc>
      </w:tr>
      <w:tr w:rsidR="00084F2E" w:rsidRPr="00084F2E" w14:paraId="744DE455" w14:textId="77777777" w:rsidTr="00677688">
        <w:tc>
          <w:tcPr>
            <w:tcW w:w="0" w:type="auto"/>
            <w:tcBorders>
              <w:top w:val="single" w:sz="4" w:space="0" w:color="BFBFBF"/>
              <w:left w:val="single" w:sz="4" w:space="0" w:color="BFBFBF"/>
              <w:bottom w:val="single" w:sz="4" w:space="0" w:color="BFBFBF"/>
              <w:right w:val="single" w:sz="4" w:space="0" w:color="BFBFBF"/>
            </w:tcBorders>
            <w:hideMark/>
          </w:tcPr>
          <w:p w14:paraId="0290A027" w14:textId="77777777" w:rsidR="00CD7161" w:rsidRPr="00084F2E" w:rsidRDefault="00CD7161" w:rsidP="00677688">
            <w:pPr>
              <w:spacing w:line="360" w:lineRule="auto"/>
              <w:rPr>
                <w:rFonts w:cs="Times New Roman"/>
                <w:b w:val="0"/>
                <w:lang w:val="en-US"/>
              </w:rPr>
            </w:pPr>
            <w:r w:rsidRPr="00084F2E">
              <w:rPr>
                <w:rFonts w:cs="Times New Roman"/>
                <w:b w:val="0"/>
                <w:bCs/>
                <w:lang w:val="en-US"/>
              </w:rPr>
              <w:t>Indirect Tax</w:t>
            </w:r>
          </w:p>
        </w:tc>
        <w:tc>
          <w:tcPr>
            <w:tcW w:w="0" w:type="auto"/>
            <w:tcBorders>
              <w:top w:val="single" w:sz="4" w:space="0" w:color="BFBFBF"/>
              <w:left w:val="single" w:sz="4" w:space="0" w:color="BFBFBF"/>
              <w:bottom w:val="single" w:sz="4" w:space="0" w:color="BFBFBF"/>
              <w:right w:val="single" w:sz="4" w:space="0" w:color="BFBFBF"/>
            </w:tcBorders>
            <w:hideMark/>
          </w:tcPr>
          <w:p w14:paraId="015CA893" w14:textId="77777777" w:rsidR="00CD7161" w:rsidRPr="00084F2E" w:rsidRDefault="00CD7161" w:rsidP="00677688">
            <w:pPr>
              <w:spacing w:line="360" w:lineRule="auto"/>
              <w:rPr>
                <w:rFonts w:cs="Times New Roman"/>
                <w:b w:val="0"/>
                <w:lang w:val="en-US"/>
              </w:rPr>
            </w:pPr>
            <w:r w:rsidRPr="00084F2E">
              <w:rPr>
                <w:rFonts w:cs="Times New Roman"/>
                <w:b w:val="0"/>
                <w:lang w:val="en-US"/>
              </w:rPr>
              <w:t>TAX</w:t>
            </w:r>
          </w:p>
        </w:tc>
        <w:tc>
          <w:tcPr>
            <w:tcW w:w="0" w:type="auto"/>
            <w:tcBorders>
              <w:top w:val="single" w:sz="4" w:space="0" w:color="BFBFBF"/>
              <w:left w:val="single" w:sz="4" w:space="0" w:color="BFBFBF"/>
              <w:bottom w:val="single" w:sz="4" w:space="0" w:color="BFBFBF"/>
              <w:right w:val="single" w:sz="4" w:space="0" w:color="BFBFBF"/>
            </w:tcBorders>
            <w:hideMark/>
          </w:tcPr>
          <w:p w14:paraId="5ABBCFEB" w14:textId="77777777" w:rsidR="00CD7161" w:rsidRPr="00084F2E" w:rsidRDefault="00CD7161" w:rsidP="00677688">
            <w:pPr>
              <w:spacing w:line="360" w:lineRule="auto"/>
              <w:rPr>
                <w:rFonts w:cs="Times New Roman"/>
                <w:b w:val="0"/>
                <w:lang w:val="en-US"/>
              </w:rPr>
            </w:pPr>
            <w:r w:rsidRPr="00084F2E">
              <w:rPr>
                <w:rFonts w:cs="Times New Roman"/>
                <w:b w:val="0"/>
                <w:lang w:val="en-US"/>
              </w:rPr>
              <w:t>Ratio of indirect tax revenue to GDP</w:t>
            </w:r>
          </w:p>
        </w:tc>
        <w:tc>
          <w:tcPr>
            <w:tcW w:w="0" w:type="auto"/>
            <w:tcBorders>
              <w:top w:val="single" w:sz="4" w:space="0" w:color="BFBFBF"/>
              <w:left w:val="single" w:sz="4" w:space="0" w:color="BFBFBF"/>
              <w:bottom w:val="single" w:sz="4" w:space="0" w:color="BFBFBF"/>
              <w:right w:val="single" w:sz="4" w:space="0" w:color="BFBFBF"/>
            </w:tcBorders>
            <w:hideMark/>
          </w:tcPr>
          <w:p w14:paraId="722443E7" w14:textId="77777777" w:rsidR="00CD7161" w:rsidRPr="00084F2E" w:rsidRDefault="00CD7161" w:rsidP="00677688">
            <w:pPr>
              <w:spacing w:line="360" w:lineRule="auto"/>
              <w:rPr>
                <w:rFonts w:cs="Times New Roman"/>
                <w:b w:val="0"/>
                <w:lang w:val="en-US"/>
              </w:rPr>
            </w:pPr>
            <w:r w:rsidRPr="00084F2E">
              <w:rPr>
                <w:rFonts w:cs="Times New Roman"/>
                <w:b w:val="0"/>
                <w:lang w:val="en-US"/>
              </w:rPr>
              <w:t>(-)</w:t>
            </w:r>
          </w:p>
        </w:tc>
      </w:tr>
      <w:tr w:rsidR="00CD7161" w:rsidRPr="00084F2E" w14:paraId="6255AD1F" w14:textId="77777777" w:rsidTr="00677688">
        <w:tc>
          <w:tcPr>
            <w:tcW w:w="0" w:type="auto"/>
            <w:tcBorders>
              <w:top w:val="single" w:sz="4" w:space="0" w:color="BFBFBF"/>
              <w:left w:val="single" w:sz="4" w:space="0" w:color="BFBFBF"/>
              <w:bottom w:val="single" w:sz="4" w:space="0" w:color="BFBFBF"/>
              <w:right w:val="single" w:sz="4" w:space="0" w:color="BFBFBF"/>
            </w:tcBorders>
            <w:hideMark/>
          </w:tcPr>
          <w:p w14:paraId="6B3D94FA" w14:textId="77777777" w:rsidR="00CD7161" w:rsidRPr="00084F2E" w:rsidRDefault="00CD7161" w:rsidP="00677688">
            <w:pPr>
              <w:spacing w:line="360" w:lineRule="auto"/>
              <w:rPr>
                <w:rFonts w:cs="Times New Roman"/>
                <w:b w:val="0"/>
                <w:lang w:val="en-US"/>
              </w:rPr>
            </w:pPr>
            <w:r w:rsidRPr="00084F2E">
              <w:rPr>
                <w:rFonts w:cs="Times New Roman"/>
                <w:b w:val="0"/>
                <w:bCs/>
                <w:lang w:val="en-US"/>
              </w:rPr>
              <w:t>Exchange Rate</w:t>
            </w:r>
          </w:p>
        </w:tc>
        <w:tc>
          <w:tcPr>
            <w:tcW w:w="0" w:type="auto"/>
            <w:tcBorders>
              <w:top w:val="single" w:sz="4" w:space="0" w:color="BFBFBF"/>
              <w:left w:val="single" w:sz="4" w:space="0" w:color="BFBFBF"/>
              <w:bottom w:val="single" w:sz="4" w:space="0" w:color="BFBFBF"/>
              <w:right w:val="single" w:sz="4" w:space="0" w:color="BFBFBF"/>
            </w:tcBorders>
            <w:hideMark/>
          </w:tcPr>
          <w:p w14:paraId="34891DA7" w14:textId="77777777" w:rsidR="00CD7161" w:rsidRPr="00084F2E" w:rsidRDefault="00CD7161" w:rsidP="00677688">
            <w:pPr>
              <w:spacing w:line="360" w:lineRule="auto"/>
              <w:rPr>
                <w:rFonts w:cs="Times New Roman"/>
                <w:b w:val="0"/>
                <w:lang w:val="en-US"/>
              </w:rPr>
            </w:pPr>
            <w:r w:rsidRPr="00084F2E">
              <w:rPr>
                <w:rFonts w:cs="Times New Roman"/>
                <w:b w:val="0"/>
                <w:lang w:val="en-US"/>
              </w:rPr>
              <w:t>EXR</w:t>
            </w:r>
          </w:p>
        </w:tc>
        <w:tc>
          <w:tcPr>
            <w:tcW w:w="0" w:type="auto"/>
            <w:tcBorders>
              <w:top w:val="single" w:sz="4" w:space="0" w:color="BFBFBF"/>
              <w:left w:val="single" w:sz="4" w:space="0" w:color="BFBFBF"/>
              <w:bottom w:val="single" w:sz="4" w:space="0" w:color="BFBFBF"/>
              <w:right w:val="single" w:sz="4" w:space="0" w:color="BFBFBF"/>
            </w:tcBorders>
            <w:hideMark/>
          </w:tcPr>
          <w:p w14:paraId="0B4359A0" w14:textId="77777777" w:rsidR="00CD7161" w:rsidRPr="00084F2E" w:rsidRDefault="00CD7161" w:rsidP="00677688">
            <w:pPr>
              <w:spacing w:line="360" w:lineRule="auto"/>
              <w:rPr>
                <w:rFonts w:cs="Times New Roman"/>
                <w:b w:val="0"/>
                <w:lang w:val="en-US"/>
              </w:rPr>
            </w:pPr>
            <w:r w:rsidRPr="00084F2E">
              <w:rPr>
                <w:rFonts w:cs="Times New Roman"/>
                <w:b w:val="0"/>
                <w:lang w:val="en-US"/>
              </w:rPr>
              <w:t>Natural log of the official exchange rate (Birr/USD)</w:t>
            </w:r>
          </w:p>
        </w:tc>
        <w:tc>
          <w:tcPr>
            <w:tcW w:w="0" w:type="auto"/>
            <w:tcBorders>
              <w:top w:val="single" w:sz="4" w:space="0" w:color="BFBFBF"/>
              <w:left w:val="single" w:sz="4" w:space="0" w:color="BFBFBF"/>
              <w:bottom w:val="single" w:sz="4" w:space="0" w:color="BFBFBF"/>
              <w:right w:val="single" w:sz="4" w:space="0" w:color="BFBFBF"/>
            </w:tcBorders>
            <w:hideMark/>
          </w:tcPr>
          <w:p w14:paraId="31D20D51" w14:textId="77777777" w:rsidR="00CD7161" w:rsidRPr="00084F2E" w:rsidRDefault="00CD7161" w:rsidP="00677688">
            <w:pPr>
              <w:spacing w:line="360" w:lineRule="auto"/>
              <w:rPr>
                <w:rFonts w:cs="Times New Roman"/>
                <w:b w:val="0"/>
                <w:lang w:val="en-US"/>
              </w:rPr>
            </w:pPr>
            <w:r w:rsidRPr="00084F2E">
              <w:rPr>
                <w:rFonts w:cs="Times New Roman"/>
                <w:b w:val="0"/>
                <w:lang w:val="en-US"/>
              </w:rPr>
              <w:t>(+/-)</w:t>
            </w:r>
          </w:p>
        </w:tc>
      </w:tr>
    </w:tbl>
    <w:p w14:paraId="0BDF7028" w14:textId="77777777" w:rsidR="00CD7161" w:rsidRPr="00084F2E" w:rsidRDefault="00CD7161" w:rsidP="00CD7161">
      <w:pPr>
        <w:rPr>
          <w:rFonts w:cs="Times New Roman"/>
          <w:b w:val="0"/>
          <w:lang w:val="en-US"/>
        </w:rPr>
      </w:pPr>
    </w:p>
    <w:p w14:paraId="66EF92F2" w14:textId="77777777" w:rsidR="00DE2630" w:rsidRPr="00084F2E" w:rsidRDefault="00DE2630">
      <w:pPr>
        <w:shd w:val="clear" w:color="auto" w:fill="FFFFFF"/>
        <w:spacing w:after="240" w:line="360" w:lineRule="auto"/>
        <w:jc w:val="both"/>
        <w:rPr>
          <w:rFonts w:cs="Times New Roman"/>
          <w:b w:val="0"/>
          <w:lang w:val="en-US"/>
        </w:rPr>
      </w:pPr>
    </w:p>
    <w:p w14:paraId="6DE47466" w14:textId="730F7370" w:rsidR="0072282A" w:rsidRPr="00084F2E" w:rsidRDefault="00AB1BEC">
      <w:pPr>
        <w:pStyle w:val="Heading2"/>
        <w:rPr>
          <w:lang w:val="en-US"/>
        </w:rPr>
      </w:pPr>
      <w:bookmarkStart w:id="59" w:name="_Toc220662023"/>
      <w:r w:rsidRPr="00084F2E">
        <w:rPr>
          <w:lang w:val="en-US"/>
        </w:rPr>
        <w:t>3.</w:t>
      </w:r>
      <w:r w:rsidR="008A6EDB" w:rsidRPr="00084F2E">
        <w:rPr>
          <w:lang w:val="en-US"/>
        </w:rPr>
        <w:t>9</w:t>
      </w:r>
      <w:r w:rsidRPr="00084F2E">
        <w:rPr>
          <w:lang w:val="en-US"/>
        </w:rPr>
        <w:t xml:space="preserve"> Method of Data Analysis</w:t>
      </w:r>
      <w:bookmarkEnd w:id="59"/>
    </w:p>
    <w:p w14:paraId="70525128" w14:textId="77777777" w:rsidR="0072282A" w:rsidRPr="00084F2E" w:rsidRDefault="00AB1BEC">
      <w:pPr>
        <w:shd w:val="clear" w:color="auto" w:fill="FFFFFF"/>
        <w:spacing w:after="240" w:line="360" w:lineRule="auto"/>
        <w:jc w:val="both"/>
        <w:rPr>
          <w:rFonts w:cs="Times New Roman"/>
          <w:b w:val="0"/>
          <w:lang w:val="en-US"/>
        </w:rPr>
      </w:pPr>
      <w:r w:rsidRPr="00084F2E">
        <w:rPr>
          <w:rFonts w:cs="Times New Roman"/>
          <w:b w:val="0"/>
          <w:lang w:val="en-US"/>
        </w:rPr>
        <w:t>This study applied both descriptive and econometric analysis processes, to analyze various economic factors' effects.</w:t>
      </w:r>
    </w:p>
    <w:p w14:paraId="21005F26" w14:textId="0087C94B" w:rsidR="0072282A" w:rsidRPr="00084F2E" w:rsidRDefault="00AB1BEC">
      <w:pPr>
        <w:pStyle w:val="Heading3"/>
        <w:rPr>
          <w:lang w:val="en-US"/>
        </w:rPr>
      </w:pPr>
      <w:bookmarkStart w:id="60" w:name="_Toc220662024"/>
      <w:r w:rsidRPr="00084F2E">
        <w:rPr>
          <w:lang w:val="en-US"/>
        </w:rPr>
        <w:t>3.</w:t>
      </w:r>
      <w:r w:rsidR="008A6EDB" w:rsidRPr="00084F2E">
        <w:rPr>
          <w:lang w:val="en-US"/>
        </w:rPr>
        <w:t>9</w:t>
      </w:r>
      <w:r w:rsidRPr="00084F2E">
        <w:rPr>
          <w:lang w:val="en-US"/>
        </w:rPr>
        <w:t>.1 Descriptive analysis</w:t>
      </w:r>
      <w:bookmarkEnd w:id="60"/>
    </w:p>
    <w:p w14:paraId="264EF2C6" w14:textId="77777777" w:rsidR="0072282A" w:rsidRPr="00084F2E" w:rsidRDefault="00AB1BEC">
      <w:pPr>
        <w:shd w:val="clear" w:color="auto" w:fill="FFFFFF"/>
        <w:spacing w:after="240" w:line="360" w:lineRule="auto"/>
        <w:jc w:val="both"/>
        <w:rPr>
          <w:rFonts w:cs="Times New Roman"/>
          <w:b w:val="0"/>
          <w:lang w:val="en-US"/>
        </w:rPr>
      </w:pPr>
      <w:r w:rsidRPr="00084F2E">
        <w:rPr>
          <w:rFonts w:cs="Times New Roman"/>
          <w:b w:val="0"/>
          <w:lang w:val="en-US"/>
        </w:rPr>
        <w:t xml:space="preserve">Descriptive statistics summarized agricultural export performance variables, such as economic size, export size, real effective exchange rate, indirect tax revenue, Agri employment, foreign direct investment, and the corruption index. Key variables analyzed included: mean, standard deviation, minimum, and maximum values. </w:t>
      </w:r>
    </w:p>
    <w:p w14:paraId="3DC451B9" w14:textId="18F40AF5" w:rsidR="0072282A" w:rsidRPr="00084F2E" w:rsidRDefault="00AB1BEC">
      <w:pPr>
        <w:pStyle w:val="Heading3"/>
        <w:rPr>
          <w:lang w:val="en-US"/>
        </w:rPr>
      </w:pPr>
      <w:bookmarkStart w:id="61" w:name="_Toc220662025"/>
      <w:r w:rsidRPr="00084F2E">
        <w:rPr>
          <w:lang w:val="en-US"/>
        </w:rPr>
        <w:t>3.</w:t>
      </w:r>
      <w:r w:rsidR="008A6EDB" w:rsidRPr="00084F2E">
        <w:rPr>
          <w:lang w:val="en-US"/>
        </w:rPr>
        <w:t>9</w:t>
      </w:r>
      <w:r w:rsidRPr="00084F2E">
        <w:rPr>
          <w:lang w:val="en-US"/>
        </w:rPr>
        <w:t>.2 Econometric analysis</w:t>
      </w:r>
      <w:bookmarkEnd w:id="61"/>
    </w:p>
    <w:p w14:paraId="2F7FFE19" w14:textId="77777777" w:rsidR="0072282A" w:rsidRPr="00084F2E" w:rsidRDefault="00AB1BEC">
      <w:pPr>
        <w:shd w:val="clear" w:color="auto" w:fill="FFFFFF"/>
        <w:spacing w:after="240" w:line="360" w:lineRule="auto"/>
        <w:jc w:val="both"/>
        <w:rPr>
          <w:rFonts w:cs="Times New Roman"/>
          <w:b w:val="0"/>
          <w:lang w:val="en-US"/>
        </w:rPr>
      </w:pPr>
      <w:r w:rsidRPr="00084F2E">
        <w:rPr>
          <w:rFonts w:cs="Times New Roman"/>
          <w:b w:val="0"/>
          <w:lang w:val="en-US"/>
        </w:rPr>
        <w:t>The ARDL model was utilized to analyze Ethiopia's agricultural export performance by incorporating the study variables. This model allows for straightforward interpretation of elasticities and multiplicative relationships among variables. By taking the natural logarithm of both the dependent variable (export performance) and independent variables, the model linearizes relationships, facilitating easier estimation and interpretation.</w:t>
      </w:r>
    </w:p>
    <w:p w14:paraId="5C43E164" w14:textId="4F412CE2" w:rsidR="0072282A" w:rsidRPr="00084F2E" w:rsidRDefault="00A37187" w:rsidP="00A37187">
      <w:pPr>
        <w:keepNext/>
        <w:keepLines/>
        <w:spacing w:before="200" w:after="240"/>
        <w:outlineLvl w:val="3"/>
        <w:rPr>
          <w:rFonts w:eastAsiaTheme="majorEastAsia" w:cstheme="majorBidi"/>
          <w:bCs/>
          <w:iCs/>
        </w:rPr>
      </w:pPr>
      <w:r w:rsidRPr="00084F2E">
        <w:rPr>
          <w:rFonts w:eastAsiaTheme="majorEastAsia" w:cstheme="majorBidi"/>
          <w:bCs/>
          <w:iCs/>
        </w:rPr>
        <w:t xml:space="preserve">3.9.2.1 </w:t>
      </w:r>
      <w:r w:rsidR="00AB1BEC" w:rsidRPr="00084F2E">
        <w:rPr>
          <w:rFonts w:eastAsiaTheme="majorEastAsia" w:cstheme="majorBidi"/>
          <w:bCs/>
          <w:iCs/>
        </w:rPr>
        <w:t>Stationary and Non-Stationary Series</w:t>
      </w:r>
    </w:p>
    <w:p w14:paraId="332AB124" w14:textId="77777777" w:rsidR="0072282A" w:rsidRPr="00084F2E" w:rsidRDefault="00AB1BEC">
      <w:pPr>
        <w:shd w:val="clear" w:color="auto" w:fill="FFFFFF"/>
        <w:spacing w:after="240" w:line="360" w:lineRule="auto"/>
        <w:jc w:val="both"/>
        <w:rPr>
          <w:rFonts w:cs="Times New Roman"/>
          <w:b w:val="0"/>
          <w:lang w:val="en-US"/>
        </w:rPr>
      </w:pPr>
      <w:r w:rsidRPr="00084F2E">
        <w:rPr>
          <w:rFonts w:cs="Times New Roman"/>
          <w:b w:val="0"/>
          <w:lang w:val="en-US"/>
        </w:rPr>
        <w:t>The standard classical method of estimation that was used in applied econometric work was based on a set of assumptions, one of which was the stationarity of the variables. A variable was considered covariance (weakly) stationary if its mean and variance remain constant over time and the covariance between two periods would depend only on the gap between the periods, not on the actual time at which this covariance is assessed. In contrast, a non-</w:t>
      </w:r>
      <w:bookmarkEnd w:id="57"/>
      <w:r w:rsidRPr="00084F2E">
        <w:rPr>
          <w:rFonts w:cs="Times New Roman"/>
          <w:b w:val="0"/>
          <w:lang w:val="en-US"/>
        </w:rPr>
        <w:t xml:space="preserve">stationary series would exhibit different means at different points in time, and its variance would increase with the sample size </w:t>
      </w:r>
      <w:r w:rsidR="00AC5C64" w:rsidRPr="00084F2E">
        <w:rPr>
          <w:rFonts w:cs="Times New Roman"/>
          <w:b w:val="0"/>
          <w:lang w:val="en-US"/>
        </w:rPr>
        <w:fldChar w:fldCharType="begin" w:fldLock="1"/>
      </w:r>
      <w:r w:rsidRPr="00084F2E">
        <w:rPr>
          <w:rFonts w:cs="Times New Roman"/>
          <w:b w:val="0"/>
          <w:lang w:val="en-US"/>
        </w:rPr>
        <w:instrText>ADDIN CSL_CITATION {"citationItems":[{"id":"ITEM-1","itemData":{"DOI":"10.31234/osf.io/z7ja2","abstract":"Time series analysis is increasingly popular across scientific domains. A key concept in time series analysis is stationarity, the stability of statistical properties of a time series. Understanding stationarity is crucial to addressing frequent issues in time series analysis such as the consequences of failing to model non-stationarity, how to determine the mechanisms generating non-stationarity, and consequently how to model those mechanisms (i.e. by dif-ferencing or detrending). However, many empirical researchers have limited understanding of stationarity, which can lead to the use of incorrect research practices and misleading substantive conclusions. In this paper, we address this problem by answering these questions in an accessible a way. To this end, we study how researchers can use detrending and differencing to model trends in time series analysis. We show via simulation the consequences of modeling trends inappropriately, and evaluate the performance of one popular approach to distinguish different trend types in empirical data. We present these results in an accessible way, providing an extensive introduction to key concepts in time series analysis, illustrated throughout with simple examples. Finally, we discuss a number of take-home messages and extensions to standard approaches, which directly address more complex time-series analysis problems encountered by empirical researchers.","author":[{"dropping-particle":"","family":"Ryan","given":"Oisín","non-dropping-particle":"","parse-names":false,"suffix":""},{"dropping-particle":"","family":"Haslbeck","given":"Jonas","non-dropping-particle":"","parse-names":false,"suffix":""},{"dropping-particle":"","family":"Waldorp","given":"Lourens","non-dropping-particle":"","parse-names":false,"suffix":""}],"id":"ITEM-1","issue":"July","issued":{"date-parts":[["2023"]]},"page":"1-35","title":"Non-Stationarity in Time-Series Analysis: Modeling Stochastic and Deterministic Trends","type":"article-journal"},"uris":["http://www.mendeley.com/documents/?uuid=dfac8ee4-660a-4d38-8c29-5f84f70b118b"]}],"mendeley":{"formattedCitation":"(Ryan et al., 2023)","plainTextFormattedCitation":"(Ryan et al., 2023)","previouslyFormattedCitation":"(Ryan et al., 2023)"},"properties":{"noteIndex":0},"schema":"https://github.com/citation-style-language/schema/raw/master/csl-citation.json"}</w:instrText>
      </w:r>
      <w:r w:rsidR="00AC5C64" w:rsidRPr="00084F2E">
        <w:rPr>
          <w:rFonts w:cs="Times New Roman"/>
          <w:b w:val="0"/>
          <w:lang w:val="en-US"/>
        </w:rPr>
        <w:fldChar w:fldCharType="separate"/>
      </w:r>
      <w:r w:rsidRPr="00084F2E">
        <w:rPr>
          <w:rFonts w:cs="Times New Roman"/>
          <w:b w:val="0"/>
          <w:noProof/>
          <w:lang w:val="en-US"/>
        </w:rPr>
        <w:t>(Ryan et al., 2023)</w:t>
      </w:r>
      <w:r w:rsidR="00AC5C64" w:rsidRPr="00084F2E">
        <w:rPr>
          <w:rFonts w:cs="Times New Roman"/>
          <w:b w:val="0"/>
          <w:lang w:val="en-US"/>
        </w:rPr>
        <w:fldChar w:fldCharType="end"/>
      </w:r>
      <w:r w:rsidRPr="00084F2E">
        <w:rPr>
          <w:rFonts w:cs="Times New Roman"/>
          <w:b w:val="0"/>
          <w:lang w:val="en-US"/>
        </w:rPr>
        <w:t>.</w:t>
      </w:r>
    </w:p>
    <w:p w14:paraId="07DA7691" w14:textId="77777777" w:rsidR="0072282A" w:rsidRPr="00084F2E" w:rsidRDefault="00AB1BEC">
      <w:pPr>
        <w:shd w:val="clear" w:color="auto" w:fill="FFFFFF"/>
        <w:spacing w:after="240" w:line="360" w:lineRule="auto"/>
        <w:jc w:val="both"/>
        <w:rPr>
          <w:rFonts w:cs="Times New Roman"/>
          <w:b w:val="0"/>
          <w:lang w:val="en-US"/>
        </w:rPr>
      </w:pPr>
      <w:r w:rsidRPr="00084F2E">
        <w:rPr>
          <w:rFonts w:cs="Times New Roman"/>
          <w:b w:val="0"/>
          <w:lang w:val="en-US"/>
        </w:rPr>
        <w:lastRenderedPageBreak/>
        <w:t xml:space="preserve">According to </w:t>
      </w:r>
      <w:r w:rsidR="00AC5C64" w:rsidRPr="00084F2E">
        <w:rPr>
          <w:rFonts w:cs="Times New Roman"/>
          <w:b w:val="0"/>
          <w:lang w:val="en-US"/>
        </w:rPr>
        <w:fldChar w:fldCharType="begin" w:fldLock="1"/>
      </w:r>
      <w:r w:rsidRPr="00084F2E">
        <w:rPr>
          <w:rFonts w:cs="Times New Roman"/>
          <w:b w:val="0"/>
          <w:lang w:val="en-US"/>
        </w:rPr>
        <w:instrText>ADDIN CSL_CITATION {"citationItems":[{"id":"ITEM-1","itemData":{"ISBN":"9780521839198","author":[{"dropping-particle":"","family":"Assistant","given":"Visiting","non-dropping-particle":"","parse-names":false,"suffix":""},{"dropping-particle":"","family":"Diego","given":"San","non-dropping-particle":"","parse-names":false,"suffix":""},{"dropping-particle":"","family":"Editor","given":"Associate","non-dropping-particle":"","parse-names":false,"suffix":""},{"dropping-particle":"","family":"Kr","given":"Markus","non-dropping-particle":"","parse-names":false,"suffix":""}],"id":"ITEM-1","issued":{"date-parts":[["0"]]},"title":"No Title","type":"book"},"uris":["http://www.mendeley.com/documents/?uuid=5c5bf1e4-5e92-4878-80fa-5fc5387fe3ec"]}],"mendeley":{"formattedCitation":"(Assistant et al., n.d.)","plainTextFormattedCitation":"(Assistant et al., n.d.)","previouslyFormattedCitation":"(Assistant et al., n.d.)"},"properties":{"noteIndex":0},"schema":"https://github.com/citation-style-language/schema/raw/master/csl-citation.json"}</w:instrText>
      </w:r>
      <w:r w:rsidR="00AC5C64" w:rsidRPr="00084F2E">
        <w:rPr>
          <w:rFonts w:cs="Times New Roman"/>
          <w:b w:val="0"/>
          <w:lang w:val="en-US"/>
        </w:rPr>
        <w:fldChar w:fldCharType="separate"/>
      </w:r>
      <w:r w:rsidRPr="00084F2E">
        <w:rPr>
          <w:rFonts w:cs="Times New Roman"/>
          <w:b w:val="0"/>
          <w:noProof/>
          <w:lang w:val="en-US"/>
        </w:rPr>
        <w:t>(Assistant et al., n.d.)</w:t>
      </w:r>
      <w:r w:rsidR="00AC5C64" w:rsidRPr="00084F2E">
        <w:rPr>
          <w:rFonts w:cs="Times New Roman"/>
          <w:b w:val="0"/>
          <w:lang w:val="en-US"/>
        </w:rPr>
        <w:fldChar w:fldCharType="end"/>
      </w:r>
      <w:r w:rsidRPr="00084F2E">
        <w:rPr>
          <w:rFonts w:cs="Times New Roman"/>
          <w:b w:val="0"/>
          <w:lang w:val="en-US"/>
        </w:rPr>
        <w:t>, a time series was classified as strictly stationary if the joint distribution of any set of </w:t>
      </w:r>
      <w:r w:rsidRPr="00084F2E">
        <w:rPr>
          <w:rFonts w:cs="Times New Roman"/>
          <w:b w:val="0"/>
          <w:i/>
          <w:iCs/>
          <w:lang w:val="en-US"/>
        </w:rPr>
        <w:t>N</w:t>
      </w:r>
      <w:r w:rsidRPr="00084F2E">
        <w:rPr>
          <w:rFonts w:cs="Times New Roman"/>
          <w:b w:val="0"/>
          <w:lang w:val="en-US"/>
        </w:rPr>
        <w:t> observations </w:t>
      </w:r>
      <w:r w:rsidRPr="00084F2E">
        <w:rPr>
          <w:rFonts w:cs="Times New Roman"/>
          <w:b w:val="0"/>
          <w:i/>
          <w:iCs/>
          <w:lang w:val="en-US"/>
        </w:rPr>
        <w:t>Y</w:t>
      </w:r>
      <w:r w:rsidRPr="00084F2E">
        <w:rPr>
          <w:rFonts w:cs="Times New Roman"/>
          <w:b w:val="0"/>
          <w:lang w:val="en-US"/>
        </w:rPr>
        <w:t>1​,</w:t>
      </w:r>
      <w:r w:rsidRPr="00084F2E">
        <w:rPr>
          <w:rFonts w:cs="Times New Roman"/>
          <w:b w:val="0"/>
          <w:i/>
          <w:iCs/>
          <w:lang w:val="en-US"/>
        </w:rPr>
        <w:t>Y</w:t>
      </w:r>
      <w:r w:rsidRPr="00084F2E">
        <w:rPr>
          <w:rFonts w:cs="Times New Roman"/>
          <w:b w:val="0"/>
          <w:lang w:val="en-US"/>
        </w:rPr>
        <w:t>2​,…,</w:t>
      </w:r>
      <w:r w:rsidRPr="00084F2E">
        <w:rPr>
          <w:rFonts w:cs="Times New Roman"/>
          <w:b w:val="0"/>
          <w:i/>
          <w:iCs/>
          <w:lang w:val="en-US"/>
        </w:rPr>
        <w:t>Yt</w:t>
      </w:r>
      <w:r w:rsidRPr="00084F2E">
        <w:rPr>
          <w:rFonts w:cs="Times New Roman"/>
          <w:b w:val="0"/>
          <w:lang w:val="en-US"/>
        </w:rPr>
        <w:t xml:space="preserve">​ was the same as the joint distribution of  </w:t>
      </w:r>
      <w:r w:rsidRPr="00084F2E">
        <w:rPr>
          <w:rFonts w:cs="Times New Roman"/>
          <w:b w:val="0"/>
          <w:i/>
          <w:iCs/>
          <w:lang w:val="en-US"/>
        </w:rPr>
        <w:t>Y</w:t>
      </w:r>
      <w:r w:rsidRPr="00084F2E">
        <w:rPr>
          <w:rFonts w:cs="Times New Roman"/>
          <w:b w:val="0"/>
          <w:lang w:val="en-US"/>
        </w:rPr>
        <w:t>1​+</w:t>
      </w:r>
      <w:r w:rsidRPr="00084F2E">
        <w:rPr>
          <w:rFonts w:cs="Times New Roman"/>
          <w:b w:val="0"/>
          <w:i/>
          <w:iCs/>
          <w:lang w:val="en-US"/>
        </w:rPr>
        <w:t>k</w:t>
      </w:r>
      <w:r w:rsidRPr="00084F2E">
        <w:rPr>
          <w:rFonts w:cs="Times New Roman"/>
          <w:b w:val="0"/>
          <w:lang w:val="en-US"/>
        </w:rPr>
        <w:t>,</w:t>
      </w:r>
      <w:r w:rsidRPr="00084F2E">
        <w:rPr>
          <w:rFonts w:cs="Times New Roman"/>
          <w:b w:val="0"/>
          <w:i/>
          <w:iCs/>
          <w:lang w:val="en-US"/>
        </w:rPr>
        <w:t>Y</w:t>
      </w:r>
      <w:r w:rsidRPr="00084F2E">
        <w:rPr>
          <w:rFonts w:cs="Times New Roman"/>
          <w:b w:val="0"/>
          <w:lang w:val="en-US"/>
        </w:rPr>
        <w:t>2​+</w:t>
      </w:r>
      <w:r w:rsidRPr="00084F2E">
        <w:rPr>
          <w:rFonts w:cs="Times New Roman"/>
          <w:b w:val="0"/>
          <w:i/>
          <w:iCs/>
          <w:lang w:val="en-US"/>
        </w:rPr>
        <w:t>k</w:t>
      </w:r>
      <w:r w:rsidRPr="00084F2E">
        <w:rPr>
          <w:rFonts w:cs="Times New Roman"/>
          <w:b w:val="0"/>
          <w:lang w:val="en-US"/>
        </w:rPr>
        <w:t>,…,</w:t>
      </w:r>
      <w:r w:rsidRPr="00084F2E">
        <w:rPr>
          <w:rFonts w:cs="Times New Roman"/>
          <w:b w:val="0"/>
          <w:i/>
          <w:iCs/>
          <w:lang w:val="en-US"/>
        </w:rPr>
        <w:t>Yt</w:t>
      </w:r>
      <w:r w:rsidRPr="00084F2E">
        <w:rPr>
          <w:rFonts w:cs="Times New Roman"/>
          <w:b w:val="0"/>
          <w:lang w:val="en-US"/>
        </w:rPr>
        <w:t>​+</w:t>
      </w:r>
      <w:r w:rsidRPr="00084F2E">
        <w:rPr>
          <w:rFonts w:cs="Times New Roman"/>
          <w:b w:val="0"/>
          <w:i/>
          <w:iCs/>
          <w:lang w:val="en-US"/>
        </w:rPr>
        <w:t>k</w:t>
      </w:r>
      <w:r w:rsidRPr="00084F2E">
        <w:rPr>
          <w:rFonts w:cs="Times New Roman"/>
          <w:b w:val="0"/>
          <w:lang w:val="en-US"/>
        </w:rPr>
        <w:t> for all </w:t>
      </w:r>
      <w:r w:rsidRPr="00084F2E">
        <w:rPr>
          <w:rFonts w:cs="Times New Roman"/>
          <w:b w:val="0"/>
          <w:i/>
          <w:iCs/>
          <w:lang w:val="en-US"/>
        </w:rPr>
        <w:t>N</w:t>
      </w:r>
      <w:r w:rsidRPr="00084F2E">
        <w:rPr>
          <w:rFonts w:cs="Times New Roman"/>
          <w:b w:val="0"/>
          <w:lang w:val="en-US"/>
        </w:rPr>
        <w:t> and </w:t>
      </w:r>
      <w:r w:rsidRPr="00084F2E">
        <w:rPr>
          <w:rFonts w:cs="Times New Roman"/>
          <w:b w:val="0"/>
          <w:i/>
          <w:iCs/>
          <w:lang w:val="en-US"/>
        </w:rPr>
        <w:t>k</w:t>
      </w:r>
      <w:r w:rsidRPr="00084F2E">
        <w:rPr>
          <w:rFonts w:cs="Times New Roman"/>
          <w:b w:val="0"/>
          <w:lang w:val="en-US"/>
        </w:rPr>
        <w:t>. The distribution of </w:t>
      </w:r>
      <w:r w:rsidRPr="00084F2E">
        <w:rPr>
          <w:rFonts w:cs="Times New Roman"/>
          <w:b w:val="0"/>
          <w:i/>
          <w:iCs/>
          <w:lang w:val="en-US"/>
        </w:rPr>
        <w:t>Yt</w:t>
      </w:r>
      <w:r w:rsidRPr="00084F2E">
        <w:rPr>
          <w:rFonts w:cs="Times New Roman"/>
          <w:b w:val="0"/>
          <w:lang w:val="en-US"/>
        </w:rPr>
        <w:t>​ was independent of time, meaning that not only would the mean and variance remain constant, but all higher moments would also be independent of </w:t>
      </w:r>
      <w:r w:rsidRPr="00084F2E">
        <w:rPr>
          <w:rFonts w:cs="Times New Roman"/>
          <w:b w:val="0"/>
          <w:i/>
          <w:iCs/>
          <w:lang w:val="en-US"/>
        </w:rPr>
        <w:t>t</w:t>
      </w:r>
      <w:r w:rsidRPr="00084F2E">
        <w:rPr>
          <w:rFonts w:cs="Times New Roman"/>
          <w:b w:val="0"/>
          <w:lang w:val="en-US"/>
        </w:rPr>
        <w:t>.</w:t>
      </w:r>
    </w:p>
    <w:p w14:paraId="63034CE6" w14:textId="77777777" w:rsidR="0072282A" w:rsidRPr="00084F2E" w:rsidRDefault="00AB1BEC">
      <w:pPr>
        <w:spacing w:line="360" w:lineRule="auto"/>
        <w:jc w:val="both"/>
        <w:rPr>
          <w:b w:val="0"/>
          <w:lang w:val="en-US"/>
        </w:rPr>
      </w:pPr>
      <w:r w:rsidRPr="00084F2E">
        <w:rPr>
          <w:b w:val="0"/>
          <w:lang w:val="en-US"/>
        </w:rPr>
        <w:t xml:space="preserve">In time series analysis, most encountered series are in fact non-stationary. Contrary to the situation of stationary process which fluctuates around their mean, the reversion to a fixed value rarely occurs for non-stationary process. If a non-stationary time series is regressed on one or more non-stationary time series, the results are prone to spurious regression problems. This is a situation where results obtained suggest there are statistically significant relationships between the variables in the regression model when in fact all that is obtained is evidence of contemporary correlations rather than meaningful causal relations (J. Gudeta, 2010). </w:t>
      </w:r>
    </w:p>
    <w:p w14:paraId="10AA048D" w14:textId="77777777" w:rsidR="0072282A" w:rsidRPr="00084F2E" w:rsidRDefault="00AB1BEC">
      <w:pPr>
        <w:spacing w:line="360" w:lineRule="auto"/>
        <w:jc w:val="both"/>
        <w:rPr>
          <w:b w:val="0"/>
          <w:lang w:val="en-US"/>
        </w:rPr>
      </w:pPr>
      <w:r w:rsidRPr="00084F2E">
        <w:rPr>
          <w:b w:val="0"/>
          <w:lang w:val="en-US"/>
        </w:rPr>
        <w:t>Therefore, it is necessary to check whether or not the variables included in the model are stationary or not before going to the next step which is regression analysis. Testing for Unit-Roots Unit-roots is important to detect the stationarity of time-series data. To test if the series, used have unit-roots we apply a test based on the work of Fuller (1976) and Dickey and Fuller (1979, 1981). The Augmented Dickey-Fuller test is a similar but modified version of the Dickey-Fuller test which is used when error term is not a white noise. While testing for stationarity, if a variable becomes stationary at level, then it is said to be integrated of order zero, I (0). And if the variable is stationary at its first difference, it is said to be integrated of order one I (1). Similarly, if a variable can be transformed to stationary series by differencing n times, then it is integrated of order n, I (n). (Verbeck, 2004).</w:t>
      </w:r>
    </w:p>
    <w:p w14:paraId="657D4566" w14:textId="6F454AB0" w:rsidR="0072282A" w:rsidRPr="00084F2E" w:rsidRDefault="00AB1BEC">
      <w:pPr>
        <w:keepNext/>
        <w:keepLines/>
        <w:spacing w:before="200" w:after="240"/>
        <w:outlineLvl w:val="3"/>
        <w:rPr>
          <w:rFonts w:eastAsiaTheme="majorEastAsia" w:cstheme="majorBidi"/>
          <w:bCs/>
          <w:iCs/>
          <w:lang w:val="en-US"/>
        </w:rPr>
      </w:pPr>
      <w:r w:rsidRPr="00084F2E">
        <w:rPr>
          <w:rFonts w:eastAsiaTheme="majorEastAsia" w:cstheme="majorBidi"/>
          <w:bCs/>
          <w:iCs/>
          <w:lang w:val="en-US"/>
        </w:rPr>
        <w:t>3.</w:t>
      </w:r>
      <w:r w:rsidR="009E6AB1" w:rsidRPr="00084F2E">
        <w:rPr>
          <w:rFonts w:eastAsiaTheme="majorEastAsia" w:cstheme="majorBidi"/>
          <w:bCs/>
          <w:iCs/>
          <w:lang w:val="en-US"/>
        </w:rPr>
        <w:t>9</w:t>
      </w:r>
      <w:r w:rsidRPr="00084F2E">
        <w:rPr>
          <w:rFonts w:eastAsiaTheme="majorEastAsia" w:cstheme="majorBidi"/>
          <w:bCs/>
          <w:iCs/>
          <w:lang w:val="en-US"/>
        </w:rPr>
        <w:t xml:space="preserve">.2.2 Co-integration and the Error Correction Model </w:t>
      </w:r>
    </w:p>
    <w:p w14:paraId="11DC5265" w14:textId="77777777" w:rsidR="0072282A" w:rsidRPr="00084F2E" w:rsidRDefault="00AB1BEC">
      <w:pPr>
        <w:spacing w:before="240" w:line="360" w:lineRule="auto"/>
        <w:jc w:val="both"/>
        <w:rPr>
          <w:b w:val="0"/>
          <w:lang w:val="en-US"/>
        </w:rPr>
      </w:pPr>
      <w:r w:rsidRPr="00084F2E">
        <w:rPr>
          <w:b w:val="0"/>
          <w:lang w:val="en-US"/>
        </w:rPr>
        <w:t xml:space="preserve">Once the order of integration of the non-stationary variables has been determined and of variables is found to be non-stationary the next step is Co-integration. The test for co integration is to check for the existence of co-integrating relationships between non-stationary explanatory variables, are co-integrated, if they have a liner combination of their data series that is stationary even though the individual series are non-stationary. In other words, we want to test for the stationary of the liner combinations of these variables. The theory of co-integration addresses the issue of integrating short-run dynamics with long run equilibrium. </w:t>
      </w:r>
    </w:p>
    <w:p w14:paraId="4C51953A" w14:textId="77777777" w:rsidR="0072282A" w:rsidRPr="00084F2E" w:rsidRDefault="00AB1BEC">
      <w:pPr>
        <w:spacing w:before="240" w:line="360" w:lineRule="auto"/>
        <w:jc w:val="both"/>
        <w:rPr>
          <w:b w:val="0"/>
          <w:lang w:val="en-US"/>
        </w:rPr>
      </w:pPr>
      <w:r w:rsidRPr="00084F2E">
        <w:rPr>
          <w:b w:val="0"/>
          <w:lang w:val="en-US"/>
        </w:rPr>
        <w:lastRenderedPageBreak/>
        <w:t>Two I (1) series are said to be co-integrated if there exists a linear combination of the series which is stationary. Suppose that Y</w:t>
      </w:r>
      <w:r w:rsidRPr="00084F2E">
        <w:rPr>
          <w:b w:val="0"/>
          <w:i/>
          <w:lang w:val="en-US"/>
        </w:rPr>
        <w:t>t</w:t>
      </w:r>
      <w:r w:rsidRPr="00084F2E">
        <w:rPr>
          <w:b w:val="0"/>
          <w:lang w:val="en-US"/>
        </w:rPr>
        <w:t xml:space="preserve"> is I(1) and X</w:t>
      </w:r>
      <w:r w:rsidRPr="00084F2E">
        <w:rPr>
          <w:b w:val="0"/>
          <w:i/>
          <w:lang w:val="en-US"/>
        </w:rPr>
        <w:t>t</w:t>
      </w:r>
      <w:r w:rsidRPr="00084F2E">
        <w:rPr>
          <w:b w:val="0"/>
          <w:lang w:val="en-US"/>
        </w:rPr>
        <w:t xml:space="preserve"> is also I(1), then Y</w:t>
      </w:r>
      <w:r w:rsidRPr="00084F2E">
        <w:rPr>
          <w:b w:val="0"/>
          <w:i/>
          <w:lang w:val="en-US"/>
        </w:rPr>
        <w:t>t</w:t>
      </w:r>
      <w:r w:rsidRPr="00084F2E">
        <w:rPr>
          <w:b w:val="0"/>
          <w:lang w:val="en-US"/>
        </w:rPr>
        <w:t xml:space="preserve"> and X</w:t>
      </w:r>
      <w:r w:rsidRPr="00084F2E">
        <w:rPr>
          <w:b w:val="0"/>
          <w:i/>
          <w:lang w:val="en-US"/>
        </w:rPr>
        <w:t>t</w:t>
      </w:r>
      <w:r w:rsidRPr="00084F2E">
        <w:rPr>
          <w:b w:val="0"/>
          <w:lang w:val="en-US"/>
        </w:rPr>
        <w:t xml:space="preserve"> are said to be co-integrated if there exists a β such that </w:t>
      </w:r>
      <m:oMath>
        <m:r>
          <m:rPr>
            <m:sty m:val="bi"/>
          </m:rPr>
          <w:rPr>
            <w:rFonts w:ascii="Cambria Math" w:hAnsi="Cambria Math"/>
            <w:lang w:val="en-US"/>
          </w:rPr>
          <m:t>Yt-βXt</m:t>
        </m:r>
      </m:oMath>
      <w:r w:rsidRPr="00084F2E">
        <w:rPr>
          <w:b w:val="0"/>
          <w:lang w:val="en-US"/>
        </w:rPr>
        <w:t xml:space="preserve"> is I(0). In that case the regression equation </w:t>
      </w:r>
      <m:oMath>
        <m:r>
          <m:rPr>
            <m:sty m:val="bi"/>
          </m:rPr>
          <w:rPr>
            <w:rFonts w:ascii="Cambria Math" w:hAnsi="Cambria Math"/>
            <w:lang w:val="en-US"/>
          </w:rPr>
          <m:t>Yt=βXt+Ut</m:t>
        </m:r>
      </m:oMath>
      <w:r w:rsidRPr="00084F2E">
        <w:rPr>
          <w:b w:val="0"/>
          <w:lang w:val="en-US"/>
        </w:rPr>
        <w:t>makes sense because Y</w:t>
      </w:r>
      <w:r w:rsidRPr="00084F2E">
        <w:rPr>
          <w:b w:val="0"/>
          <w:i/>
          <w:lang w:val="en-US"/>
        </w:rPr>
        <w:t>t</w:t>
      </w:r>
      <w:r w:rsidRPr="00084F2E">
        <w:rPr>
          <w:b w:val="0"/>
          <w:lang w:val="en-US"/>
        </w:rPr>
        <w:t xml:space="preserve"> and X</w:t>
      </w:r>
      <w:r w:rsidRPr="00084F2E">
        <w:rPr>
          <w:b w:val="0"/>
          <w:i/>
          <w:lang w:val="en-US"/>
        </w:rPr>
        <w:t>t</w:t>
      </w:r>
      <w:r w:rsidRPr="00084F2E">
        <w:rPr>
          <w:b w:val="0"/>
          <w:lang w:val="en-US"/>
        </w:rPr>
        <w:t xml:space="preserve"> don’t drift too far apart from each other over time (Madala, 1992). In general, if X</w:t>
      </w:r>
      <w:r w:rsidRPr="00084F2E">
        <w:rPr>
          <w:b w:val="0"/>
          <w:i/>
          <w:lang w:val="en-US"/>
        </w:rPr>
        <w:t>t</w:t>
      </w:r>
      <w:r w:rsidRPr="00084F2E">
        <w:rPr>
          <w:b w:val="0"/>
          <w:lang w:val="en-US"/>
        </w:rPr>
        <w:t xml:space="preserve"> and Y</w:t>
      </w:r>
      <w:r w:rsidRPr="00084F2E">
        <w:rPr>
          <w:b w:val="0"/>
          <w:i/>
          <w:lang w:val="en-US"/>
        </w:rPr>
        <w:t>t</w:t>
      </w:r>
      <w:r w:rsidRPr="00084F2E">
        <w:rPr>
          <w:b w:val="0"/>
          <w:lang w:val="en-US"/>
        </w:rPr>
        <w:t xml:space="preserve"> are co-integrated, that means there is a long-run relationship between them and Furthermore, the short-run dynamics can be described by the error correction model (ECM). Regarding the test for the existence of co-integration, there are a number of methods for testing it. Among these the Engle Granger two step residual based procedures and the Johansen test are the major ones used by many researchers. </w:t>
      </w:r>
    </w:p>
    <w:p w14:paraId="70D6B62C" w14:textId="77777777" w:rsidR="0072282A" w:rsidRPr="00084F2E" w:rsidRDefault="00AB1BEC">
      <w:pPr>
        <w:spacing w:after="200" w:line="276" w:lineRule="auto"/>
        <w:rPr>
          <w:rFonts w:eastAsiaTheme="majorEastAsia" w:cstheme="majorBidi"/>
          <w:bCs/>
          <w:sz w:val="32"/>
          <w:szCs w:val="28"/>
          <w:lang w:val="en-US"/>
        </w:rPr>
      </w:pPr>
      <w:r w:rsidRPr="00084F2E">
        <w:rPr>
          <w:rFonts w:eastAsiaTheme="majorEastAsia" w:cstheme="majorBidi"/>
          <w:bCs/>
          <w:sz w:val="32"/>
          <w:szCs w:val="28"/>
          <w:lang w:val="en-US"/>
        </w:rPr>
        <w:br w:type="page"/>
      </w:r>
    </w:p>
    <w:p w14:paraId="7817A998" w14:textId="77777777" w:rsidR="0072282A" w:rsidRPr="00084F2E" w:rsidRDefault="00AB1BEC">
      <w:pPr>
        <w:keepNext/>
        <w:keepLines/>
        <w:spacing w:before="480"/>
        <w:jc w:val="center"/>
        <w:outlineLvl w:val="0"/>
        <w:rPr>
          <w:rFonts w:eastAsiaTheme="majorEastAsia" w:cstheme="majorBidi"/>
          <w:bCs/>
          <w:sz w:val="32"/>
          <w:szCs w:val="28"/>
          <w:lang w:val="en-US"/>
        </w:rPr>
      </w:pPr>
      <w:bookmarkStart w:id="62" w:name="_Toc220662026"/>
      <w:r w:rsidRPr="00084F2E">
        <w:rPr>
          <w:rFonts w:eastAsiaTheme="majorEastAsia" w:cstheme="majorBidi"/>
          <w:bCs/>
          <w:sz w:val="32"/>
          <w:szCs w:val="28"/>
          <w:lang w:val="en-US"/>
        </w:rPr>
        <w:lastRenderedPageBreak/>
        <w:t>CHAPTER FOUR</w:t>
      </w:r>
      <w:bookmarkEnd w:id="62"/>
    </w:p>
    <w:p w14:paraId="3ED236E9" w14:textId="77777777" w:rsidR="0072282A" w:rsidRPr="00084F2E" w:rsidRDefault="00AB1BEC">
      <w:pPr>
        <w:keepNext/>
        <w:keepLines/>
        <w:spacing w:before="480"/>
        <w:jc w:val="center"/>
        <w:outlineLvl w:val="0"/>
        <w:rPr>
          <w:rFonts w:eastAsiaTheme="majorEastAsia" w:cstheme="majorBidi"/>
          <w:bCs/>
          <w:sz w:val="32"/>
          <w:szCs w:val="28"/>
          <w:lang w:val="en-US"/>
        </w:rPr>
      </w:pPr>
      <w:bookmarkStart w:id="63" w:name="_Toc220662027"/>
      <w:r w:rsidRPr="00084F2E">
        <w:rPr>
          <w:rFonts w:eastAsiaTheme="majorEastAsia" w:cstheme="majorBidi"/>
          <w:bCs/>
          <w:sz w:val="32"/>
          <w:szCs w:val="28"/>
          <w:lang w:val="en-US"/>
        </w:rPr>
        <w:t>RESULTS AND DICUSSION</w:t>
      </w:r>
      <w:bookmarkEnd w:id="63"/>
    </w:p>
    <w:p w14:paraId="21916AE1" w14:textId="77777777" w:rsidR="0072282A" w:rsidRPr="00084F2E" w:rsidRDefault="00AB1BEC">
      <w:pPr>
        <w:keepNext/>
        <w:keepLines/>
        <w:spacing w:before="200" w:line="360" w:lineRule="auto"/>
        <w:outlineLvl w:val="1"/>
        <w:rPr>
          <w:rFonts w:eastAsiaTheme="majorEastAsia" w:cstheme="majorBidi"/>
          <w:bCs/>
          <w:sz w:val="28"/>
          <w:szCs w:val="26"/>
          <w:lang w:val="en-US"/>
        </w:rPr>
      </w:pPr>
      <w:bookmarkStart w:id="64" w:name="_Toc220662028"/>
      <w:r w:rsidRPr="00084F2E">
        <w:rPr>
          <w:rFonts w:eastAsiaTheme="majorEastAsia" w:cstheme="majorBidi"/>
          <w:bCs/>
          <w:sz w:val="28"/>
          <w:szCs w:val="26"/>
          <w:lang w:val="en-US"/>
        </w:rPr>
        <w:t>4.1. Introduction</w:t>
      </w:r>
      <w:bookmarkEnd w:id="64"/>
      <w:r w:rsidRPr="00084F2E">
        <w:rPr>
          <w:rFonts w:eastAsiaTheme="majorEastAsia" w:cstheme="majorBidi"/>
          <w:bCs/>
          <w:sz w:val="28"/>
          <w:szCs w:val="26"/>
          <w:lang w:val="en-US"/>
        </w:rPr>
        <w:t xml:space="preserve"> </w:t>
      </w:r>
    </w:p>
    <w:p w14:paraId="62BDF23C" w14:textId="77777777" w:rsidR="0072282A" w:rsidRPr="00084F2E" w:rsidRDefault="00AB1BEC">
      <w:pPr>
        <w:spacing w:line="360" w:lineRule="auto"/>
        <w:jc w:val="both"/>
        <w:rPr>
          <w:b w:val="0"/>
          <w:lang w:val="en-US"/>
        </w:rPr>
      </w:pPr>
      <w:r w:rsidRPr="00084F2E">
        <w:rPr>
          <w:b w:val="0"/>
          <w:lang w:val="en-US"/>
        </w:rPr>
        <w:t xml:space="preserve">In this chapter, the main results taken from the analysis of selected macroeconomic variables are presented, along with their interpretation and implications. It begins with a descriptive analysis that provides a summary of the central tendencies, spread, and time altercations of data. Next, the time series attributes of each variable are analyzed, including unit root tests for stationarity; this is important as time series data need to be stationary to make effective econometric models. Thereafter the analysis also explores potential long-run relationships among the time series variables through co-integration tests and identifies an Error Correction Model (ECM). </w:t>
      </w:r>
      <w:bookmarkStart w:id="65" w:name="_Toc197530406"/>
    </w:p>
    <w:p w14:paraId="2C02BFFD" w14:textId="77777777" w:rsidR="0072282A" w:rsidRPr="00084F2E" w:rsidRDefault="00AB1BEC">
      <w:pPr>
        <w:spacing w:line="360" w:lineRule="auto"/>
        <w:jc w:val="both"/>
        <w:rPr>
          <w:b w:val="0"/>
          <w:lang w:val="en-US"/>
        </w:rPr>
      </w:pPr>
      <w:r w:rsidRPr="00084F2E">
        <w:rPr>
          <w:b w:val="0"/>
          <w:lang w:val="en-US"/>
        </w:rPr>
        <w:t>After this, econometric analysis continues with a quantitative econometric analysis. This is accomplished with the beginning of tests for initial model assumptions like tests of normality tests, homoscedasticity, auto correlation and specification tests for the model in order to yield an appropriate regression model. The chapter then concludes with a discussion of prior bivariate correlation analysis and regression coefficients of the Ordinary Least Squares (OLS) Model. This explains the value quantification export process and outlining macroeconomic determinants in its dynamism.</w:t>
      </w:r>
    </w:p>
    <w:p w14:paraId="008C1EBC" w14:textId="77777777" w:rsidR="0072282A" w:rsidRPr="00084F2E" w:rsidRDefault="00AB1BEC">
      <w:pPr>
        <w:pStyle w:val="Heading2"/>
        <w:rPr>
          <w:lang w:val="en-US"/>
        </w:rPr>
      </w:pPr>
      <w:bookmarkStart w:id="66" w:name="_Toc220662029"/>
      <w:r w:rsidRPr="00084F2E">
        <w:rPr>
          <w:lang w:val="en-US"/>
        </w:rPr>
        <w:t>4.2. Descriptive Analysis</w:t>
      </w:r>
      <w:bookmarkEnd w:id="66"/>
    </w:p>
    <w:p w14:paraId="1A83D343" w14:textId="77777777" w:rsidR="0072282A" w:rsidRPr="00084F2E" w:rsidRDefault="00AB1BEC">
      <w:pPr>
        <w:spacing w:line="360" w:lineRule="auto"/>
        <w:jc w:val="both"/>
        <w:rPr>
          <w:b w:val="0"/>
          <w:lang w:val="en-US"/>
        </w:rPr>
      </w:pPr>
      <w:r w:rsidRPr="00084F2E">
        <w:rPr>
          <w:b w:val="0"/>
          <w:lang w:val="en-US"/>
        </w:rPr>
        <w:t>This section defines the key macroeconomic variables used in the analysis. Summary statistics (mean, standard deviation, minimum, and maximum) of each variable over 30 observation periods are presented in Table 4.1 below. This initial level of analysis establishes the central tendency, spread, and range of the data. It offers preliminary observations on the general nature and pattern of each economic indicator, which preempts more formal econometric analysis.</w:t>
      </w:r>
    </w:p>
    <w:p w14:paraId="4E4C7753" w14:textId="77777777" w:rsidR="0072282A" w:rsidRPr="00084F2E" w:rsidRDefault="0072282A">
      <w:pPr>
        <w:spacing w:line="360" w:lineRule="auto"/>
        <w:jc w:val="both"/>
        <w:rPr>
          <w:b w:val="0"/>
          <w:lang w:val="en-US"/>
        </w:rPr>
      </w:pPr>
    </w:p>
    <w:p w14:paraId="668A8327" w14:textId="77777777" w:rsidR="0072282A" w:rsidRPr="00084F2E" w:rsidRDefault="0072282A">
      <w:pPr>
        <w:spacing w:line="360" w:lineRule="auto"/>
        <w:jc w:val="both"/>
        <w:rPr>
          <w:b w:val="0"/>
          <w:lang w:val="en-US"/>
        </w:rPr>
      </w:pPr>
    </w:p>
    <w:p w14:paraId="6AD66926" w14:textId="77777777" w:rsidR="0072282A" w:rsidRPr="00084F2E" w:rsidRDefault="0072282A">
      <w:pPr>
        <w:spacing w:line="360" w:lineRule="auto"/>
        <w:jc w:val="both"/>
        <w:rPr>
          <w:b w:val="0"/>
          <w:lang w:val="en-US"/>
        </w:rPr>
      </w:pPr>
    </w:p>
    <w:p w14:paraId="3E8CCBEB" w14:textId="77777777" w:rsidR="0072282A" w:rsidRPr="00084F2E" w:rsidRDefault="0072282A">
      <w:pPr>
        <w:spacing w:line="360" w:lineRule="auto"/>
        <w:jc w:val="both"/>
        <w:rPr>
          <w:b w:val="0"/>
          <w:lang w:val="en-US"/>
        </w:rPr>
      </w:pPr>
    </w:p>
    <w:p w14:paraId="3A77CC9D" w14:textId="77777777" w:rsidR="0072282A" w:rsidRPr="00084F2E" w:rsidRDefault="0072282A">
      <w:pPr>
        <w:spacing w:line="360" w:lineRule="auto"/>
        <w:jc w:val="both"/>
        <w:rPr>
          <w:b w:val="0"/>
          <w:lang w:val="en-US"/>
        </w:rPr>
      </w:pPr>
    </w:p>
    <w:p w14:paraId="20F17F80" w14:textId="77777777" w:rsidR="0072282A" w:rsidRPr="00084F2E" w:rsidRDefault="0072282A">
      <w:pPr>
        <w:spacing w:line="360" w:lineRule="auto"/>
        <w:jc w:val="both"/>
        <w:rPr>
          <w:b w:val="0"/>
          <w:lang w:val="en-US"/>
        </w:rPr>
      </w:pPr>
    </w:p>
    <w:p w14:paraId="24B38B3D" w14:textId="39152857" w:rsidR="00804343" w:rsidRPr="00084F2E" w:rsidRDefault="00AB1BEC" w:rsidP="0060475C">
      <w:pPr>
        <w:spacing w:line="360" w:lineRule="auto"/>
        <w:jc w:val="both"/>
        <w:rPr>
          <w:rFonts w:cs="Times New Roman"/>
          <w:bCs/>
          <w:sz w:val="27"/>
          <w:szCs w:val="27"/>
          <w:lang w:val="en-US"/>
        </w:rPr>
      </w:pPr>
      <w:r w:rsidRPr="00084F2E">
        <w:rPr>
          <w:rFonts w:eastAsiaTheme="majorEastAsia" w:cstheme="majorBidi"/>
          <w:bCs/>
          <w:lang w:val="en-US"/>
        </w:rPr>
        <w:lastRenderedPageBreak/>
        <w:t>Table 4.1 Descriptive statistics of study variables</w:t>
      </w:r>
      <w:bookmarkEnd w:id="65"/>
      <w:r w:rsidRPr="00084F2E">
        <w:rPr>
          <w:rFonts w:eastAsiaTheme="majorEastAsia" w:cstheme="majorBidi"/>
          <w:bCs/>
          <w:lang w:val="en-US"/>
        </w:rPr>
        <w:t xml:space="preserve"> </w:t>
      </w:r>
    </w:p>
    <w:tbl>
      <w:tblPr>
        <w:tblStyle w:val="TableGridLight"/>
        <w:tblW w:w="9802" w:type="dxa"/>
        <w:tblLook w:val="04A0" w:firstRow="1" w:lastRow="0" w:firstColumn="1" w:lastColumn="0" w:noHBand="0" w:noVBand="1"/>
      </w:tblPr>
      <w:tblGrid>
        <w:gridCol w:w="2483"/>
        <w:gridCol w:w="630"/>
        <w:gridCol w:w="1716"/>
        <w:gridCol w:w="1716"/>
        <w:gridCol w:w="1596"/>
        <w:gridCol w:w="1836"/>
      </w:tblGrid>
      <w:tr w:rsidR="00084F2E" w:rsidRPr="00084F2E" w14:paraId="67F92662" w14:textId="77777777" w:rsidTr="00804343">
        <w:trPr>
          <w:trHeight w:val="685"/>
        </w:trPr>
        <w:tc>
          <w:tcPr>
            <w:tcW w:w="0" w:type="auto"/>
            <w:hideMark/>
          </w:tcPr>
          <w:p w14:paraId="16F171EA" w14:textId="77777777" w:rsidR="00804343" w:rsidRPr="00084F2E" w:rsidRDefault="00804343" w:rsidP="00804343">
            <w:pPr>
              <w:rPr>
                <w:rFonts w:cs="Times New Roman"/>
                <w:lang w:val="en-US"/>
              </w:rPr>
            </w:pPr>
            <w:r w:rsidRPr="00084F2E">
              <w:rPr>
                <w:rFonts w:cs="Times New Roman"/>
                <w:lang w:val="en-US"/>
              </w:rPr>
              <w:t>Variable</w:t>
            </w:r>
          </w:p>
        </w:tc>
        <w:tc>
          <w:tcPr>
            <w:tcW w:w="0" w:type="auto"/>
            <w:hideMark/>
          </w:tcPr>
          <w:p w14:paraId="47ABCDD0" w14:textId="77777777" w:rsidR="00804343" w:rsidRPr="00084F2E" w:rsidRDefault="00804343" w:rsidP="00804343">
            <w:pPr>
              <w:rPr>
                <w:rFonts w:cs="Times New Roman"/>
                <w:lang w:val="en-US"/>
              </w:rPr>
            </w:pPr>
            <w:r w:rsidRPr="00084F2E">
              <w:rPr>
                <w:rFonts w:cs="Times New Roman"/>
                <w:lang w:val="en-US"/>
              </w:rPr>
              <w:t>Obs</w:t>
            </w:r>
          </w:p>
        </w:tc>
        <w:tc>
          <w:tcPr>
            <w:tcW w:w="0" w:type="auto"/>
            <w:hideMark/>
          </w:tcPr>
          <w:p w14:paraId="25037A0F" w14:textId="77777777" w:rsidR="00804343" w:rsidRPr="00084F2E" w:rsidRDefault="00804343" w:rsidP="00804343">
            <w:pPr>
              <w:rPr>
                <w:rFonts w:cs="Times New Roman"/>
                <w:lang w:val="en-US"/>
              </w:rPr>
            </w:pPr>
            <w:r w:rsidRPr="00084F2E">
              <w:rPr>
                <w:rFonts w:cs="Times New Roman"/>
                <w:lang w:val="en-US"/>
              </w:rPr>
              <w:t>Mean</w:t>
            </w:r>
          </w:p>
        </w:tc>
        <w:tc>
          <w:tcPr>
            <w:tcW w:w="0" w:type="auto"/>
            <w:hideMark/>
          </w:tcPr>
          <w:p w14:paraId="116E4E98" w14:textId="77777777" w:rsidR="00804343" w:rsidRPr="00084F2E" w:rsidRDefault="00804343" w:rsidP="00804343">
            <w:pPr>
              <w:rPr>
                <w:rFonts w:cs="Times New Roman"/>
                <w:lang w:val="en-US"/>
              </w:rPr>
            </w:pPr>
            <w:r w:rsidRPr="00084F2E">
              <w:rPr>
                <w:rFonts w:cs="Times New Roman"/>
                <w:lang w:val="en-US"/>
              </w:rPr>
              <w:t>Std. Dev.</w:t>
            </w:r>
          </w:p>
        </w:tc>
        <w:tc>
          <w:tcPr>
            <w:tcW w:w="0" w:type="auto"/>
            <w:hideMark/>
          </w:tcPr>
          <w:p w14:paraId="4FC9D916" w14:textId="77777777" w:rsidR="00804343" w:rsidRPr="00084F2E" w:rsidRDefault="00804343" w:rsidP="00804343">
            <w:pPr>
              <w:rPr>
                <w:rFonts w:cs="Times New Roman"/>
                <w:lang w:val="en-US"/>
              </w:rPr>
            </w:pPr>
            <w:r w:rsidRPr="00084F2E">
              <w:rPr>
                <w:rFonts w:cs="Times New Roman"/>
                <w:lang w:val="en-US"/>
              </w:rPr>
              <w:t>Min</w:t>
            </w:r>
          </w:p>
        </w:tc>
        <w:tc>
          <w:tcPr>
            <w:tcW w:w="0" w:type="auto"/>
            <w:hideMark/>
          </w:tcPr>
          <w:p w14:paraId="0D99FFDB" w14:textId="77777777" w:rsidR="00804343" w:rsidRPr="00084F2E" w:rsidRDefault="00804343" w:rsidP="00804343">
            <w:pPr>
              <w:rPr>
                <w:rFonts w:cs="Times New Roman"/>
                <w:lang w:val="en-US"/>
              </w:rPr>
            </w:pPr>
            <w:r w:rsidRPr="00084F2E">
              <w:rPr>
                <w:rFonts w:cs="Times New Roman"/>
                <w:lang w:val="en-US"/>
              </w:rPr>
              <w:t>Max</w:t>
            </w:r>
          </w:p>
        </w:tc>
      </w:tr>
      <w:tr w:rsidR="00084F2E" w:rsidRPr="00084F2E" w14:paraId="4D7B013E" w14:textId="77777777" w:rsidTr="00804343">
        <w:trPr>
          <w:trHeight w:val="342"/>
        </w:trPr>
        <w:tc>
          <w:tcPr>
            <w:tcW w:w="0" w:type="auto"/>
            <w:hideMark/>
          </w:tcPr>
          <w:p w14:paraId="5C4275C9" w14:textId="77777777" w:rsidR="00804343" w:rsidRPr="00084F2E" w:rsidRDefault="00804343" w:rsidP="00804343">
            <w:pPr>
              <w:rPr>
                <w:rFonts w:cs="Times New Roman"/>
                <w:b w:val="0"/>
                <w:lang w:val="en-US"/>
              </w:rPr>
            </w:pPr>
            <w:r w:rsidRPr="00084F2E">
              <w:rPr>
                <w:rFonts w:cs="Times New Roman"/>
                <w:b w:val="0"/>
                <w:bCs/>
                <w:lang w:val="en-US"/>
              </w:rPr>
              <w:t>Export_value</w:t>
            </w:r>
          </w:p>
        </w:tc>
        <w:tc>
          <w:tcPr>
            <w:tcW w:w="0" w:type="auto"/>
            <w:hideMark/>
          </w:tcPr>
          <w:p w14:paraId="7CAD8758" w14:textId="77777777" w:rsidR="00804343" w:rsidRPr="00084F2E" w:rsidRDefault="00804343" w:rsidP="00804343">
            <w:pPr>
              <w:rPr>
                <w:rFonts w:cs="Times New Roman"/>
                <w:b w:val="0"/>
                <w:lang w:val="en-US"/>
              </w:rPr>
            </w:pPr>
            <w:r w:rsidRPr="00084F2E">
              <w:rPr>
                <w:rFonts w:cs="Times New Roman"/>
                <w:b w:val="0"/>
                <w:lang w:val="en-US"/>
              </w:rPr>
              <w:t>30</w:t>
            </w:r>
          </w:p>
        </w:tc>
        <w:tc>
          <w:tcPr>
            <w:tcW w:w="0" w:type="auto"/>
            <w:hideMark/>
          </w:tcPr>
          <w:p w14:paraId="282E2751" w14:textId="77777777" w:rsidR="00804343" w:rsidRPr="00084F2E" w:rsidRDefault="00804343" w:rsidP="00804343">
            <w:pPr>
              <w:rPr>
                <w:rFonts w:cs="Times New Roman"/>
                <w:b w:val="0"/>
                <w:lang w:val="en-US"/>
              </w:rPr>
            </w:pPr>
            <w:r w:rsidRPr="00084F2E">
              <w:rPr>
                <w:rFonts w:cs="Times New Roman"/>
                <w:b w:val="0"/>
                <w:lang w:val="en-US"/>
              </w:rPr>
              <w:t>915,226.5</w:t>
            </w:r>
          </w:p>
        </w:tc>
        <w:tc>
          <w:tcPr>
            <w:tcW w:w="0" w:type="auto"/>
            <w:hideMark/>
          </w:tcPr>
          <w:p w14:paraId="0DA71B15" w14:textId="77777777" w:rsidR="00804343" w:rsidRPr="00084F2E" w:rsidRDefault="00804343" w:rsidP="00804343">
            <w:pPr>
              <w:rPr>
                <w:rFonts w:cs="Times New Roman"/>
                <w:b w:val="0"/>
                <w:lang w:val="en-US"/>
              </w:rPr>
            </w:pPr>
            <w:r w:rsidRPr="00084F2E">
              <w:rPr>
                <w:rFonts w:cs="Times New Roman"/>
                <w:b w:val="0"/>
                <w:lang w:val="en-US"/>
              </w:rPr>
              <w:t>586,594.3</w:t>
            </w:r>
          </w:p>
        </w:tc>
        <w:tc>
          <w:tcPr>
            <w:tcW w:w="0" w:type="auto"/>
            <w:hideMark/>
          </w:tcPr>
          <w:p w14:paraId="5EC6A122" w14:textId="77777777" w:rsidR="00804343" w:rsidRPr="00084F2E" w:rsidRDefault="00804343" w:rsidP="00804343">
            <w:pPr>
              <w:rPr>
                <w:rFonts w:cs="Times New Roman"/>
                <w:b w:val="0"/>
                <w:lang w:val="en-US"/>
              </w:rPr>
            </w:pPr>
            <w:r w:rsidRPr="00084F2E">
              <w:rPr>
                <w:rFonts w:cs="Times New Roman"/>
                <w:b w:val="0"/>
                <w:lang w:val="en-US"/>
              </w:rPr>
              <w:t>152,200</w:t>
            </w:r>
          </w:p>
        </w:tc>
        <w:tc>
          <w:tcPr>
            <w:tcW w:w="0" w:type="auto"/>
            <w:hideMark/>
          </w:tcPr>
          <w:p w14:paraId="05209183" w14:textId="77777777" w:rsidR="00804343" w:rsidRPr="00084F2E" w:rsidRDefault="00804343" w:rsidP="00804343">
            <w:pPr>
              <w:rPr>
                <w:rFonts w:cs="Times New Roman"/>
                <w:b w:val="0"/>
                <w:lang w:val="en-US"/>
              </w:rPr>
            </w:pPr>
            <w:r w:rsidRPr="00084F2E">
              <w:rPr>
                <w:rFonts w:cs="Times New Roman"/>
                <w:b w:val="0"/>
                <w:lang w:val="en-US"/>
              </w:rPr>
              <w:t>2,141,244</w:t>
            </w:r>
          </w:p>
        </w:tc>
      </w:tr>
      <w:tr w:rsidR="00084F2E" w:rsidRPr="00084F2E" w14:paraId="270817A4" w14:textId="77777777" w:rsidTr="00804343">
        <w:trPr>
          <w:trHeight w:val="670"/>
        </w:trPr>
        <w:tc>
          <w:tcPr>
            <w:tcW w:w="0" w:type="auto"/>
            <w:hideMark/>
          </w:tcPr>
          <w:p w14:paraId="02EB7946" w14:textId="77777777" w:rsidR="00804343" w:rsidRPr="00084F2E" w:rsidRDefault="00804343" w:rsidP="00804343">
            <w:pPr>
              <w:rPr>
                <w:rFonts w:cs="Times New Roman"/>
                <w:b w:val="0"/>
                <w:lang w:val="en-US"/>
              </w:rPr>
            </w:pPr>
            <w:r w:rsidRPr="00084F2E">
              <w:rPr>
                <w:rFonts w:cs="Times New Roman"/>
                <w:b w:val="0"/>
                <w:bCs/>
                <w:lang w:val="en-US"/>
              </w:rPr>
              <w:t>Gornt_debt</w:t>
            </w:r>
          </w:p>
        </w:tc>
        <w:tc>
          <w:tcPr>
            <w:tcW w:w="0" w:type="auto"/>
            <w:hideMark/>
          </w:tcPr>
          <w:p w14:paraId="1E982C6D" w14:textId="77777777" w:rsidR="00804343" w:rsidRPr="00084F2E" w:rsidRDefault="00804343" w:rsidP="00804343">
            <w:pPr>
              <w:rPr>
                <w:rFonts w:cs="Times New Roman"/>
                <w:b w:val="0"/>
                <w:lang w:val="en-US"/>
              </w:rPr>
            </w:pPr>
            <w:r w:rsidRPr="00084F2E">
              <w:rPr>
                <w:rFonts w:cs="Times New Roman"/>
                <w:b w:val="0"/>
                <w:lang w:val="en-US"/>
              </w:rPr>
              <w:t>30</w:t>
            </w:r>
          </w:p>
        </w:tc>
        <w:tc>
          <w:tcPr>
            <w:tcW w:w="0" w:type="auto"/>
            <w:hideMark/>
          </w:tcPr>
          <w:p w14:paraId="4EED1BB4" w14:textId="77777777" w:rsidR="00804343" w:rsidRPr="00084F2E" w:rsidRDefault="00804343" w:rsidP="00804343">
            <w:pPr>
              <w:rPr>
                <w:rFonts w:cs="Times New Roman"/>
                <w:b w:val="0"/>
                <w:lang w:val="en-US"/>
              </w:rPr>
            </w:pPr>
            <w:r w:rsidRPr="00084F2E">
              <w:rPr>
                <w:rFonts w:cs="Times New Roman"/>
                <w:b w:val="0"/>
                <w:lang w:val="en-US"/>
              </w:rPr>
              <w:t>21,000,000,000</w:t>
            </w:r>
          </w:p>
        </w:tc>
        <w:tc>
          <w:tcPr>
            <w:tcW w:w="0" w:type="auto"/>
            <w:hideMark/>
          </w:tcPr>
          <w:p w14:paraId="794CAB85" w14:textId="77777777" w:rsidR="00804343" w:rsidRPr="00084F2E" w:rsidRDefault="00804343" w:rsidP="00804343">
            <w:pPr>
              <w:rPr>
                <w:rFonts w:cs="Times New Roman"/>
                <w:b w:val="0"/>
                <w:lang w:val="en-US"/>
              </w:rPr>
            </w:pPr>
            <w:r w:rsidRPr="00084F2E">
              <w:rPr>
                <w:rFonts w:cs="Times New Roman"/>
                <w:b w:val="0"/>
                <w:lang w:val="en-US"/>
              </w:rPr>
              <w:t>18,600,000,000</w:t>
            </w:r>
          </w:p>
        </w:tc>
        <w:tc>
          <w:tcPr>
            <w:tcW w:w="0" w:type="auto"/>
            <w:hideMark/>
          </w:tcPr>
          <w:p w14:paraId="0D5CF313" w14:textId="77777777" w:rsidR="00804343" w:rsidRPr="00084F2E" w:rsidRDefault="00804343" w:rsidP="00804343">
            <w:pPr>
              <w:rPr>
                <w:rFonts w:cs="Times New Roman"/>
                <w:b w:val="0"/>
                <w:lang w:val="en-US"/>
              </w:rPr>
            </w:pPr>
            <w:r w:rsidRPr="00084F2E">
              <w:rPr>
                <w:rFonts w:cs="Times New Roman"/>
                <w:b w:val="0"/>
                <w:lang w:val="en-US"/>
              </w:rPr>
              <w:t>5,960,000,000</w:t>
            </w:r>
          </w:p>
        </w:tc>
        <w:tc>
          <w:tcPr>
            <w:tcW w:w="0" w:type="auto"/>
            <w:hideMark/>
          </w:tcPr>
          <w:p w14:paraId="41E5C6CA" w14:textId="77777777" w:rsidR="00804343" w:rsidRPr="00084F2E" w:rsidRDefault="00804343" w:rsidP="00804343">
            <w:pPr>
              <w:rPr>
                <w:rFonts w:cs="Times New Roman"/>
                <w:b w:val="0"/>
                <w:lang w:val="en-US"/>
              </w:rPr>
            </w:pPr>
            <w:r w:rsidRPr="00084F2E">
              <w:rPr>
                <w:rFonts w:cs="Times New Roman"/>
                <w:b w:val="0"/>
                <w:lang w:val="en-US"/>
              </w:rPr>
              <w:t>59,800,000,000</w:t>
            </w:r>
          </w:p>
        </w:tc>
      </w:tr>
      <w:tr w:rsidR="00084F2E" w:rsidRPr="00084F2E" w14:paraId="08B39E44" w14:textId="77777777" w:rsidTr="00804343">
        <w:trPr>
          <w:trHeight w:val="342"/>
        </w:trPr>
        <w:tc>
          <w:tcPr>
            <w:tcW w:w="0" w:type="auto"/>
            <w:hideMark/>
          </w:tcPr>
          <w:p w14:paraId="7C7FA366" w14:textId="77777777" w:rsidR="00804343" w:rsidRPr="00084F2E" w:rsidRDefault="00804343" w:rsidP="00804343">
            <w:pPr>
              <w:rPr>
                <w:rFonts w:cs="Times New Roman"/>
                <w:b w:val="0"/>
                <w:lang w:val="en-US"/>
              </w:rPr>
            </w:pPr>
            <w:r w:rsidRPr="00084F2E">
              <w:rPr>
                <w:rFonts w:cs="Times New Roman"/>
                <w:b w:val="0"/>
                <w:bCs/>
                <w:lang w:val="en-US"/>
              </w:rPr>
              <w:t>corruptioncontrol</w:t>
            </w:r>
          </w:p>
        </w:tc>
        <w:tc>
          <w:tcPr>
            <w:tcW w:w="0" w:type="auto"/>
            <w:hideMark/>
          </w:tcPr>
          <w:p w14:paraId="47AC826E" w14:textId="77777777" w:rsidR="00804343" w:rsidRPr="00084F2E" w:rsidRDefault="00804343" w:rsidP="00804343">
            <w:pPr>
              <w:rPr>
                <w:rFonts w:cs="Times New Roman"/>
                <w:b w:val="0"/>
                <w:lang w:val="en-US"/>
              </w:rPr>
            </w:pPr>
            <w:r w:rsidRPr="00084F2E">
              <w:rPr>
                <w:rFonts w:cs="Times New Roman"/>
                <w:b w:val="0"/>
                <w:lang w:val="en-US"/>
              </w:rPr>
              <w:t>30</w:t>
            </w:r>
          </w:p>
        </w:tc>
        <w:tc>
          <w:tcPr>
            <w:tcW w:w="0" w:type="auto"/>
            <w:hideMark/>
          </w:tcPr>
          <w:p w14:paraId="401491E6" w14:textId="77777777" w:rsidR="00804343" w:rsidRPr="00084F2E" w:rsidRDefault="00804343" w:rsidP="00804343">
            <w:pPr>
              <w:rPr>
                <w:rFonts w:cs="Times New Roman"/>
                <w:b w:val="0"/>
                <w:lang w:val="en-US"/>
              </w:rPr>
            </w:pPr>
            <w:r w:rsidRPr="00084F2E">
              <w:rPr>
                <w:rFonts w:cs="Times New Roman"/>
                <w:b w:val="0"/>
                <w:lang w:val="en-US"/>
              </w:rPr>
              <w:t>-0.6846663</w:t>
            </w:r>
          </w:p>
        </w:tc>
        <w:tc>
          <w:tcPr>
            <w:tcW w:w="0" w:type="auto"/>
            <w:hideMark/>
          </w:tcPr>
          <w:p w14:paraId="702DF985" w14:textId="77777777" w:rsidR="00804343" w:rsidRPr="00084F2E" w:rsidRDefault="00804343" w:rsidP="00804343">
            <w:pPr>
              <w:rPr>
                <w:rFonts w:cs="Times New Roman"/>
                <w:b w:val="0"/>
                <w:lang w:val="en-US"/>
              </w:rPr>
            </w:pPr>
            <w:r w:rsidRPr="00084F2E">
              <w:rPr>
                <w:rFonts w:cs="Times New Roman"/>
                <w:b w:val="0"/>
                <w:lang w:val="en-US"/>
              </w:rPr>
              <w:t>0.1906205</w:t>
            </w:r>
          </w:p>
        </w:tc>
        <w:tc>
          <w:tcPr>
            <w:tcW w:w="0" w:type="auto"/>
            <w:hideMark/>
          </w:tcPr>
          <w:p w14:paraId="2ECA62C5" w14:textId="77777777" w:rsidR="00804343" w:rsidRPr="00084F2E" w:rsidRDefault="00804343" w:rsidP="00804343">
            <w:pPr>
              <w:rPr>
                <w:rFonts w:cs="Times New Roman"/>
                <w:b w:val="0"/>
                <w:lang w:val="en-US"/>
              </w:rPr>
            </w:pPr>
            <w:r w:rsidRPr="00084F2E">
              <w:rPr>
                <w:rFonts w:cs="Times New Roman"/>
                <w:b w:val="0"/>
                <w:lang w:val="en-US"/>
              </w:rPr>
              <w:t>-0.975</w:t>
            </w:r>
          </w:p>
        </w:tc>
        <w:tc>
          <w:tcPr>
            <w:tcW w:w="0" w:type="auto"/>
            <w:hideMark/>
          </w:tcPr>
          <w:p w14:paraId="253BF85C" w14:textId="77777777" w:rsidR="00804343" w:rsidRPr="00084F2E" w:rsidRDefault="00804343" w:rsidP="00804343">
            <w:pPr>
              <w:rPr>
                <w:rFonts w:cs="Times New Roman"/>
                <w:b w:val="0"/>
                <w:lang w:val="en-US"/>
              </w:rPr>
            </w:pPr>
            <w:r w:rsidRPr="00084F2E">
              <w:rPr>
                <w:rFonts w:cs="Times New Roman"/>
                <w:b w:val="0"/>
                <w:lang w:val="en-US"/>
              </w:rPr>
              <w:t>-0.3896724</w:t>
            </w:r>
          </w:p>
        </w:tc>
      </w:tr>
      <w:tr w:rsidR="00084F2E" w:rsidRPr="00084F2E" w14:paraId="5514502E" w14:textId="77777777" w:rsidTr="00804343">
        <w:trPr>
          <w:trHeight w:val="685"/>
        </w:trPr>
        <w:tc>
          <w:tcPr>
            <w:tcW w:w="0" w:type="auto"/>
            <w:hideMark/>
          </w:tcPr>
          <w:p w14:paraId="6DCB5D0F" w14:textId="77777777" w:rsidR="00804343" w:rsidRPr="00084F2E" w:rsidRDefault="00804343" w:rsidP="00804343">
            <w:pPr>
              <w:rPr>
                <w:rFonts w:cs="Times New Roman"/>
                <w:b w:val="0"/>
                <w:highlight w:val="yellow"/>
                <w:lang w:val="en-US"/>
              </w:rPr>
            </w:pPr>
            <w:r w:rsidRPr="00084F2E">
              <w:rPr>
                <w:rFonts w:cs="Times New Roman"/>
                <w:b w:val="0"/>
                <w:bCs/>
                <w:highlight w:val="yellow"/>
                <w:lang w:val="en-US"/>
              </w:rPr>
              <w:t>Indirect_tax_revenue</w:t>
            </w:r>
          </w:p>
        </w:tc>
        <w:tc>
          <w:tcPr>
            <w:tcW w:w="0" w:type="auto"/>
            <w:hideMark/>
          </w:tcPr>
          <w:p w14:paraId="2DBDF7CB" w14:textId="77777777" w:rsidR="00804343" w:rsidRPr="00084F2E" w:rsidRDefault="00804343" w:rsidP="00804343">
            <w:pPr>
              <w:rPr>
                <w:rFonts w:cs="Times New Roman"/>
                <w:b w:val="0"/>
                <w:highlight w:val="yellow"/>
                <w:lang w:val="en-US"/>
              </w:rPr>
            </w:pPr>
            <w:r w:rsidRPr="00084F2E">
              <w:rPr>
                <w:rFonts w:cs="Times New Roman"/>
                <w:b w:val="0"/>
                <w:highlight w:val="yellow"/>
                <w:lang w:val="en-US"/>
              </w:rPr>
              <w:t>30</w:t>
            </w:r>
          </w:p>
        </w:tc>
        <w:tc>
          <w:tcPr>
            <w:tcW w:w="0" w:type="auto"/>
            <w:hideMark/>
          </w:tcPr>
          <w:p w14:paraId="6BD7FD96" w14:textId="77777777" w:rsidR="00804343" w:rsidRPr="00084F2E" w:rsidRDefault="00804343" w:rsidP="00804343">
            <w:pPr>
              <w:rPr>
                <w:rFonts w:cs="Times New Roman"/>
                <w:b w:val="0"/>
                <w:highlight w:val="yellow"/>
                <w:lang w:val="en-US"/>
              </w:rPr>
            </w:pPr>
            <w:r w:rsidRPr="00084F2E">
              <w:rPr>
                <w:rFonts w:cs="Times New Roman"/>
                <w:b w:val="0"/>
                <w:highlight w:val="yellow"/>
                <w:lang w:val="en-US"/>
              </w:rPr>
              <w:t>24,700,000,000</w:t>
            </w:r>
          </w:p>
        </w:tc>
        <w:tc>
          <w:tcPr>
            <w:tcW w:w="0" w:type="auto"/>
            <w:hideMark/>
          </w:tcPr>
          <w:p w14:paraId="58285156" w14:textId="77777777" w:rsidR="00804343" w:rsidRPr="00084F2E" w:rsidRDefault="00804343" w:rsidP="00804343">
            <w:pPr>
              <w:rPr>
                <w:rFonts w:cs="Times New Roman"/>
                <w:b w:val="0"/>
                <w:highlight w:val="yellow"/>
                <w:lang w:val="en-US"/>
              </w:rPr>
            </w:pPr>
            <w:r w:rsidRPr="00084F2E">
              <w:rPr>
                <w:rFonts w:cs="Times New Roman"/>
                <w:b w:val="0"/>
                <w:highlight w:val="yellow"/>
                <w:lang w:val="en-US"/>
              </w:rPr>
              <w:t>34,200,000,000</w:t>
            </w:r>
          </w:p>
        </w:tc>
        <w:tc>
          <w:tcPr>
            <w:tcW w:w="0" w:type="auto"/>
            <w:hideMark/>
          </w:tcPr>
          <w:p w14:paraId="1DC5352C" w14:textId="77777777" w:rsidR="00804343" w:rsidRPr="00084F2E" w:rsidRDefault="00804343" w:rsidP="00804343">
            <w:pPr>
              <w:rPr>
                <w:rFonts w:cs="Times New Roman"/>
                <w:b w:val="0"/>
                <w:highlight w:val="yellow"/>
                <w:lang w:val="en-US"/>
              </w:rPr>
            </w:pPr>
            <w:r w:rsidRPr="00084F2E">
              <w:rPr>
                <w:rFonts w:cs="Times New Roman"/>
                <w:b w:val="0"/>
                <w:highlight w:val="yellow"/>
                <w:lang w:val="en-US"/>
              </w:rPr>
              <w:t>709,000,000</w:t>
            </w:r>
          </w:p>
        </w:tc>
        <w:tc>
          <w:tcPr>
            <w:tcW w:w="0" w:type="auto"/>
            <w:hideMark/>
          </w:tcPr>
          <w:p w14:paraId="3195A629" w14:textId="77777777" w:rsidR="00804343" w:rsidRPr="00084F2E" w:rsidRDefault="00804343" w:rsidP="00804343">
            <w:pPr>
              <w:rPr>
                <w:rFonts w:cs="Times New Roman"/>
                <w:b w:val="0"/>
                <w:highlight w:val="yellow"/>
                <w:lang w:val="en-US"/>
              </w:rPr>
            </w:pPr>
            <w:r w:rsidRPr="00084F2E">
              <w:rPr>
                <w:rFonts w:cs="Times New Roman"/>
                <w:b w:val="0"/>
                <w:highlight w:val="yellow"/>
                <w:lang w:val="en-US"/>
              </w:rPr>
              <w:t>110,000,000,000</w:t>
            </w:r>
          </w:p>
        </w:tc>
      </w:tr>
      <w:tr w:rsidR="00084F2E" w:rsidRPr="00084F2E" w14:paraId="128BABBA" w14:textId="77777777" w:rsidTr="00804343">
        <w:trPr>
          <w:trHeight w:val="685"/>
        </w:trPr>
        <w:tc>
          <w:tcPr>
            <w:tcW w:w="0" w:type="auto"/>
            <w:hideMark/>
          </w:tcPr>
          <w:p w14:paraId="0754D406" w14:textId="77777777" w:rsidR="00804343" w:rsidRPr="00084F2E" w:rsidRDefault="00804343" w:rsidP="00804343">
            <w:pPr>
              <w:rPr>
                <w:rFonts w:cs="Times New Roman"/>
                <w:b w:val="0"/>
                <w:lang w:val="en-US"/>
              </w:rPr>
            </w:pPr>
            <w:r w:rsidRPr="00084F2E">
              <w:rPr>
                <w:rFonts w:cs="Times New Roman"/>
                <w:b w:val="0"/>
                <w:bCs/>
                <w:lang w:val="en-US"/>
              </w:rPr>
              <w:t>Gross_nationalsavings</w:t>
            </w:r>
          </w:p>
        </w:tc>
        <w:tc>
          <w:tcPr>
            <w:tcW w:w="0" w:type="auto"/>
            <w:hideMark/>
          </w:tcPr>
          <w:p w14:paraId="5C569F74" w14:textId="77777777" w:rsidR="00804343" w:rsidRPr="00084F2E" w:rsidRDefault="00804343" w:rsidP="00804343">
            <w:pPr>
              <w:rPr>
                <w:rFonts w:cs="Times New Roman"/>
                <w:b w:val="0"/>
                <w:lang w:val="en-US"/>
              </w:rPr>
            </w:pPr>
            <w:r w:rsidRPr="00084F2E">
              <w:rPr>
                <w:rFonts w:cs="Times New Roman"/>
                <w:b w:val="0"/>
                <w:lang w:val="en-US"/>
              </w:rPr>
              <w:t>30</w:t>
            </w:r>
          </w:p>
        </w:tc>
        <w:tc>
          <w:tcPr>
            <w:tcW w:w="0" w:type="auto"/>
            <w:hideMark/>
          </w:tcPr>
          <w:p w14:paraId="0230049A" w14:textId="77777777" w:rsidR="00804343" w:rsidRPr="00084F2E" w:rsidRDefault="00804343" w:rsidP="00804343">
            <w:pPr>
              <w:rPr>
                <w:rFonts w:cs="Times New Roman"/>
                <w:b w:val="0"/>
                <w:lang w:val="en-US"/>
              </w:rPr>
            </w:pPr>
            <w:r w:rsidRPr="00084F2E">
              <w:rPr>
                <w:rFonts w:cs="Times New Roman"/>
                <w:b w:val="0"/>
                <w:lang w:val="en-US"/>
              </w:rPr>
              <w:t>9,980,000,000</w:t>
            </w:r>
          </w:p>
        </w:tc>
        <w:tc>
          <w:tcPr>
            <w:tcW w:w="0" w:type="auto"/>
            <w:hideMark/>
          </w:tcPr>
          <w:p w14:paraId="072D4B29" w14:textId="77777777" w:rsidR="00804343" w:rsidRPr="00084F2E" w:rsidRDefault="00804343" w:rsidP="00804343">
            <w:pPr>
              <w:rPr>
                <w:rFonts w:cs="Times New Roman"/>
                <w:b w:val="0"/>
                <w:lang w:val="en-US"/>
              </w:rPr>
            </w:pPr>
            <w:r w:rsidRPr="00084F2E">
              <w:rPr>
                <w:rFonts w:cs="Times New Roman"/>
                <w:b w:val="0"/>
                <w:lang w:val="en-US"/>
              </w:rPr>
              <w:t>10,800,000,000</w:t>
            </w:r>
          </w:p>
        </w:tc>
        <w:tc>
          <w:tcPr>
            <w:tcW w:w="0" w:type="auto"/>
            <w:hideMark/>
          </w:tcPr>
          <w:p w14:paraId="6FA914BF" w14:textId="77777777" w:rsidR="00804343" w:rsidRPr="00084F2E" w:rsidRDefault="00804343" w:rsidP="00804343">
            <w:pPr>
              <w:rPr>
                <w:rFonts w:cs="Times New Roman"/>
                <w:b w:val="0"/>
                <w:lang w:val="en-US"/>
              </w:rPr>
            </w:pPr>
            <w:r w:rsidRPr="00084F2E">
              <w:rPr>
                <w:rFonts w:cs="Times New Roman"/>
                <w:b w:val="0"/>
                <w:lang w:val="en-US"/>
              </w:rPr>
              <w:t>442,000,000</w:t>
            </w:r>
          </w:p>
        </w:tc>
        <w:tc>
          <w:tcPr>
            <w:tcW w:w="0" w:type="auto"/>
            <w:hideMark/>
          </w:tcPr>
          <w:p w14:paraId="448DE4B4" w14:textId="77777777" w:rsidR="00804343" w:rsidRPr="00084F2E" w:rsidRDefault="00804343" w:rsidP="00804343">
            <w:pPr>
              <w:rPr>
                <w:rFonts w:cs="Times New Roman"/>
                <w:b w:val="0"/>
                <w:lang w:val="en-US"/>
              </w:rPr>
            </w:pPr>
            <w:r w:rsidRPr="00084F2E">
              <w:rPr>
                <w:rFonts w:cs="Times New Roman"/>
                <w:b w:val="0"/>
                <w:lang w:val="en-US"/>
              </w:rPr>
              <w:t>29,600,000,000</w:t>
            </w:r>
          </w:p>
        </w:tc>
      </w:tr>
      <w:tr w:rsidR="00084F2E" w:rsidRPr="00084F2E" w14:paraId="202CA1A2" w14:textId="77777777" w:rsidTr="00804343">
        <w:trPr>
          <w:trHeight w:val="685"/>
        </w:trPr>
        <w:tc>
          <w:tcPr>
            <w:tcW w:w="0" w:type="auto"/>
            <w:hideMark/>
          </w:tcPr>
          <w:p w14:paraId="1347CC59" w14:textId="77777777" w:rsidR="00804343" w:rsidRPr="00084F2E" w:rsidRDefault="00804343" w:rsidP="00804343">
            <w:pPr>
              <w:rPr>
                <w:rFonts w:cs="Times New Roman"/>
                <w:b w:val="0"/>
                <w:lang w:val="en-US"/>
              </w:rPr>
            </w:pPr>
            <w:r w:rsidRPr="00084F2E">
              <w:rPr>
                <w:rFonts w:cs="Times New Roman"/>
                <w:b w:val="0"/>
                <w:bCs/>
                <w:lang w:val="en-US"/>
              </w:rPr>
              <w:t>GDP</w:t>
            </w:r>
          </w:p>
        </w:tc>
        <w:tc>
          <w:tcPr>
            <w:tcW w:w="0" w:type="auto"/>
            <w:hideMark/>
          </w:tcPr>
          <w:p w14:paraId="44773AA3" w14:textId="77777777" w:rsidR="00804343" w:rsidRPr="00084F2E" w:rsidRDefault="00804343" w:rsidP="00804343">
            <w:pPr>
              <w:rPr>
                <w:rFonts w:cs="Times New Roman"/>
                <w:b w:val="0"/>
                <w:lang w:val="en-US"/>
              </w:rPr>
            </w:pPr>
            <w:r w:rsidRPr="00084F2E">
              <w:rPr>
                <w:rFonts w:cs="Times New Roman"/>
                <w:b w:val="0"/>
                <w:lang w:val="en-US"/>
              </w:rPr>
              <w:t>30</w:t>
            </w:r>
          </w:p>
        </w:tc>
        <w:tc>
          <w:tcPr>
            <w:tcW w:w="0" w:type="auto"/>
            <w:hideMark/>
          </w:tcPr>
          <w:p w14:paraId="2D1163EC" w14:textId="77777777" w:rsidR="00804343" w:rsidRPr="00084F2E" w:rsidRDefault="00804343" w:rsidP="00804343">
            <w:pPr>
              <w:rPr>
                <w:rFonts w:cs="Times New Roman"/>
                <w:b w:val="0"/>
                <w:lang w:val="en-US"/>
              </w:rPr>
            </w:pPr>
            <w:r w:rsidRPr="00084F2E">
              <w:rPr>
                <w:rFonts w:cs="Times New Roman"/>
                <w:b w:val="0"/>
                <w:lang w:val="en-US"/>
              </w:rPr>
              <w:t>38,700,000,000</w:t>
            </w:r>
          </w:p>
        </w:tc>
        <w:tc>
          <w:tcPr>
            <w:tcW w:w="0" w:type="auto"/>
            <w:hideMark/>
          </w:tcPr>
          <w:p w14:paraId="0F330D02" w14:textId="77777777" w:rsidR="00804343" w:rsidRPr="00084F2E" w:rsidRDefault="00804343" w:rsidP="00804343">
            <w:pPr>
              <w:rPr>
                <w:rFonts w:cs="Times New Roman"/>
                <w:b w:val="0"/>
                <w:lang w:val="en-US"/>
              </w:rPr>
            </w:pPr>
            <w:r w:rsidRPr="00084F2E">
              <w:rPr>
                <w:rFonts w:cs="Times New Roman"/>
                <w:b w:val="0"/>
                <w:lang w:val="en-US"/>
              </w:rPr>
              <w:t>37,300,000,000</w:t>
            </w:r>
          </w:p>
        </w:tc>
        <w:tc>
          <w:tcPr>
            <w:tcW w:w="0" w:type="auto"/>
            <w:hideMark/>
          </w:tcPr>
          <w:p w14:paraId="3486C903" w14:textId="77777777" w:rsidR="00804343" w:rsidRPr="00084F2E" w:rsidRDefault="00804343" w:rsidP="00804343">
            <w:pPr>
              <w:rPr>
                <w:rFonts w:cs="Times New Roman"/>
                <w:b w:val="0"/>
                <w:lang w:val="en-US"/>
              </w:rPr>
            </w:pPr>
            <w:r w:rsidRPr="00084F2E">
              <w:rPr>
                <w:rFonts w:cs="Times New Roman"/>
                <w:b w:val="0"/>
                <w:lang w:val="en-US"/>
              </w:rPr>
              <w:t>7,100,000,000</w:t>
            </w:r>
          </w:p>
        </w:tc>
        <w:tc>
          <w:tcPr>
            <w:tcW w:w="0" w:type="auto"/>
            <w:hideMark/>
          </w:tcPr>
          <w:p w14:paraId="31DA5647" w14:textId="77777777" w:rsidR="00804343" w:rsidRPr="00084F2E" w:rsidRDefault="00804343" w:rsidP="00804343">
            <w:pPr>
              <w:rPr>
                <w:rFonts w:cs="Times New Roman"/>
                <w:b w:val="0"/>
                <w:lang w:val="en-US"/>
              </w:rPr>
            </w:pPr>
            <w:r w:rsidRPr="00084F2E">
              <w:rPr>
                <w:rFonts w:cs="Times New Roman"/>
                <w:b w:val="0"/>
                <w:lang w:val="en-US"/>
              </w:rPr>
              <w:t>127,000,000,000</w:t>
            </w:r>
          </w:p>
        </w:tc>
      </w:tr>
      <w:tr w:rsidR="00084F2E" w:rsidRPr="00084F2E" w14:paraId="5D84DA1D" w14:textId="77777777" w:rsidTr="00804343">
        <w:trPr>
          <w:trHeight w:val="685"/>
        </w:trPr>
        <w:tc>
          <w:tcPr>
            <w:tcW w:w="0" w:type="auto"/>
            <w:hideMark/>
          </w:tcPr>
          <w:p w14:paraId="6B419466" w14:textId="77777777" w:rsidR="00804343" w:rsidRPr="00084F2E" w:rsidRDefault="00804343" w:rsidP="00804343">
            <w:pPr>
              <w:rPr>
                <w:rFonts w:cs="Times New Roman"/>
                <w:b w:val="0"/>
                <w:lang w:val="en-US"/>
              </w:rPr>
            </w:pPr>
            <w:r w:rsidRPr="00084F2E">
              <w:rPr>
                <w:rFonts w:cs="Times New Roman"/>
                <w:b w:val="0"/>
                <w:bCs/>
                <w:lang w:val="en-US"/>
              </w:rPr>
              <w:t>FDI</w:t>
            </w:r>
          </w:p>
        </w:tc>
        <w:tc>
          <w:tcPr>
            <w:tcW w:w="0" w:type="auto"/>
            <w:hideMark/>
          </w:tcPr>
          <w:p w14:paraId="4DE6F102" w14:textId="77777777" w:rsidR="00804343" w:rsidRPr="00084F2E" w:rsidRDefault="00804343" w:rsidP="00804343">
            <w:pPr>
              <w:rPr>
                <w:rFonts w:cs="Times New Roman"/>
                <w:b w:val="0"/>
                <w:lang w:val="en-US"/>
              </w:rPr>
            </w:pPr>
            <w:r w:rsidRPr="00084F2E">
              <w:rPr>
                <w:rFonts w:cs="Times New Roman"/>
                <w:b w:val="0"/>
                <w:lang w:val="en-US"/>
              </w:rPr>
              <w:t>30</w:t>
            </w:r>
          </w:p>
        </w:tc>
        <w:tc>
          <w:tcPr>
            <w:tcW w:w="0" w:type="auto"/>
            <w:hideMark/>
          </w:tcPr>
          <w:p w14:paraId="2FB8BF8E" w14:textId="77777777" w:rsidR="00804343" w:rsidRPr="00084F2E" w:rsidRDefault="00804343" w:rsidP="00804343">
            <w:pPr>
              <w:rPr>
                <w:rFonts w:cs="Times New Roman"/>
                <w:b w:val="0"/>
                <w:lang w:val="en-US"/>
              </w:rPr>
            </w:pPr>
            <w:r w:rsidRPr="00084F2E">
              <w:rPr>
                <w:rFonts w:cs="Times New Roman"/>
                <w:b w:val="0"/>
                <w:lang w:val="en-US"/>
              </w:rPr>
              <w:t>1,170,000,000</w:t>
            </w:r>
          </w:p>
        </w:tc>
        <w:tc>
          <w:tcPr>
            <w:tcW w:w="0" w:type="auto"/>
            <w:hideMark/>
          </w:tcPr>
          <w:p w14:paraId="5D997EA7" w14:textId="77777777" w:rsidR="00804343" w:rsidRPr="00084F2E" w:rsidRDefault="00804343" w:rsidP="00804343">
            <w:pPr>
              <w:rPr>
                <w:rFonts w:cs="Times New Roman"/>
                <w:b w:val="0"/>
                <w:lang w:val="en-US"/>
              </w:rPr>
            </w:pPr>
            <w:r w:rsidRPr="00084F2E">
              <w:rPr>
                <w:rFonts w:cs="Times New Roman"/>
                <w:b w:val="0"/>
                <w:lang w:val="en-US"/>
              </w:rPr>
              <w:t>1,450,000,000</w:t>
            </w:r>
          </w:p>
        </w:tc>
        <w:tc>
          <w:tcPr>
            <w:tcW w:w="0" w:type="auto"/>
            <w:hideMark/>
          </w:tcPr>
          <w:p w14:paraId="649CC53A" w14:textId="77777777" w:rsidR="00804343" w:rsidRPr="00084F2E" w:rsidRDefault="00804343" w:rsidP="00804343">
            <w:pPr>
              <w:rPr>
                <w:rFonts w:cs="Times New Roman"/>
                <w:b w:val="0"/>
                <w:lang w:val="en-US"/>
              </w:rPr>
            </w:pPr>
            <w:r w:rsidRPr="00084F2E">
              <w:rPr>
                <w:rFonts w:cs="Times New Roman"/>
                <w:b w:val="0"/>
                <w:lang w:val="en-US"/>
              </w:rPr>
              <w:t>3,500,000</w:t>
            </w:r>
          </w:p>
        </w:tc>
        <w:tc>
          <w:tcPr>
            <w:tcW w:w="0" w:type="auto"/>
            <w:hideMark/>
          </w:tcPr>
          <w:p w14:paraId="6D4725DF" w14:textId="77777777" w:rsidR="00804343" w:rsidRPr="00084F2E" w:rsidRDefault="00804343" w:rsidP="00804343">
            <w:pPr>
              <w:rPr>
                <w:rFonts w:cs="Times New Roman"/>
                <w:b w:val="0"/>
                <w:lang w:val="en-US"/>
              </w:rPr>
            </w:pPr>
            <w:r w:rsidRPr="00084F2E">
              <w:rPr>
                <w:rFonts w:cs="Times New Roman"/>
                <w:b w:val="0"/>
                <w:lang w:val="en-US"/>
              </w:rPr>
              <w:t>4,260,000,000</w:t>
            </w:r>
          </w:p>
        </w:tc>
      </w:tr>
      <w:tr w:rsidR="00084F2E" w:rsidRPr="00084F2E" w14:paraId="35A9243B" w14:textId="77777777" w:rsidTr="00804343">
        <w:trPr>
          <w:trHeight w:val="327"/>
        </w:trPr>
        <w:tc>
          <w:tcPr>
            <w:tcW w:w="0" w:type="auto"/>
            <w:hideMark/>
          </w:tcPr>
          <w:p w14:paraId="4CB07F59" w14:textId="77777777" w:rsidR="00804343" w:rsidRPr="00084F2E" w:rsidRDefault="00804343" w:rsidP="00804343">
            <w:pPr>
              <w:rPr>
                <w:rFonts w:cs="Times New Roman"/>
                <w:b w:val="0"/>
                <w:lang w:val="en-US"/>
              </w:rPr>
            </w:pPr>
            <w:r w:rsidRPr="00084F2E">
              <w:rPr>
                <w:rFonts w:cs="Times New Roman"/>
                <w:b w:val="0"/>
                <w:bCs/>
                <w:lang w:val="en-US"/>
              </w:rPr>
              <w:t>Excahngerate</w:t>
            </w:r>
          </w:p>
        </w:tc>
        <w:tc>
          <w:tcPr>
            <w:tcW w:w="0" w:type="auto"/>
            <w:hideMark/>
          </w:tcPr>
          <w:p w14:paraId="2A1259FE" w14:textId="77777777" w:rsidR="00804343" w:rsidRPr="00084F2E" w:rsidRDefault="00804343" w:rsidP="00804343">
            <w:pPr>
              <w:rPr>
                <w:rFonts w:cs="Times New Roman"/>
                <w:b w:val="0"/>
                <w:lang w:val="en-US"/>
              </w:rPr>
            </w:pPr>
            <w:r w:rsidRPr="00084F2E">
              <w:rPr>
                <w:rFonts w:cs="Times New Roman"/>
                <w:b w:val="0"/>
                <w:lang w:val="en-US"/>
              </w:rPr>
              <w:t>30</w:t>
            </w:r>
          </w:p>
        </w:tc>
        <w:tc>
          <w:tcPr>
            <w:tcW w:w="0" w:type="auto"/>
            <w:hideMark/>
          </w:tcPr>
          <w:p w14:paraId="1D1324E4" w14:textId="77777777" w:rsidR="00804343" w:rsidRPr="00084F2E" w:rsidRDefault="00804343" w:rsidP="00804343">
            <w:pPr>
              <w:rPr>
                <w:rFonts w:cs="Times New Roman"/>
                <w:b w:val="0"/>
                <w:lang w:val="en-US"/>
              </w:rPr>
            </w:pPr>
            <w:r w:rsidRPr="00084F2E">
              <w:rPr>
                <w:rFonts w:cs="Times New Roman"/>
                <w:b w:val="0"/>
                <w:lang w:val="en-US"/>
              </w:rPr>
              <w:t>17.49488</w:t>
            </w:r>
          </w:p>
        </w:tc>
        <w:tc>
          <w:tcPr>
            <w:tcW w:w="0" w:type="auto"/>
            <w:hideMark/>
          </w:tcPr>
          <w:p w14:paraId="027AFA7A" w14:textId="77777777" w:rsidR="00804343" w:rsidRPr="00084F2E" w:rsidRDefault="00804343" w:rsidP="00804343">
            <w:pPr>
              <w:rPr>
                <w:rFonts w:cs="Times New Roman"/>
                <w:b w:val="0"/>
                <w:lang w:val="en-US"/>
              </w:rPr>
            </w:pPr>
            <w:r w:rsidRPr="00084F2E">
              <w:rPr>
                <w:rFonts w:cs="Times New Roman"/>
                <w:b w:val="0"/>
                <w:lang w:val="en-US"/>
              </w:rPr>
              <w:t>13.51907</w:t>
            </w:r>
          </w:p>
        </w:tc>
        <w:tc>
          <w:tcPr>
            <w:tcW w:w="0" w:type="auto"/>
            <w:hideMark/>
          </w:tcPr>
          <w:p w14:paraId="42E7BDE9" w14:textId="77777777" w:rsidR="00804343" w:rsidRPr="00084F2E" w:rsidRDefault="00804343" w:rsidP="00804343">
            <w:pPr>
              <w:rPr>
                <w:rFonts w:cs="Times New Roman"/>
                <w:b w:val="0"/>
                <w:lang w:val="en-US"/>
              </w:rPr>
            </w:pPr>
            <w:r w:rsidRPr="00084F2E">
              <w:rPr>
                <w:rFonts w:cs="Times New Roman"/>
                <w:b w:val="0"/>
                <w:lang w:val="en-US"/>
              </w:rPr>
              <w:t>5.465</w:t>
            </w:r>
          </w:p>
        </w:tc>
        <w:tc>
          <w:tcPr>
            <w:tcW w:w="0" w:type="auto"/>
            <w:hideMark/>
          </w:tcPr>
          <w:p w14:paraId="4F6D7833" w14:textId="77777777" w:rsidR="00804343" w:rsidRPr="00084F2E" w:rsidRDefault="00804343" w:rsidP="00804343">
            <w:pPr>
              <w:rPr>
                <w:rFonts w:cs="Times New Roman"/>
                <w:b w:val="0"/>
                <w:lang w:val="en-US"/>
              </w:rPr>
            </w:pPr>
            <w:r w:rsidRPr="00084F2E">
              <w:rPr>
                <w:rFonts w:cs="Times New Roman"/>
                <w:b w:val="0"/>
                <w:lang w:val="en-US"/>
              </w:rPr>
              <w:t>54.60095</w:t>
            </w:r>
          </w:p>
        </w:tc>
      </w:tr>
      <w:tr w:rsidR="00084F2E" w:rsidRPr="00084F2E" w14:paraId="6A09FBE3" w14:textId="77777777" w:rsidTr="00804343">
        <w:trPr>
          <w:trHeight w:val="685"/>
        </w:trPr>
        <w:tc>
          <w:tcPr>
            <w:tcW w:w="0" w:type="auto"/>
            <w:hideMark/>
          </w:tcPr>
          <w:p w14:paraId="34DFADE5" w14:textId="77777777" w:rsidR="00804343" w:rsidRPr="00084F2E" w:rsidRDefault="00804343" w:rsidP="00804343">
            <w:pPr>
              <w:rPr>
                <w:rFonts w:cs="Times New Roman"/>
                <w:b w:val="0"/>
                <w:lang w:val="en-US"/>
              </w:rPr>
            </w:pPr>
            <w:r w:rsidRPr="00084F2E">
              <w:rPr>
                <w:rFonts w:cs="Times New Roman"/>
                <w:b w:val="0"/>
                <w:bCs/>
                <w:lang w:val="en-US"/>
              </w:rPr>
              <w:t>Consumer_Price_Index</w:t>
            </w:r>
          </w:p>
        </w:tc>
        <w:tc>
          <w:tcPr>
            <w:tcW w:w="0" w:type="auto"/>
            <w:hideMark/>
          </w:tcPr>
          <w:p w14:paraId="041F0875" w14:textId="77777777" w:rsidR="00804343" w:rsidRPr="00084F2E" w:rsidRDefault="00804343" w:rsidP="00804343">
            <w:pPr>
              <w:rPr>
                <w:rFonts w:cs="Times New Roman"/>
                <w:b w:val="0"/>
                <w:lang w:val="en-US"/>
              </w:rPr>
            </w:pPr>
            <w:r w:rsidRPr="00084F2E">
              <w:rPr>
                <w:rFonts w:cs="Times New Roman"/>
                <w:b w:val="0"/>
                <w:lang w:val="en-US"/>
              </w:rPr>
              <w:t>30</w:t>
            </w:r>
          </w:p>
        </w:tc>
        <w:tc>
          <w:tcPr>
            <w:tcW w:w="0" w:type="auto"/>
            <w:hideMark/>
          </w:tcPr>
          <w:p w14:paraId="359410F3" w14:textId="77777777" w:rsidR="00804343" w:rsidRPr="00084F2E" w:rsidRDefault="00804343" w:rsidP="00804343">
            <w:pPr>
              <w:rPr>
                <w:rFonts w:cs="Times New Roman"/>
                <w:b w:val="0"/>
                <w:lang w:val="en-US"/>
              </w:rPr>
            </w:pPr>
            <w:r w:rsidRPr="00084F2E">
              <w:rPr>
                <w:rFonts w:cs="Times New Roman"/>
                <w:b w:val="0"/>
                <w:lang w:val="en-US"/>
              </w:rPr>
              <w:t>144.5751</w:t>
            </w:r>
          </w:p>
        </w:tc>
        <w:tc>
          <w:tcPr>
            <w:tcW w:w="0" w:type="auto"/>
            <w:hideMark/>
          </w:tcPr>
          <w:p w14:paraId="0C5B06B5" w14:textId="77777777" w:rsidR="00804343" w:rsidRPr="00084F2E" w:rsidRDefault="00804343" w:rsidP="00804343">
            <w:pPr>
              <w:rPr>
                <w:rFonts w:cs="Times New Roman"/>
                <w:b w:val="0"/>
                <w:lang w:val="en-US"/>
              </w:rPr>
            </w:pPr>
            <w:r w:rsidRPr="00084F2E">
              <w:rPr>
                <w:rFonts w:cs="Times New Roman"/>
                <w:b w:val="0"/>
                <w:lang w:val="en-US"/>
              </w:rPr>
              <w:t>154.8092</w:t>
            </w:r>
          </w:p>
        </w:tc>
        <w:tc>
          <w:tcPr>
            <w:tcW w:w="0" w:type="auto"/>
            <w:hideMark/>
          </w:tcPr>
          <w:p w14:paraId="1B1D0BB9" w14:textId="77777777" w:rsidR="00804343" w:rsidRPr="00084F2E" w:rsidRDefault="00804343" w:rsidP="00804343">
            <w:pPr>
              <w:rPr>
                <w:rFonts w:cs="Times New Roman"/>
                <w:b w:val="0"/>
                <w:lang w:val="en-US"/>
              </w:rPr>
            </w:pPr>
            <w:r w:rsidRPr="00084F2E">
              <w:rPr>
                <w:rFonts w:cs="Times New Roman"/>
                <w:b w:val="0"/>
                <w:lang w:val="en-US"/>
              </w:rPr>
              <w:t>30.9041</w:t>
            </w:r>
          </w:p>
        </w:tc>
        <w:tc>
          <w:tcPr>
            <w:tcW w:w="0" w:type="auto"/>
            <w:hideMark/>
          </w:tcPr>
          <w:p w14:paraId="44577400" w14:textId="77777777" w:rsidR="00804343" w:rsidRPr="00084F2E" w:rsidRDefault="00804343" w:rsidP="00804343">
            <w:pPr>
              <w:rPr>
                <w:rFonts w:cs="Times New Roman"/>
                <w:b w:val="0"/>
                <w:lang w:val="en-US"/>
              </w:rPr>
            </w:pPr>
            <w:r w:rsidRPr="00084F2E">
              <w:rPr>
                <w:rFonts w:cs="Times New Roman"/>
                <w:b w:val="0"/>
                <w:lang w:val="en-US"/>
              </w:rPr>
              <w:t>659.2161</w:t>
            </w:r>
          </w:p>
        </w:tc>
      </w:tr>
      <w:tr w:rsidR="00804343" w:rsidRPr="00084F2E" w14:paraId="5CFFC90A" w14:textId="77777777" w:rsidTr="00804343">
        <w:trPr>
          <w:trHeight w:val="342"/>
        </w:trPr>
        <w:tc>
          <w:tcPr>
            <w:tcW w:w="0" w:type="auto"/>
            <w:hideMark/>
          </w:tcPr>
          <w:p w14:paraId="1C113624" w14:textId="77777777" w:rsidR="00804343" w:rsidRPr="00084F2E" w:rsidRDefault="00804343" w:rsidP="00804343">
            <w:pPr>
              <w:rPr>
                <w:rFonts w:cs="Times New Roman"/>
                <w:b w:val="0"/>
                <w:lang w:val="en-US"/>
              </w:rPr>
            </w:pPr>
            <w:r w:rsidRPr="00084F2E">
              <w:rPr>
                <w:rFonts w:cs="Times New Roman"/>
                <w:b w:val="0"/>
                <w:bCs/>
                <w:lang w:val="en-US"/>
              </w:rPr>
              <w:t>Agri_employment</w:t>
            </w:r>
          </w:p>
        </w:tc>
        <w:tc>
          <w:tcPr>
            <w:tcW w:w="0" w:type="auto"/>
            <w:hideMark/>
          </w:tcPr>
          <w:p w14:paraId="5B56D486" w14:textId="77777777" w:rsidR="00804343" w:rsidRPr="00084F2E" w:rsidRDefault="00804343" w:rsidP="00804343">
            <w:pPr>
              <w:rPr>
                <w:rFonts w:cs="Times New Roman"/>
                <w:b w:val="0"/>
                <w:lang w:val="en-US"/>
              </w:rPr>
            </w:pPr>
            <w:r w:rsidRPr="00084F2E">
              <w:rPr>
                <w:rFonts w:cs="Times New Roman"/>
                <w:b w:val="0"/>
                <w:lang w:val="en-US"/>
              </w:rPr>
              <w:t>30</w:t>
            </w:r>
          </w:p>
        </w:tc>
        <w:tc>
          <w:tcPr>
            <w:tcW w:w="0" w:type="auto"/>
            <w:hideMark/>
          </w:tcPr>
          <w:p w14:paraId="2D240387" w14:textId="77777777" w:rsidR="00804343" w:rsidRPr="00084F2E" w:rsidRDefault="00804343" w:rsidP="00804343">
            <w:pPr>
              <w:rPr>
                <w:rFonts w:cs="Times New Roman"/>
                <w:b w:val="0"/>
                <w:lang w:val="en-US"/>
              </w:rPr>
            </w:pPr>
            <w:r w:rsidRPr="00084F2E">
              <w:rPr>
                <w:rFonts w:cs="Times New Roman"/>
                <w:b w:val="0"/>
                <w:lang w:val="en-US"/>
              </w:rPr>
              <w:t>26,100.88</w:t>
            </w:r>
          </w:p>
        </w:tc>
        <w:tc>
          <w:tcPr>
            <w:tcW w:w="0" w:type="auto"/>
            <w:hideMark/>
          </w:tcPr>
          <w:p w14:paraId="59A82CA1" w14:textId="77777777" w:rsidR="00804343" w:rsidRPr="00084F2E" w:rsidRDefault="00804343" w:rsidP="00804343">
            <w:pPr>
              <w:rPr>
                <w:rFonts w:cs="Times New Roman"/>
                <w:b w:val="0"/>
                <w:lang w:val="en-US"/>
              </w:rPr>
            </w:pPr>
            <w:r w:rsidRPr="00084F2E">
              <w:rPr>
                <w:rFonts w:cs="Times New Roman"/>
                <w:b w:val="0"/>
                <w:lang w:val="en-US"/>
              </w:rPr>
              <w:t>4,848.692</w:t>
            </w:r>
          </w:p>
        </w:tc>
        <w:tc>
          <w:tcPr>
            <w:tcW w:w="0" w:type="auto"/>
            <w:hideMark/>
          </w:tcPr>
          <w:p w14:paraId="23C50D7B" w14:textId="77777777" w:rsidR="00804343" w:rsidRPr="00084F2E" w:rsidRDefault="00804343" w:rsidP="00804343">
            <w:pPr>
              <w:rPr>
                <w:rFonts w:cs="Times New Roman"/>
                <w:b w:val="0"/>
                <w:lang w:val="en-US"/>
              </w:rPr>
            </w:pPr>
            <w:r w:rsidRPr="00084F2E">
              <w:rPr>
                <w:rFonts w:cs="Times New Roman"/>
                <w:b w:val="0"/>
                <w:lang w:val="en-US"/>
              </w:rPr>
              <w:t>17,637.31</w:t>
            </w:r>
          </w:p>
        </w:tc>
        <w:tc>
          <w:tcPr>
            <w:tcW w:w="0" w:type="auto"/>
            <w:hideMark/>
          </w:tcPr>
          <w:p w14:paraId="59A2FE39" w14:textId="77777777" w:rsidR="00804343" w:rsidRPr="00084F2E" w:rsidRDefault="00804343" w:rsidP="00804343">
            <w:pPr>
              <w:rPr>
                <w:rFonts w:cs="Times New Roman"/>
                <w:b w:val="0"/>
                <w:lang w:val="en-US"/>
              </w:rPr>
            </w:pPr>
            <w:r w:rsidRPr="00084F2E">
              <w:rPr>
                <w:rFonts w:cs="Times New Roman"/>
                <w:b w:val="0"/>
                <w:lang w:val="en-US"/>
              </w:rPr>
              <w:t>31,347.43</w:t>
            </w:r>
          </w:p>
        </w:tc>
      </w:tr>
    </w:tbl>
    <w:p w14:paraId="69CAD617" w14:textId="77777777" w:rsidR="0072282A" w:rsidRPr="00084F2E" w:rsidRDefault="0072282A">
      <w:pPr>
        <w:rPr>
          <w:lang w:val="en-US"/>
        </w:rPr>
      </w:pPr>
    </w:p>
    <w:p w14:paraId="258416A2" w14:textId="77777777" w:rsidR="0072282A" w:rsidRPr="00084F2E" w:rsidRDefault="00AB1BEC">
      <w:pPr>
        <w:spacing w:before="240" w:line="360" w:lineRule="auto"/>
        <w:rPr>
          <w:b w:val="0"/>
          <w:lang w:val="en-US"/>
        </w:rPr>
      </w:pPr>
      <w:r w:rsidRPr="00084F2E">
        <w:rPr>
          <w:b w:val="0"/>
          <w:lang w:val="en-US"/>
        </w:rPr>
        <w:t>Source: STATA 14</w:t>
      </w:r>
    </w:p>
    <w:p w14:paraId="57651C5E" w14:textId="77777777" w:rsidR="0072282A" w:rsidRPr="00084F2E" w:rsidRDefault="00AB1BEC">
      <w:pPr>
        <w:spacing w:before="240" w:line="360" w:lineRule="auto"/>
        <w:jc w:val="both"/>
        <w:rPr>
          <w:b w:val="0"/>
          <w:lang w:val="en-US"/>
        </w:rPr>
      </w:pPr>
      <w:r w:rsidRPr="00084F2E">
        <w:rPr>
          <w:b w:val="0"/>
          <w:lang w:val="en-US"/>
        </w:rPr>
        <w:t>The summary statistics shed light on a 30 observation dataset on ten economic and social variables. The summary statistics include the mean, standard deviation, minimum, and maximum that describes the central tendency, the spread, and the range, respectively, for each variable.</w:t>
      </w:r>
    </w:p>
    <w:p w14:paraId="5CFE21FB" w14:textId="22532A50" w:rsidR="0072282A" w:rsidRPr="00084F2E" w:rsidRDefault="00AB1BEC">
      <w:pPr>
        <w:spacing w:before="240" w:line="360" w:lineRule="auto"/>
        <w:jc w:val="both"/>
        <w:rPr>
          <w:b w:val="0"/>
          <w:lang w:val="en-US"/>
        </w:rPr>
      </w:pPr>
      <w:r w:rsidRPr="00084F2E">
        <w:rPr>
          <w:b w:val="0"/>
          <w:lang w:val="en-US"/>
        </w:rPr>
        <w:t xml:space="preserve">Export Value: "Export value" has a mean of 915,226.5 and a very high standard deviation of 586,594.3 that illustrates tremendous differences (around 64% of the mean) in export performance, over time, across the periods being observed. The range, from a low of 152,200 to a high of 2,141,244, illustrates extreme variation in export performance. Export value can change for a number of factors including international cycles of economics, worldwide demand for goods and services, alteration of tariffs, trade agreements, and supply capacity within a country. Exaggerated export value fluctuations can cause drastic sways for the balance of payments as well as foreign exchange reserves of a nation, thus impacting economic stability. For further studies, the researchers can analyze the composition of goods and services exported and regionalized trade to </w:t>
      </w:r>
      <w:r w:rsidRPr="00084F2E">
        <w:rPr>
          <w:b w:val="0"/>
          <w:lang w:val="en-US"/>
        </w:rPr>
        <w:lastRenderedPageBreak/>
        <w:t>determine which characteristics may be causing variations in export value. Government Debt (Gornt_debt): "Gornt_debt," supposedly referring to government debt, is  21 billion on average and has a standard deviation of 18.6 billion.</w:t>
      </w:r>
    </w:p>
    <w:p w14:paraId="1C6A803D" w14:textId="4E05B89B" w:rsidR="0072282A" w:rsidRPr="00084F2E" w:rsidRDefault="00AB1BEC">
      <w:pPr>
        <w:spacing w:before="240" w:line="360" w:lineRule="auto"/>
        <w:jc w:val="both"/>
        <w:rPr>
          <w:b w:val="0"/>
          <w:lang w:val="en-US"/>
        </w:rPr>
      </w:pPr>
      <w:r w:rsidRPr="00084F2E">
        <w:rPr>
          <w:b w:val="0"/>
          <w:lang w:val="en-US"/>
        </w:rPr>
        <w:t>The standard deviation accounted for approximately 89% of the mean value, a measure of high uncertainty in government debt level. The range of 5.96</w:t>
      </w:r>
      <w:r w:rsidR="00D363CE" w:rsidRPr="00084F2E">
        <w:rPr>
          <w:b w:val="0"/>
          <w:lang w:val="en-US"/>
        </w:rPr>
        <w:t xml:space="preserve"> million</w:t>
      </w:r>
      <w:r w:rsidRPr="00084F2E">
        <w:rPr>
          <w:b w:val="0"/>
          <w:lang w:val="en-US"/>
        </w:rPr>
        <w:t xml:space="preserve"> and 5.98</w:t>
      </w:r>
      <w:r w:rsidR="00D363CE" w:rsidRPr="00084F2E">
        <w:rPr>
          <w:b w:val="0"/>
          <w:lang w:val="en-US"/>
        </w:rPr>
        <w:t xml:space="preserve"> billion</w:t>
      </w:r>
      <w:r w:rsidRPr="00084F2E">
        <w:rPr>
          <w:b w:val="0"/>
          <w:lang w:val="en-US"/>
        </w:rPr>
        <w:t xml:space="preserve"> reflects great variation in a broad fiscal burden shared by observations. High and volatile debt levels threaten fiscal health, which has the potential to increase borrowing costs, lower private sector investment, and public sector credit risk ambiguity. Volatility is likely to be due to a variety of government behavior, including differences in response to economic crisis, periods of increased public spending, and simple differences in style of management. Data characterizing the debt by class and maturity profile and ownership would help enhance comprehension of this activity. Corruption Control (corrputioncontrol): The mean of variable "corrputioncontrol" is -0.6846663 and the standard deviation is 0.1906205.</w:t>
      </w:r>
    </w:p>
    <w:p w14:paraId="3CC666C6" w14:textId="164B0C4A" w:rsidR="0072282A" w:rsidRPr="00084F2E" w:rsidRDefault="00AB1BEC">
      <w:pPr>
        <w:spacing w:before="240" w:line="360" w:lineRule="auto"/>
        <w:jc w:val="both"/>
        <w:rPr>
          <w:b w:val="0"/>
          <w:lang w:val="en-US"/>
        </w:rPr>
      </w:pPr>
      <w:r w:rsidRPr="00084F2E">
        <w:rPr>
          <w:b w:val="0"/>
          <w:lang w:val="en-US"/>
        </w:rPr>
        <w:t>The range of the variable is -0.975 to -0.3896724, and all of these are negative. This means that "corrputioncontrol" is not a measure of the level of corruption but rather a normalized index composed of a number of indicators. Negative figures at higher numbers would mean less corruption control. The majority of governance measures, including the World Bank's Worldwide Governance Indicators, normalize to zero, with positive figures representing good governance and negative figures representing bad governance. Therefore, it would be fair to conclude that the continuously negative mean and range indicate sub-par governance in the area of corruption control on the entities under consideration here. This conclusion would be speculative, however, and would need to be verified through study of methodology and normalization process for this index. Indirect Tax Revenue   has a mean of  24.7 billion. Its high standard deviation is 34.2 billion. The standard deviation of itself is higher than the mean, implying that indirect tax revenue varies significantly. It may be anything between 0.709 billion and 110 billion, thereby characterizing the differences in tax collection ability. All these fluctuations are determined by consumer spending habits, economic growth, changes in tax policy, and the size of the shadow economy. Large tax revenue volatility makes the government budget and fiscal forecast more complex, which will have direct implications on managing public services and infrastructure investment. Gross National Savings (Gross_nationalsavings):</w:t>
      </w:r>
    </w:p>
    <w:p w14:paraId="22617FC4" w14:textId="4D366351" w:rsidR="0072282A" w:rsidRPr="00084F2E" w:rsidRDefault="00AB1BEC">
      <w:pPr>
        <w:spacing w:before="240" w:line="360" w:lineRule="auto"/>
        <w:jc w:val="both"/>
        <w:rPr>
          <w:b w:val="0"/>
          <w:lang w:val="en-US"/>
        </w:rPr>
      </w:pPr>
      <w:r w:rsidRPr="00084F2E">
        <w:rPr>
          <w:b w:val="0"/>
          <w:lang w:val="en-US"/>
        </w:rPr>
        <w:lastRenderedPageBreak/>
        <w:t>The average gross national savings is 9.98 billion with a standard deviation of 10.8 billion.</w:t>
      </w:r>
    </w:p>
    <w:p w14:paraId="116F40C5" w14:textId="4AA364F4" w:rsidR="0072282A" w:rsidRPr="00084F2E" w:rsidRDefault="00AB1BEC">
      <w:pPr>
        <w:spacing w:before="240" w:line="360" w:lineRule="auto"/>
        <w:jc w:val="both"/>
        <w:rPr>
          <w:b w:val="0"/>
          <w:lang w:val="en-US"/>
        </w:rPr>
      </w:pPr>
      <w:r w:rsidRPr="00084F2E">
        <w:rPr>
          <w:b w:val="0"/>
          <w:lang w:val="en-US"/>
        </w:rPr>
        <w:t>The observation that the standard deviation is larger than the mean indicates grossly large variation and uncertainty of the national savings levels. The gross national saving ranges from a low of 4.42</w:t>
      </w:r>
      <w:r w:rsidR="00D363CE" w:rsidRPr="00084F2E">
        <w:rPr>
          <w:b w:val="0"/>
          <w:lang w:val="en-US"/>
        </w:rPr>
        <w:t xml:space="preserve"> million</w:t>
      </w:r>
      <w:r w:rsidRPr="00084F2E">
        <w:rPr>
          <w:b w:val="0"/>
          <w:lang w:val="en-US"/>
        </w:rPr>
        <w:t xml:space="preserve"> to a high of 2.9</w:t>
      </w:r>
      <w:r w:rsidR="00D363CE" w:rsidRPr="00084F2E">
        <w:rPr>
          <w:b w:val="0"/>
          <w:lang w:val="en-US"/>
        </w:rPr>
        <w:t>6 billion</w:t>
      </w:r>
      <w:r w:rsidRPr="00084F2E">
        <w:rPr>
          <w:b w:val="0"/>
          <w:lang w:val="en-US"/>
        </w:rPr>
        <w:t>. Gross national savings are imperative to domestic investment and long-term economic growth. High volatility and uncertainty in gross national savings can be there as a function of variation in household disposable income, corporate profits, government balances and economic sentiment in general. Understanding the determinants of the difference in gross national savings is important to being in a position to implement policy leading to greater capital formation and economic growth. Gross Domestic Product (GDP): The "GDP" variable, assumed to be either per capita or scaled total GDP, shows a mean value of 38.7 billion with an associated standard deviation of</w:t>
      </w:r>
      <w:r w:rsidR="00D363CE" w:rsidRPr="00084F2E">
        <w:rPr>
          <w:b w:val="0"/>
          <w:lang w:val="en-US"/>
        </w:rPr>
        <w:t xml:space="preserve"> </w:t>
      </w:r>
      <w:r w:rsidRPr="00084F2E">
        <w:rPr>
          <w:b w:val="0"/>
          <w:lang w:val="en-US"/>
        </w:rPr>
        <w:t>37.3 billion.</w:t>
      </w:r>
    </w:p>
    <w:p w14:paraId="741492BD" w14:textId="2544E616" w:rsidR="0072282A" w:rsidRPr="00084F2E" w:rsidRDefault="00AB1BEC">
      <w:pPr>
        <w:spacing w:before="240" w:line="360" w:lineRule="auto"/>
        <w:jc w:val="both"/>
        <w:rPr>
          <w:b w:val="0"/>
          <w:lang w:val="en-US"/>
        </w:rPr>
      </w:pPr>
      <w:r w:rsidRPr="00084F2E">
        <w:rPr>
          <w:b w:val="0"/>
          <w:lang w:val="en-US"/>
        </w:rPr>
        <w:t>This standard deviation is approximately 96% of the mean and indicates considerable variation in economic production between observations more than a 3.7 billion per capita average of 6 times a year. From lowest to highest observation recorded, the range is from 7.10</w:t>
      </w:r>
      <w:r w:rsidR="00D363CE" w:rsidRPr="00084F2E">
        <w:rPr>
          <w:b w:val="0"/>
          <w:lang w:val="en-US"/>
        </w:rPr>
        <w:t xml:space="preserve"> billion</w:t>
      </w:r>
      <w:r w:rsidRPr="00084F2E">
        <w:rPr>
          <w:b w:val="0"/>
          <w:lang w:val="en-US"/>
        </w:rPr>
        <w:t xml:space="preserve"> to 1.27</w:t>
      </w:r>
      <w:r w:rsidR="00D363CE" w:rsidRPr="00084F2E">
        <w:rPr>
          <w:b w:val="0"/>
          <w:lang w:val="en-US"/>
        </w:rPr>
        <w:t xml:space="preserve"> trillion</w:t>
      </w:r>
      <w:r w:rsidRPr="00084F2E">
        <w:rPr>
          <w:b w:val="0"/>
          <w:lang w:val="en-US"/>
        </w:rPr>
        <w:t>: clearly we have a wide range / diverging from 38.7 billion in productivity. The inherent volatility of GDP may be due to fluctuations in the business cycle, economic shocks, or some dramatic structural change in the economy. Breaking down the pieces of GDP like consumption, investment, government purchase plus net exports provides some insight into some of the forces of economic performance that we've covered in this class. Foreign Direct Investment (FDI): FDI has a mean of 1.17 billion, and the standard deviation is 1.45 billion.</w:t>
      </w:r>
    </w:p>
    <w:p w14:paraId="544E604F" w14:textId="5F3BA66B" w:rsidR="0072282A" w:rsidRPr="00084F2E" w:rsidRDefault="00AB1BEC">
      <w:pPr>
        <w:spacing w:before="240" w:line="360" w:lineRule="auto"/>
        <w:jc w:val="both"/>
        <w:rPr>
          <w:b w:val="0"/>
          <w:lang w:val="en-US"/>
        </w:rPr>
      </w:pPr>
      <w:r w:rsidRPr="00084F2E">
        <w:rPr>
          <w:b w:val="0"/>
          <w:lang w:val="en-US"/>
        </w:rPr>
        <w:t>Greater than the mean standard deviation indicates higher variability and irregular distribution of FDI inflows. Range of FDI from lowest of 3,500,000, to highest of 4.26</w:t>
      </w:r>
      <w:r w:rsidR="00D363CE" w:rsidRPr="00084F2E">
        <w:rPr>
          <w:b w:val="0"/>
          <w:lang w:val="en-US"/>
        </w:rPr>
        <w:t xml:space="preserve"> million</w:t>
      </w:r>
      <w:r w:rsidRPr="00084F2E">
        <w:rPr>
          <w:b w:val="0"/>
          <w:lang w:val="en-US"/>
        </w:rPr>
        <w:t xml:space="preserve"> indicates highly disparate level of received foreign investment. FDI is a key source of finance, transfer of technology, and generation of employment for economic growth.  The wide fluctuation of FDI could be attributed to investor confidence, political stability, regulatory environment, market potential and general world economic situation.  A policy maker needs to know what to attract or deter FDI, which indicates his/her perception of economic growth. Exchange Rate (Excahngerate):  "Excahngerate" can be defined with a mean of 17.49488 and a standard deviation of 13.51907. </w:t>
      </w:r>
      <w:r w:rsidRPr="00084F2E">
        <w:rPr>
          <w:b w:val="0"/>
          <w:lang w:val="en-US"/>
        </w:rPr>
        <w:lastRenderedPageBreak/>
        <w:t>With the standard deviation at 13.51907, about 77% of the mean also characterizes great volatility of the exchange rate.</w:t>
      </w:r>
    </w:p>
    <w:p w14:paraId="5DD19615" w14:textId="77777777" w:rsidR="0072282A" w:rsidRPr="00084F2E" w:rsidRDefault="00AB1BEC">
      <w:pPr>
        <w:spacing w:before="240" w:line="360" w:lineRule="auto"/>
        <w:jc w:val="both"/>
        <w:rPr>
          <w:b w:val="0"/>
          <w:lang w:val="en-US"/>
        </w:rPr>
      </w:pPr>
      <w:r w:rsidRPr="00084F2E">
        <w:rPr>
          <w:b w:val="0"/>
          <w:lang w:val="en-US"/>
        </w:rPr>
        <w:t>The minimum and maximum range of exchange rate, from 5.465, to 54.60095, both show periods of great stability and extreme variability. Exchange rate volatility has significant impacts on the trade, capital flow, inflation, and competitiveness of the nation. Flexible exchange rate brings uncertainty to companies with international transactions and changes the real value of incomes and assets that are available. What kind of exchange rate and which currency the exchange rate is relative to, nominal or real, needs to be understood clearly. Consumer Price Index (CPI): Consumer Price Index, known as "CPI", (CPI) has a mean of 144.5751 and standard deviation of 154.8092. The standard deviation is greater than the mean, which means the price levels depicted exhibited highly excessive volatility.</w:t>
      </w:r>
    </w:p>
    <w:p w14:paraId="4C77863C" w14:textId="77777777" w:rsidR="0072282A" w:rsidRPr="00084F2E" w:rsidRDefault="00AB1BEC">
      <w:pPr>
        <w:spacing w:before="240" w:line="360" w:lineRule="auto"/>
        <w:jc w:val="both"/>
        <w:rPr>
          <w:b w:val="0"/>
          <w:lang w:val="en-US"/>
        </w:rPr>
      </w:pPr>
      <w:r w:rsidRPr="00084F2E">
        <w:rPr>
          <w:b w:val="0"/>
          <w:lang w:val="en-US"/>
        </w:rPr>
        <w:t>The range under this variation would be from a low of 30.9041 to a high of 659.2161 corresponding to periods of low and highly inflationary periods, as well as deflation. The volatillity of the CPI would actually impact purchasing power, real wages, and a monetary policy in general. Inflation depletes the purchasing power of savings and can destabilize an economy, while severe deflation will tend to lead to stagnating or completely halt economic growth. We need to analyze some time periods where inflation or no inflation was present at extremely high levels in order to determine the forces driving them. Agricultural Employment (Agriemployment): Lastly, "Agriemployment" has an average of 26,100.88 with a relatively low standard deviation of 4,848.692. This means farm work appears to be the more stable variable than much of the other variables as the standard deviation is close to 18.6% of the mean.</w:t>
      </w:r>
    </w:p>
    <w:p w14:paraId="20658723" w14:textId="77777777" w:rsidR="0072282A" w:rsidRPr="00084F2E" w:rsidRDefault="00AB1BEC">
      <w:pPr>
        <w:spacing w:before="240" w:line="360" w:lineRule="auto"/>
        <w:jc w:val="both"/>
        <w:rPr>
          <w:b w:val="0"/>
          <w:lang w:val="en-US"/>
        </w:rPr>
      </w:pPr>
      <w:r w:rsidRPr="00084F2E">
        <w:rPr>
          <w:b w:val="0"/>
          <w:lang w:val="en-US"/>
        </w:rPr>
        <w:t xml:space="preserve">We also have an inter-quartile difference of a minimum of 17,637.31 up to a maximum of 31,347.43, meaning that farm work levels are consistent and not rapidly fluctuating with a moderate difference. The stability of consistency observed in the levels of farm employment likely indicates the economic homogeneity of farming itself or the less business-cycle-sensitive nature of agricultural production in this case. Nevertheless, even this modest change has large-scale implications for rural society and food security. Broadly speaking, the descriptive statistics indicate a complicated economic condition. Most of the indicators showed substantial volatility </w:t>
      </w:r>
      <w:r w:rsidRPr="00084F2E">
        <w:rPr>
          <w:b w:val="0"/>
          <w:lang w:val="en-US"/>
        </w:rPr>
        <w:lastRenderedPageBreak/>
        <w:t>particularly in areas covered by sectors such as export value, government debt, indirect tax revenue, GDP, FDI and consumer prices.</w:t>
      </w:r>
    </w:p>
    <w:p w14:paraId="71FE0D4C" w14:textId="77777777" w:rsidR="0072282A" w:rsidRPr="00084F2E" w:rsidRDefault="00AB1BEC">
      <w:pPr>
        <w:spacing w:before="240" w:line="360" w:lineRule="auto"/>
        <w:jc w:val="both"/>
        <w:rPr>
          <w:b w:val="0"/>
          <w:lang w:val="en-US"/>
        </w:rPr>
      </w:pPr>
      <w:r w:rsidRPr="00084F2E">
        <w:rPr>
          <w:b w:val="0"/>
          <w:lang w:val="en-US"/>
        </w:rPr>
        <w:t xml:space="preserve">The "corruption control" variable needs to be defined in order to be properly interpreted. The substantial volatility indicated in some individual high key economic indicators could be an indication of possible greater exposure to some internal and external shocks. Further econometric analysis like time-series modeling, regression and correlation analysis was employed to account for interrelations between these variables and examine potential determinants affecting economic performance and stability. </w:t>
      </w:r>
    </w:p>
    <w:p w14:paraId="3A5116AB" w14:textId="70E8280D" w:rsidR="0072282A" w:rsidRPr="00084F2E" w:rsidRDefault="00AB1BEC">
      <w:pPr>
        <w:pStyle w:val="Heading2"/>
        <w:rPr>
          <w:lang w:val="en-US"/>
        </w:rPr>
      </w:pPr>
      <w:bookmarkStart w:id="67" w:name="_Toc220662030"/>
      <w:r w:rsidRPr="00084F2E">
        <w:rPr>
          <w:lang w:val="en-US"/>
        </w:rPr>
        <w:t>4.3. Trend Analysis</w:t>
      </w:r>
      <w:bookmarkEnd w:id="67"/>
      <w:r w:rsidRPr="00084F2E">
        <w:rPr>
          <w:lang w:val="en-US"/>
        </w:rPr>
        <w:t xml:space="preserve"> </w:t>
      </w:r>
    </w:p>
    <w:p w14:paraId="15556B7E" w14:textId="3F1553DD" w:rsidR="00775FBE" w:rsidRPr="00084F2E" w:rsidRDefault="00775FBE" w:rsidP="00775FBE">
      <w:pPr>
        <w:rPr>
          <w:lang w:val="en-US"/>
        </w:rPr>
      </w:pPr>
      <w:r w:rsidRPr="00084F2E">
        <w:rPr>
          <w:noProof/>
          <w:lang w:val="en-US"/>
        </w:rPr>
        <w:drawing>
          <wp:inline distT="0" distB="0" distL="0" distR="0" wp14:anchorId="303F2C9D" wp14:editId="7D4C29B4">
            <wp:extent cx="6141720" cy="5295900"/>
            <wp:effectExtent l="0" t="0" r="1143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78A04ED" w14:textId="753886E6" w:rsidR="0072282A" w:rsidRPr="00084F2E" w:rsidRDefault="00AB1BEC">
      <w:pPr>
        <w:spacing w:before="240" w:line="360" w:lineRule="auto"/>
        <w:jc w:val="both"/>
        <w:rPr>
          <w:b w:val="0"/>
          <w:lang w:val="en-US"/>
        </w:rPr>
      </w:pPr>
      <w:r w:rsidRPr="00084F2E">
        <w:rPr>
          <w:b w:val="0"/>
          <w:lang w:val="en-US"/>
        </w:rPr>
        <w:lastRenderedPageBreak/>
        <w:t>From the chart above, the export value shows a steady climb from the late 1990s into the 2000s, growing from about 50 to 150 million Birr in the earlier years and rising to around 300 million Birr by the mid-2000s. The pace accelerates toward 2010, reaching roughly 1.0 to 1.2 billion Birr, with a notable peak near 1.5 billion Birr around 2011 before dipping a bit in the following years. From 2013 onward, the values fluctuate between about 1.0 and 1.2 billion Birr, and by 2020 the trend resumes upward, approaching 2.0 billion Birr. Overall, the data suggest a long-term strengthening of export activity, likely driven by improved competitiveness or growing demand in international markets, punctuated by periodic downturns that align with broader economic cycles</w:t>
      </w:r>
    </w:p>
    <w:p w14:paraId="26DBCA9C" w14:textId="1BAB1719" w:rsidR="0072282A" w:rsidRPr="00084F2E" w:rsidRDefault="00AB1BEC">
      <w:pPr>
        <w:spacing w:before="240" w:line="360" w:lineRule="auto"/>
        <w:jc w:val="both"/>
        <w:rPr>
          <w:b w:val="0"/>
          <w:lang w:val="en-US"/>
        </w:rPr>
      </w:pPr>
      <w:r w:rsidRPr="00084F2E">
        <w:rPr>
          <w:b w:val="0"/>
          <w:lang w:val="en-US"/>
        </w:rPr>
        <w:t>The graph shows a clear, long‑term rise in agribusiness employment numbers from roughly 20,000 in the early 1990s to about 1.5 million around 2010–2012. After that peak, the figures flatten and hover around 2.0 to 2.5 million and then begin a modest uptick again toward 2020. This trajectory indicates strong, sustained growth in agribusiness employment over two decades, with a brief plateau after 2010 before resuming an upward trend.</w:t>
      </w:r>
    </w:p>
    <w:p w14:paraId="3CFB74BD" w14:textId="4D1F0D74" w:rsidR="0072282A" w:rsidRPr="00084F2E" w:rsidRDefault="00AB1BEC">
      <w:pPr>
        <w:spacing w:before="240" w:line="360" w:lineRule="auto"/>
        <w:jc w:val="both"/>
        <w:rPr>
          <w:b w:val="0"/>
          <w:lang w:val="en-US"/>
        </w:rPr>
      </w:pPr>
      <w:r w:rsidRPr="00084F2E">
        <w:rPr>
          <w:b w:val="0"/>
          <w:lang w:val="en-US"/>
        </w:rPr>
        <w:t>The graph shows a strong, long-term rise in agribusiness employment numbers measured in Birr from the early 1990s to 2020. Starting at a very modest level—around a few tens of thousands in the 1990s—the index climbs gradually through the 2000s and then accelerates after 2010, crossing roughly 200, 400, and then approaching 600 Birr by the early 2020s, with a sharp uptick near 2020. In essence, the data reveal sustained growth in agribusiness employment over the last three decades, culminating in a steep rise in recent years, which likely reflects expanding sectors, productivity gains, and greater labor demand in agriculture-related industries.</w:t>
      </w:r>
    </w:p>
    <w:p w14:paraId="272AD61F" w14:textId="2CF14823" w:rsidR="0072282A" w:rsidRPr="00084F2E" w:rsidRDefault="00AB1BEC">
      <w:pPr>
        <w:spacing w:before="240" w:line="360" w:lineRule="auto"/>
        <w:jc w:val="both"/>
        <w:rPr>
          <w:b w:val="0"/>
          <w:lang w:val="en-US"/>
        </w:rPr>
      </w:pPr>
      <w:r w:rsidRPr="00084F2E">
        <w:rPr>
          <w:b w:val="0"/>
          <w:lang w:val="en-US"/>
        </w:rPr>
        <w:t xml:space="preserve">The chart shows a clear, sustained rise in the Exchang rate (likely a mislabel for export or exchange indicators) expressed in Birr from the early 1990s to 2020. It starts at a very modest level of just a few Birr in the 1990s, slowly increasing through the 2000s, and then accelerates markedly after 2010, reaching roughly 20 Birr by the early 2010s, climbing through the 20s and 40s, and culminating near 60 Birr around 2020. In short, the data indicate a strong upward trajectory in this Birr-based measure over three decades, with a noticeable inflection and rapid growth in the last decade, suggesting shifting dynamics in the underlying economy or policy environment. </w:t>
      </w:r>
    </w:p>
    <w:p w14:paraId="137E64C7" w14:textId="668FF750" w:rsidR="0072282A" w:rsidRPr="00084F2E" w:rsidRDefault="00AB1BEC">
      <w:pPr>
        <w:spacing w:before="240" w:line="360" w:lineRule="auto"/>
        <w:jc w:val="both"/>
        <w:rPr>
          <w:b w:val="0"/>
          <w:lang w:val="en-US"/>
        </w:rPr>
      </w:pPr>
      <w:r w:rsidRPr="00084F2E">
        <w:rPr>
          <w:b w:val="0"/>
          <w:lang w:val="en-US"/>
        </w:rPr>
        <w:t xml:space="preserve">The chart shows a dramatic jump in the FDI index measured in Birr starting around 2010. For the first two decades (1990–2009), the values stay very low, essentially near zero, with small </w:t>
      </w:r>
      <w:r w:rsidRPr="00084F2E">
        <w:rPr>
          <w:b w:val="0"/>
          <w:lang w:val="en-US"/>
        </w:rPr>
        <w:lastRenderedPageBreak/>
        <w:t xml:space="preserve">fluctuations. After 2010, the curve climbs steeply, reaching into the hundreds of billions by the mid-2010s and then continuing upward to around the 600–700 billion Birr level near 2020, before flaring up again toward the latest year. This pattern indicates a substantial acceleration in foreign direct investment activity in recent years, suggesting improving investment climate, policy reforms, or greater investor confidence. </w:t>
      </w:r>
    </w:p>
    <w:p w14:paraId="029675D0" w14:textId="3DE87866" w:rsidR="0072282A" w:rsidRPr="00084F2E" w:rsidRDefault="00AB1BEC">
      <w:pPr>
        <w:spacing w:before="240" w:line="360" w:lineRule="auto"/>
        <w:jc w:val="both"/>
        <w:rPr>
          <w:b w:val="0"/>
          <w:lang w:val="en-US"/>
        </w:rPr>
      </w:pPr>
      <w:r w:rsidRPr="00084F2E">
        <w:rPr>
          <w:b w:val="0"/>
          <w:lang w:val="en-US"/>
        </w:rPr>
        <w:t xml:space="preserve">The chart shows, accelerating rise in GDP measured in Birr starting around 2010. From the early 1990s up to about 2009, the values stay very low, essentially near zero, with only small fluctuations. After 2010, the curve turns sharply upward, climbing from roughly a few billion Birr to tens of billions, then moving into the hundreds of billions by the mid- to late-2010s, and continuing upward into the 600–700 billion Birr range by 2020. This pattern suggests a rapid expansion of economic output in recent years, likely driven by investment, structural reforms, and growing domestic activity. </w:t>
      </w:r>
    </w:p>
    <w:p w14:paraId="643F3572" w14:textId="25D10F0C" w:rsidR="0072282A" w:rsidRPr="00084F2E" w:rsidRDefault="00AB1BEC">
      <w:pPr>
        <w:spacing w:before="240" w:line="360" w:lineRule="auto"/>
        <w:jc w:val="both"/>
        <w:rPr>
          <w:b w:val="0"/>
          <w:lang w:val="en-US"/>
        </w:rPr>
      </w:pPr>
      <w:r w:rsidRPr="00084F2E">
        <w:rPr>
          <w:b w:val="0"/>
          <w:lang w:val="en-US"/>
        </w:rPr>
        <w:t xml:space="preserve">The graph shows a dramatic acceleration in gross national income measured in Birr starting around 2010. Earlier decades (1990–2009) hover at very low levels, essentially near zero with small fluctuations. After 2010, the curve shoots upward, climbing from just a few billions of Birr to tens, then hundreds, and eventually approaching around 600–700 billion Birr by the late 2010s, before leveling off slightly toward 2020. This pattern suggests a rapid expansion of the economy in recent years, likely driven by growth in output, investment, and structural reforms. </w:t>
      </w:r>
    </w:p>
    <w:p w14:paraId="51575D9A" w14:textId="76AB3C39" w:rsidR="0072282A" w:rsidRPr="00084F2E" w:rsidRDefault="00AB1BEC">
      <w:pPr>
        <w:spacing w:before="240" w:line="360" w:lineRule="auto"/>
        <w:jc w:val="both"/>
        <w:rPr>
          <w:b w:val="0"/>
          <w:lang w:val="en-US"/>
        </w:rPr>
      </w:pPr>
      <w:r w:rsidRPr="00084F2E">
        <w:rPr>
          <w:b w:val="0"/>
          <w:lang w:val="en-US"/>
        </w:rPr>
        <w:t xml:space="preserve">The above chart shows a dramatic acceleration in indirect tax revenue measured in Birr starting around 2010. For the first two decades (1990–2009), the values stay very small, essentially near zero with minor fluctuations. After 2010, the line climbs steeply, moving from just a few billions of Birr to tens, then hundreds, and finally approaching the trillions by the late 2010s, before continuing upward toward 2020. This pattern suggests a rapid expansion of tax collection from indirect sources in recent years, likely driven by broader economic growth, changes in tax policy, or improved compliance. </w:t>
      </w:r>
    </w:p>
    <w:p w14:paraId="1FAECD7D" w14:textId="77777777" w:rsidR="0072282A" w:rsidRPr="00084F2E" w:rsidRDefault="00AB1BEC">
      <w:pPr>
        <w:spacing w:before="240" w:line="360" w:lineRule="auto"/>
        <w:jc w:val="both"/>
        <w:rPr>
          <w:b w:val="0"/>
          <w:lang w:val="en-US"/>
        </w:rPr>
      </w:pPr>
      <w:r w:rsidRPr="00084F2E">
        <w:rPr>
          <w:b w:val="0"/>
          <w:lang w:val="en-US"/>
        </w:rPr>
        <w:t xml:space="preserve">The chart shows a clear, steady improvement in corruption control expressed as percentages, rising from very low levels in the 1990s to higher and more stable values in the 2000s and beyond. The trajectory is bumpy—there are small dips and climbs—but the overall pattern is an upward march, with noticeable gains after 2010 and continuing into the late 2010s and around 2020. This suggests </w:t>
      </w:r>
      <w:r w:rsidRPr="00084F2E">
        <w:rPr>
          <w:b w:val="0"/>
          <w:lang w:val="en-US"/>
        </w:rPr>
        <w:lastRenderedPageBreak/>
        <w:t xml:space="preserve">that governance and anti-corruption efforts have gradually strengthened over the past two decades, even as occasional policy shifts and political cycles cause short-term fluctuations. </w:t>
      </w:r>
    </w:p>
    <w:p w14:paraId="0542CA91" w14:textId="0E207CEA" w:rsidR="0072282A" w:rsidRPr="00084F2E" w:rsidRDefault="0072282A">
      <w:pPr>
        <w:spacing w:before="240" w:line="360" w:lineRule="auto"/>
        <w:jc w:val="both"/>
        <w:rPr>
          <w:b w:val="0"/>
          <w:lang w:val="en-US"/>
        </w:rPr>
      </w:pPr>
    </w:p>
    <w:p w14:paraId="6E61C2F6" w14:textId="77777777" w:rsidR="0072282A" w:rsidRPr="00084F2E" w:rsidRDefault="0072282A">
      <w:pPr>
        <w:spacing w:before="240" w:line="360" w:lineRule="auto"/>
        <w:jc w:val="both"/>
        <w:rPr>
          <w:b w:val="0"/>
          <w:lang w:val="en-US"/>
        </w:rPr>
      </w:pPr>
    </w:p>
    <w:p w14:paraId="0498ADBA" w14:textId="42AD9A4E" w:rsidR="0072282A" w:rsidRPr="00084F2E" w:rsidRDefault="00AB1BEC">
      <w:pPr>
        <w:spacing w:before="240" w:line="360" w:lineRule="auto"/>
        <w:jc w:val="both"/>
        <w:rPr>
          <w:b w:val="0"/>
          <w:lang w:val="en-US"/>
        </w:rPr>
      </w:pPr>
      <w:r w:rsidRPr="00084F2E">
        <w:rPr>
          <w:b w:val="0"/>
          <w:lang w:val="en-US"/>
        </w:rPr>
        <w:t xml:space="preserve">The graph shows a gradual rise in gross debt measured in Birr from the early 1990s, staying near zero for most of the 1990s, then creeping up to the tens of billions by the 2000s. Around 2005–2009 the debt hovers in the low hundreds of billions? (the scale suggests small increases with occasional small dips). Beginning around 2010, the debt accelerates sharply, climbing from roughly the low hundreds of billions to several trillions Birr by the mid- to late-2010s, and continuing upward to a peak near the 2020–2022 period before a slight leveling off. Overall, this indicates a substantial shift from minimal borrowing in the 1990s to rapid fiscal expansion and higher indebtedness in recent years. </w:t>
      </w:r>
    </w:p>
    <w:p w14:paraId="704D7363" w14:textId="77777777" w:rsidR="0072282A" w:rsidRPr="00084F2E" w:rsidRDefault="00AB1BEC">
      <w:pPr>
        <w:keepNext/>
        <w:keepLines/>
        <w:spacing w:before="200" w:line="360" w:lineRule="auto"/>
        <w:outlineLvl w:val="1"/>
        <w:rPr>
          <w:rFonts w:eastAsiaTheme="majorEastAsia" w:cstheme="majorBidi"/>
          <w:bCs/>
          <w:sz w:val="28"/>
          <w:szCs w:val="26"/>
          <w:lang w:val="en-US"/>
        </w:rPr>
      </w:pPr>
      <w:bookmarkStart w:id="68" w:name="_Toc220662031"/>
      <w:r w:rsidRPr="00084F2E">
        <w:rPr>
          <w:rFonts w:eastAsiaTheme="majorEastAsia" w:cstheme="majorBidi"/>
          <w:bCs/>
          <w:sz w:val="28"/>
          <w:szCs w:val="26"/>
          <w:lang w:val="en-US"/>
        </w:rPr>
        <w:t>4.3 Stationary and Non-Stationary Series</w:t>
      </w:r>
      <w:bookmarkEnd w:id="68"/>
    </w:p>
    <w:tbl>
      <w:tblPr>
        <w:tblStyle w:val="TableGrid"/>
        <w:tblW w:w="0" w:type="auto"/>
        <w:tblLook w:val="04A0" w:firstRow="1" w:lastRow="0" w:firstColumn="1" w:lastColumn="0" w:noHBand="0" w:noVBand="1"/>
      </w:tblPr>
      <w:tblGrid>
        <w:gridCol w:w="2759"/>
        <w:gridCol w:w="1160"/>
        <w:gridCol w:w="1256"/>
        <w:gridCol w:w="1256"/>
        <w:gridCol w:w="1284"/>
        <w:gridCol w:w="1635"/>
      </w:tblGrid>
      <w:tr w:rsidR="00084F2E" w:rsidRPr="00084F2E" w14:paraId="22A1F0DB" w14:textId="77777777">
        <w:tc>
          <w:tcPr>
            <w:tcW w:w="0" w:type="auto"/>
          </w:tcPr>
          <w:p w14:paraId="66508D5B" w14:textId="77777777" w:rsidR="0072282A" w:rsidRPr="00084F2E" w:rsidRDefault="00AB1BEC">
            <w:pPr>
              <w:spacing w:line="360" w:lineRule="auto"/>
              <w:jc w:val="center"/>
              <w:rPr>
                <w:rFonts w:cs="Times New Roman"/>
                <w:bCs/>
                <w:lang w:val="en-US"/>
              </w:rPr>
            </w:pPr>
            <w:r w:rsidRPr="00084F2E">
              <w:rPr>
                <w:rFonts w:cs="Times New Roman"/>
                <w:bCs/>
                <w:lang w:val="en-US"/>
              </w:rPr>
              <w:t>Metric</w:t>
            </w:r>
          </w:p>
        </w:tc>
        <w:tc>
          <w:tcPr>
            <w:tcW w:w="0" w:type="auto"/>
          </w:tcPr>
          <w:p w14:paraId="3B4BC795" w14:textId="77777777" w:rsidR="0072282A" w:rsidRPr="00084F2E" w:rsidRDefault="00AB1BEC">
            <w:pPr>
              <w:spacing w:line="360" w:lineRule="auto"/>
              <w:jc w:val="center"/>
              <w:rPr>
                <w:rFonts w:cs="Times New Roman"/>
                <w:bCs/>
                <w:lang w:val="en-US"/>
              </w:rPr>
            </w:pPr>
            <w:r w:rsidRPr="00084F2E">
              <w:rPr>
                <w:rFonts w:cs="Times New Roman"/>
                <w:bCs/>
                <w:lang w:val="en-US"/>
              </w:rPr>
              <w:t>Test Statistic</w:t>
            </w:r>
          </w:p>
        </w:tc>
        <w:tc>
          <w:tcPr>
            <w:tcW w:w="0" w:type="auto"/>
          </w:tcPr>
          <w:p w14:paraId="65346BB4" w14:textId="77777777" w:rsidR="0072282A" w:rsidRPr="00084F2E" w:rsidRDefault="00AB1BEC">
            <w:pPr>
              <w:spacing w:line="360" w:lineRule="auto"/>
              <w:jc w:val="center"/>
              <w:rPr>
                <w:rFonts w:cs="Times New Roman"/>
                <w:bCs/>
                <w:lang w:val="en-US"/>
              </w:rPr>
            </w:pPr>
            <w:r w:rsidRPr="00084F2E">
              <w:rPr>
                <w:rFonts w:cs="Times New Roman"/>
                <w:bCs/>
                <w:lang w:val="en-US"/>
              </w:rPr>
              <w:t>1% Critical Value</w:t>
            </w:r>
          </w:p>
        </w:tc>
        <w:tc>
          <w:tcPr>
            <w:tcW w:w="0" w:type="auto"/>
          </w:tcPr>
          <w:p w14:paraId="2714CAA8" w14:textId="77777777" w:rsidR="0072282A" w:rsidRPr="00084F2E" w:rsidRDefault="00AB1BEC">
            <w:pPr>
              <w:spacing w:line="360" w:lineRule="auto"/>
              <w:jc w:val="center"/>
              <w:rPr>
                <w:rFonts w:cs="Times New Roman"/>
                <w:bCs/>
                <w:lang w:val="en-US"/>
              </w:rPr>
            </w:pPr>
            <w:r w:rsidRPr="00084F2E">
              <w:rPr>
                <w:rFonts w:cs="Times New Roman"/>
                <w:bCs/>
                <w:lang w:val="en-US"/>
              </w:rPr>
              <w:t>5% Critical Value</w:t>
            </w:r>
          </w:p>
        </w:tc>
        <w:tc>
          <w:tcPr>
            <w:tcW w:w="0" w:type="auto"/>
          </w:tcPr>
          <w:p w14:paraId="63AF68F1" w14:textId="77777777" w:rsidR="0072282A" w:rsidRPr="00084F2E" w:rsidRDefault="00AB1BEC">
            <w:pPr>
              <w:spacing w:line="360" w:lineRule="auto"/>
              <w:jc w:val="center"/>
              <w:rPr>
                <w:rFonts w:cs="Times New Roman"/>
                <w:bCs/>
                <w:lang w:val="en-US"/>
              </w:rPr>
            </w:pPr>
            <w:r w:rsidRPr="00084F2E">
              <w:rPr>
                <w:rFonts w:cs="Times New Roman"/>
                <w:bCs/>
                <w:lang w:val="en-US"/>
              </w:rPr>
              <w:t>10% Critical Value</w:t>
            </w:r>
          </w:p>
        </w:tc>
        <w:tc>
          <w:tcPr>
            <w:tcW w:w="0" w:type="auto"/>
          </w:tcPr>
          <w:p w14:paraId="5B59E48E" w14:textId="77777777" w:rsidR="0072282A" w:rsidRPr="00084F2E" w:rsidRDefault="00AB1BEC">
            <w:pPr>
              <w:spacing w:line="360" w:lineRule="auto"/>
              <w:jc w:val="center"/>
              <w:rPr>
                <w:rFonts w:cs="Times New Roman"/>
                <w:bCs/>
                <w:lang w:val="en-US"/>
              </w:rPr>
            </w:pPr>
            <w:r w:rsidRPr="00084F2E">
              <w:rPr>
                <w:rFonts w:cs="Times New Roman"/>
                <w:bCs/>
                <w:lang w:val="en-US"/>
              </w:rPr>
              <w:t>MacKinnon p-value</w:t>
            </w:r>
          </w:p>
        </w:tc>
      </w:tr>
      <w:tr w:rsidR="00084F2E" w:rsidRPr="00084F2E" w14:paraId="74B9BE09" w14:textId="77777777">
        <w:tc>
          <w:tcPr>
            <w:tcW w:w="0" w:type="auto"/>
          </w:tcPr>
          <w:p w14:paraId="39A1D029" w14:textId="77777777" w:rsidR="0072282A" w:rsidRPr="00084F2E" w:rsidRDefault="00AB1BEC">
            <w:pPr>
              <w:spacing w:line="360" w:lineRule="auto"/>
              <w:rPr>
                <w:rFonts w:cs="Times New Roman"/>
                <w:b w:val="0"/>
                <w:lang w:val="en-US"/>
              </w:rPr>
            </w:pPr>
            <w:r w:rsidRPr="00084F2E">
              <w:rPr>
                <w:rFonts w:cs="Times New Roman"/>
                <w:b w:val="0"/>
                <w:lang w:val="en-US"/>
              </w:rPr>
              <w:t>d.corrputioncontrol, trend</w:t>
            </w:r>
          </w:p>
        </w:tc>
        <w:tc>
          <w:tcPr>
            <w:tcW w:w="0" w:type="auto"/>
          </w:tcPr>
          <w:p w14:paraId="0FBB7D21" w14:textId="77777777" w:rsidR="0072282A" w:rsidRPr="00084F2E" w:rsidRDefault="00AB1BEC">
            <w:pPr>
              <w:spacing w:line="360" w:lineRule="auto"/>
              <w:rPr>
                <w:rFonts w:cs="Times New Roman"/>
                <w:b w:val="0"/>
                <w:lang w:val="en-US"/>
              </w:rPr>
            </w:pPr>
            <w:r w:rsidRPr="00084F2E">
              <w:rPr>
                <w:rFonts w:cs="Times New Roman"/>
                <w:b w:val="0"/>
                <w:lang w:val="en-US"/>
              </w:rPr>
              <w:t>-5.226</w:t>
            </w:r>
          </w:p>
        </w:tc>
        <w:tc>
          <w:tcPr>
            <w:tcW w:w="0" w:type="auto"/>
          </w:tcPr>
          <w:p w14:paraId="26BC125D" w14:textId="77777777" w:rsidR="0072282A" w:rsidRPr="00084F2E" w:rsidRDefault="00AB1BEC">
            <w:pPr>
              <w:spacing w:line="360" w:lineRule="auto"/>
              <w:rPr>
                <w:rFonts w:cs="Times New Roman"/>
                <w:b w:val="0"/>
                <w:lang w:val="en-US"/>
              </w:rPr>
            </w:pPr>
            <w:r w:rsidRPr="00084F2E">
              <w:rPr>
                <w:rFonts w:cs="Times New Roman"/>
                <w:b w:val="0"/>
                <w:lang w:val="en-US"/>
              </w:rPr>
              <w:t>-4.352</w:t>
            </w:r>
          </w:p>
        </w:tc>
        <w:tc>
          <w:tcPr>
            <w:tcW w:w="0" w:type="auto"/>
          </w:tcPr>
          <w:p w14:paraId="1819362E" w14:textId="77777777" w:rsidR="0072282A" w:rsidRPr="00084F2E" w:rsidRDefault="00AB1BEC">
            <w:pPr>
              <w:spacing w:line="360" w:lineRule="auto"/>
              <w:rPr>
                <w:rFonts w:cs="Times New Roman"/>
                <w:b w:val="0"/>
                <w:lang w:val="en-US"/>
              </w:rPr>
            </w:pPr>
            <w:r w:rsidRPr="00084F2E">
              <w:rPr>
                <w:rFonts w:cs="Times New Roman"/>
                <w:b w:val="0"/>
                <w:lang w:val="en-US"/>
              </w:rPr>
              <w:t>-3.588</w:t>
            </w:r>
          </w:p>
        </w:tc>
        <w:tc>
          <w:tcPr>
            <w:tcW w:w="0" w:type="auto"/>
          </w:tcPr>
          <w:p w14:paraId="1A4045A0" w14:textId="77777777" w:rsidR="0072282A" w:rsidRPr="00084F2E" w:rsidRDefault="00AB1BEC">
            <w:pPr>
              <w:spacing w:line="360" w:lineRule="auto"/>
              <w:rPr>
                <w:rFonts w:cs="Times New Roman"/>
                <w:b w:val="0"/>
                <w:lang w:val="en-US"/>
              </w:rPr>
            </w:pPr>
            <w:r w:rsidRPr="00084F2E">
              <w:rPr>
                <w:rFonts w:cs="Times New Roman"/>
                <w:b w:val="0"/>
                <w:lang w:val="en-US"/>
              </w:rPr>
              <w:t>-3.233</w:t>
            </w:r>
          </w:p>
        </w:tc>
        <w:tc>
          <w:tcPr>
            <w:tcW w:w="0" w:type="auto"/>
          </w:tcPr>
          <w:p w14:paraId="2EBBC678" w14:textId="77777777" w:rsidR="0072282A" w:rsidRPr="00084F2E" w:rsidRDefault="00AB1BEC">
            <w:pPr>
              <w:spacing w:line="360" w:lineRule="auto"/>
              <w:rPr>
                <w:rFonts w:cs="Times New Roman"/>
                <w:b w:val="0"/>
                <w:lang w:val="en-US"/>
              </w:rPr>
            </w:pPr>
            <w:r w:rsidRPr="00084F2E">
              <w:rPr>
                <w:rFonts w:cs="Times New Roman"/>
                <w:b w:val="0"/>
                <w:lang w:val="en-US"/>
              </w:rPr>
              <w:t>0.0001</w:t>
            </w:r>
          </w:p>
        </w:tc>
      </w:tr>
      <w:tr w:rsidR="00084F2E" w:rsidRPr="00084F2E" w14:paraId="336059DD" w14:textId="77777777">
        <w:tc>
          <w:tcPr>
            <w:tcW w:w="0" w:type="auto"/>
          </w:tcPr>
          <w:p w14:paraId="14BC544F" w14:textId="77777777" w:rsidR="0072282A" w:rsidRPr="00084F2E" w:rsidRDefault="00AC5C64">
            <w:pPr>
              <w:spacing w:line="360" w:lineRule="auto"/>
              <w:rPr>
                <w:rFonts w:cs="Times New Roman"/>
                <w:b w:val="0"/>
                <w:lang w:val="en-US"/>
              </w:rPr>
            </w:pPr>
            <w:r w:rsidRPr="00084F2E">
              <w:rPr>
                <w:rFonts w:cs="Times New Roman"/>
                <w:b w:val="0"/>
                <w:lang w:val="en-US"/>
              </w:rPr>
              <w:t>d.Agri_employment, trend</w:t>
            </w:r>
          </w:p>
        </w:tc>
        <w:tc>
          <w:tcPr>
            <w:tcW w:w="0" w:type="auto"/>
          </w:tcPr>
          <w:p w14:paraId="17FB2A0D" w14:textId="77777777" w:rsidR="0072282A" w:rsidRPr="00084F2E" w:rsidRDefault="00AC5C64">
            <w:pPr>
              <w:spacing w:line="360" w:lineRule="auto"/>
              <w:rPr>
                <w:rFonts w:cs="Times New Roman"/>
                <w:b w:val="0"/>
                <w:lang w:val="en-US"/>
              </w:rPr>
            </w:pPr>
            <w:r w:rsidRPr="00084F2E">
              <w:rPr>
                <w:rFonts w:cs="Times New Roman"/>
                <w:b w:val="0"/>
                <w:lang w:val="en-US"/>
              </w:rPr>
              <w:t>-1.993</w:t>
            </w:r>
          </w:p>
        </w:tc>
        <w:tc>
          <w:tcPr>
            <w:tcW w:w="0" w:type="auto"/>
          </w:tcPr>
          <w:p w14:paraId="1988F5EA" w14:textId="77777777" w:rsidR="0072282A" w:rsidRPr="00084F2E" w:rsidRDefault="00AC5C64">
            <w:pPr>
              <w:spacing w:line="360" w:lineRule="auto"/>
              <w:rPr>
                <w:rFonts w:cs="Times New Roman"/>
                <w:b w:val="0"/>
                <w:lang w:val="en-US"/>
              </w:rPr>
            </w:pPr>
            <w:r w:rsidRPr="00084F2E">
              <w:rPr>
                <w:rFonts w:cs="Times New Roman"/>
                <w:b w:val="0"/>
                <w:lang w:val="en-US"/>
              </w:rPr>
              <w:t>-4.352</w:t>
            </w:r>
          </w:p>
        </w:tc>
        <w:tc>
          <w:tcPr>
            <w:tcW w:w="0" w:type="auto"/>
          </w:tcPr>
          <w:p w14:paraId="364EC689" w14:textId="77777777" w:rsidR="0072282A" w:rsidRPr="00084F2E" w:rsidRDefault="00AC5C64">
            <w:pPr>
              <w:spacing w:line="360" w:lineRule="auto"/>
              <w:rPr>
                <w:rFonts w:cs="Times New Roman"/>
                <w:b w:val="0"/>
                <w:lang w:val="en-US"/>
              </w:rPr>
            </w:pPr>
            <w:r w:rsidRPr="00084F2E">
              <w:rPr>
                <w:rFonts w:cs="Times New Roman"/>
                <w:b w:val="0"/>
                <w:lang w:val="en-US"/>
              </w:rPr>
              <w:t>-3.588</w:t>
            </w:r>
          </w:p>
        </w:tc>
        <w:tc>
          <w:tcPr>
            <w:tcW w:w="0" w:type="auto"/>
          </w:tcPr>
          <w:p w14:paraId="072335E9" w14:textId="77777777" w:rsidR="0072282A" w:rsidRPr="00084F2E" w:rsidRDefault="00AC5C64">
            <w:pPr>
              <w:spacing w:line="360" w:lineRule="auto"/>
              <w:rPr>
                <w:rFonts w:cs="Times New Roman"/>
                <w:b w:val="0"/>
                <w:lang w:val="en-US"/>
              </w:rPr>
            </w:pPr>
            <w:r w:rsidRPr="00084F2E">
              <w:rPr>
                <w:rFonts w:cs="Times New Roman"/>
                <w:b w:val="0"/>
                <w:lang w:val="en-US"/>
              </w:rPr>
              <w:t>-3.233</w:t>
            </w:r>
          </w:p>
        </w:tc>
        <w:tc>
          <w:tcPr>
            <w:tcW w:w="0" w:type="auto"/>
          </w:tcPr>
          <w:p w14:paraId="6CD7F1B3" w14:textId="77777777" w:rsidR="0072282A" w:rsidRPr="00084F2E" w:rsidRDefault="00AC5C64">
            <w:pPr>
              <w:spacing w:line="360" w:lineRule="auto"/>
              <w:rPr>
                <w:rFonts w:cs="Times New Roman"/>
                <w:b w:val="0"/>
                <w:lang w:val="en-US"/>
              </w:rPr>
            </w:pPr>
            <w:r w:rsidRPr="00084F2E">
              <w:rPr>
                <w:rFonts w:cs="Times New Roman"/>
                <w:b w:val="0"/>
                <w:lang w:val="en-US"/>
              </w:rPr>
              <w:t>0.6052</w:t>
            </w:r>
          </w:p>
        </w:tc>
      </w:tr>
      <w:tr w:rsidR="00084F2E" w:rsidRPr="00084F2E" w14:paraId="68FF5D17" w14:textId="77777777">
        <w:tc>
          <w:tcPr>
            <w:tcW w:w="0" w:type="auto"/>
          </w:tcPr>
          <w:p w14:paraId="12643440" w14:textId="77777777" w:rsidR="0072282A" w:rsidRPr="00084F2E" w:rsidRDefault="00AB1BEC">
            <w:pPr>
              <w:spacing w:line="360" w:lineRule="auto"/>
              <w:rPr>
                <w:rFonts w:cs="Times New Roman"/>
                <w:b w:val="0"/>
                <w:lang w:val="en-US"/>
              </w:rPr>
            </w:pPr>
            <w:r w:rsidRPr="00084F2E">
              <w:rPr>
                <w:rFonts w:cs="Times New Roman"/>
                <w:b w:val="0"/>
                <w:lang w:val="en-US"/>
              </w:rPr>
              <w:t>d.ConsumerPriceIndex, trend</w:t>
            </w:r>
          </w:p>
        </w:tc>
        <w:tc>
          <w:tcPr>
            <w:tcW w:w="0" w:type="auto"/>
          </w:tcPr>
          <w:p w14:paraId="2935413C" w14:textId="77777777" w:rsidR="0072282A" w:rsidRPr="00084F2E" w:rsidRDefault="00AB1BEC">
            <w:pPr>
              <w:spacing w:line="360" w:lineRule="auto"/>
              <w:rPr>
                <w:rFonts w:cs="Times New Roman"/>
                <w:b w:val="0"/>
                <w:lang w:val="en-US"/>
              </w:rPr>
            </w:pPr>
            <w:r w:rsidRPr="00084F2E">
              <w:rPr>
                <w:rFonts w:cs="Times New Roman"/>
                <w:b w:val="0"/>
                <w:lang w:val="en-US"/>
              </w:rPr>
              <w:t>-3.887</w:t>
            </w:r>
          </w:p>
        </w:tc>
        <w:tc>
          <w:tcPr>
            <w:tcW w:w="0" w:type="auto"/>
          </w:tcPr>
          <w:p w14:paraId="7B14674C" w14:textId="77777777" w:rsidR="0072282A" w:rsidRPr="00084F2E" w:rsidRDefault="00AB1BEC">
            <w:pPr>
              <w:spacing w:line="360" w:lineRule="auto"/>
              <w:rPr>
                <w:rFonts w:cs="Times New Roman"/>
                <w:b w:val="0"/>
                <w:lang w:val="en-US"/>
              </w:rPr>
            </w:pPr>
            <w:r w:rsidRPr="00084F2E">
              <w:rPr>
                <w:rFonts w:cs="Times New Roman"/>
                <w:b w:val="0"/>
                <w:lang w:val="en-US"/>
              </w:rPr>
              <w:t>-4.352</w:t>
            </w:r>
          </w:p>
        </w:tc>
        <w:tc>
          <w:tcPr>
            <w:tcW w:w="0" w:type="auto"/>
          </w:tcPr>
          <w:p w14:paraId="58CBB9E8" w14:textId="77777777" w:rsidR="0072282A" w:rsidRPr="00084F2E" w:rsidRDefault="00AB1BEC">
            <w:pPr>
              <w:spacing w:line="360" w:lineRule="auto"/>
              <w:rPr>
                <w:rFonts w:cs="Times New Roman"/>
                <w:b w:val="0"/>
                <w:lang w:val="en-US"/>
              </w:rPr>
            </w:pPr>
            <w:r w:rsidRPr="00084F2E">
              <w:rPr>
                <w:rFonts w:cs="Times New Roman"/>
                <w:b w:val="0"/>
                <w:lang w:val="en-US"/>
              </w:rPr>
              <w:t>-3.588</w:t>
            </w:r>
          </w:p>
        </w:tc>
        <w:tc>
          <w:tcPr>
            <w:tcW w:w="0" w:type="auto"/>
          </w:tcPr>
          <w:p w14:paraId="1AA7D752" w14:textId="77777777" w:rsidR="0072282A" w:rsidRPr="00084F2E" w:rsidRDefault="00AB1BEC">
            <w:pPr>
              <w:spacing w:line="360" w:lineRule="auto"/>
              <w:rPr>
                <w:rFonts w:cs="Times New Roman"/>
                <w:b w:val="0"/>
                <w:lang w:val="en-US"/>
              </w:rPr>
            </w:pPr>
            <w:r w:rsidRPr="00084F2E">
              <w:rPr>
                <w:rFonts w:cs="Times New Roman"/>
                <w:b w:val="0"/>
                <w:lang w:val="en-US"/>
              </w:rPr>
              <w:t>-3.233</w:t>
            </w:r>
          </w:p>
        </w:tc>
        <w:tc>
          <w:tcPr>
            <w:tcW w:w="0" w:type="auto"/>
          </w:tcPr>
          <w:p w14:paraId="33FC16B1" w14:textId="77777777" w:rsidR="0072282A" w:rsidRPr="00084F2E" w:rsidRDefault="00AB1BEC">
            <w:pPr>
              <w:spacing w:line="360" w:lineRule="auto"/>
              <w:rPr>
                <w:rFonts w:cs="Times New Roman"/>
                <w:b w:val="0"/>
                <w:lang w:val="en-US"/>
              </w:rPr>
            </w:pPr>
            <w:r w:rsidRPr="00084F2E">
              <w:rPr>
                <w:rFonts w:cs="Times New Roman"/>
                <w:b w:val="0"/>
                <w:lang w:val="en-US"/>
              </w:rPr>
              <w:t>0.0127</w:t>
            </w:r>
          </w:p>
        </w:tc>
      </w:tr>
      <w:tr w:rsidR="00084F2E" w:rsidRPr="00084F2E" w14:paraId="6E5DD732" w14:textId="77777777">
        <w:tc>
          <w:tcPr>
            <w:tcW w:w="0" w:type="auto"/>
          </w:tcPr>
          <w:p w14:paraId="27A31E90" w14:textId="77777777" w:rsidR="0072282A" w:rsidRPr="00084F2E" w:rsidRDefault="00AC5C64">
            <w:pPr>
              <w:spacing w:line="360" w:lineRule="auto"/>
              <w:rPr>
                <w:rFonts w:cs="Times New Roman"/>
                <w:b w:val="0"/>
                <w:lang w:val="en-US"/>
              </w:rPr>
            </w:pPr>
            <w:r w:rsidRPr="00084F2E">
              <w:rPr>
                <w:rFonts w:cs="Times New Roman"/>
                <w:b w:val="0"/>
                <w:lang w:val="en-US"/>
              </w:rPr>
              <w:t>d.Excahngerate, trend</w:t>
            </w:r>
          </w:p>
        </w:tc>
        <w:tc>
          <w:tcPr>
            <w:tcW w:w="0" w:type="auto"/>
          </w:tcPr>
          <w:p w14:paraId="37D840AC" w14:textId="77777777" w:rsidR="0072282A" w:rsidRPr="00084F2E" w:rsidRDefault="00AC5C64">
            <w:pPr>
              <w:spacing w:line="360" w:lineRule="auto"/>
              <w:rPr>
                <w:rFonts w:cs="Times New Roman"/>
                <w:b w:val="0"/>
                <w:lang w:val="en-US"/>
              </w:rPr>
            </w:pPr>
            <w:r w:rsidRPr="00084F2E">
              <w:rPr>
                <w:rFonts w:cs="Times New Roman"/>
                <w:b w:val="0"/>
                <w:lang w:val="en-US"/>
              </w:rPr>
              <w:t>-2.953</w:t>
            </w:r>
          </w:p>
        </w:tc>
        <w:tc>
          <w:tcPr>
            <w:tcW w:w="0" w:type="auto"/>
          </w:tcPr>
          <w:p w14:paraId="7E35CF76" w14:textId="77777777" w:rsidR="0072282A" w:rsidRPr="00084F2E" w:rsidRDefault="00AC5C64">
            <w:pPr>
              <w:spacing w:line="360" w:lineRule="auto"/>
              <w:rPr>
                <w:rFonts w:cs="Times New Roman"/>
                <w:b w:val="0"/>
                <w:lang w:val="en-US"/>
              </w:rPr>
            </w:pPr>
            <w:r w:rsidRPr="00084F2E">
              <w:rPr>
                <w:rFonts w:cs="Times New Roman"/>
                <w:b w:val="0"/>
                <w:lang w:val="en-US"/>
              </w:rPr>
              <w:t>-4.352</w:t>
            </w:r>
          </w:p>
        </w:tc>
        <w:tc>
          <w:tcPr>
            <w:tcW w:w="0" w:type="auto"/>
          </w:tcPr>
          <w:p w14:paraId="7164DEEB" w14:textId="77777777" w:rsidR="0072282A" w:rsidRPr="00084F2E" w:rsidRDefault="00AC5C64">
            <w:pPr>
              <w:spacing w:line="360" w:lineRule="auto"/>
              <w:rPr>
                <w:rFonts w:cs="Times New Roman"/>
                <w:b w:val="0"/>
                <w:lang w:val="en-US"/>
              </w:rPr>
            </w:pPr>
            <w:r w:rsidRPr="00084F2E">
              <w:rPr>
                <w:rFonts w:cs="Times New Roman"/>
                <w:b w:val="0"/>
                <w:lang w:val="en-US"/>
              </w:rPr>
              <w:t>-3.588</w:t>
            </w:r>
          </w:p>
        </w:tc>
        <w:tc>
          <w:tcPr>
            <w:tcW w:w="0" w:type="auto"/>
          </w:tcPr>
          <w:p w14:paraId="45C8E3B8" w14:textId="77777777" w:rsidR="0072282A" w:rsidRPr="00084F2E" w:rsidRDefault="00AC5C64">
            <w:pPr>
              <w:spacing w:line="360" w:lineRule="auto"/>
              <w:rPr>
                <w:rFonts w:cs="Times New Roman"/>
                <w:b w:val="0"/>
                <w:lang w:val="en-US"/>
              </w:rPr>
            </w:pPr>
            <w:r w:rsidRPr="00084F2E">
              <w:rPr>
                <w:rFonts w:cs="Times New Roman"/>
                <w:b w:val="0"/>
                <w:lang w:val="en-US"/>
              </w:rPr>
              <w:t>-3.233</w:t>
            </w:r>
          </w:p>
        </w:tc>
        <w:tc>
          <w:tcPr>
            <w:tcW w:w="0" w:type="auto"/>
          </w:tcPr>
          <w:p w14:paraId="46D4D78B" w14:textId="77777777" w:rsidR="0072282A" w:rsidRPr="00084F2E" w:rsidRDefault="00AC5C64">
            <w:pPr>
              <w:spacing w:line="360" w:lineRule="auto"/>
              <w:rPr>
                <w:rFonts w:cs="Times New Roman"/>
                <w:b w:val="0"/>
                <w:lang w:val="en-US"/>
              </w:rPr>
            </w:pPr>
            <w:r w:rsidRPr="00084F2E">
              <w:rPr>
                <w:rFonts w:cs="Times New Roman"/>
                <w:b w:val="0"/>
                <w:lang w:val="en-US"/>
              </w:rPr>
              <w:t>0.1457</w:t>
            </w:r>
          </w:p>
        </w:tc>
      </w:tr>
      <w:tr w:rsidR="00084F2E" w:rsidRPr="00084F2E" w14:paraId="507D7537" w14:textId="77777777">
        <w:tc>
          <w:tcPr>
            <w:tcW w:w="0" w:type="auto"/>
          </w:tcPr>
          <w:p w14:paraId="211581FE" w14:textId="77777777" w:rsidR="0072282A" w:rsidRPr="00084F2E" w:rsidRDefault="00AB1BEC">
            <w:pPr>
              <w:spacing w:line="360" w:lineRule="auto"/>
              <w:rPr>
                <w:rFonts w:cs="Times New Roman"/>
                <w:b w:val="0"/>
                <w:lang w:val="en-US"/>
              </w:rPr>
            </w:pPr>
            <w:r w:rsidRPr="00084F2E">
              <w:rPr>
                <w:rFonts w:cs="Times New Roman"/>
                <w:b w:val="0"/>
                <w:lang w:val="en-US"/>
              </w:rPr>
              <w:t>d.FDI, trend</w:t>
            </w:r>
          </w:p>
        </w:tc>
        <w:tc>
          <w:tcPr>
            <w:tcW w:w="0" w:type="auto"/>
          </w:tcPr>
          <w:p w14:paraId="5128A53F" w14:textId="77777777" w:rsidR="0072282A" w:rsidRPr="00084F2E" w:rsidRDefault="00AB1BEC">
            <w:pPr>
              <w:spacing w:line="360" w:lineRule="auto"/>
              <w:rPr>
                <w:rFonts w:cs="Times New Roman"/>
                <w:b w:val="0"/>
                <w:lang w:val="en-US"/>
              </w:rPr>
            </w:pPr>
            <w:r w:rsidRPr="00084F2E">
              <w:rPr>
                <w:rFonts w:cs="Times New Roman"/>
                <w:b w:val="0"/>
                <w:lang w:val="en-US"/>
              </w:rPr>
              <w:t>-6.378</w:t>
            </w:r>
          </w:p>
        </w:tc>
        <w:tc>
          <w:tcPr>
            <w:tcW w:w="0" w:type="auto"/>
          </w:tcPr>
          <w:p w14:paraId="1F582FAA" w14:textId="77777777" w:rsidR="0072282A" w:rsidRPr="00084F2E" w:rsidRDefault="00AB1BEC">
            <w:pPr>
              <w:spacing w:line="360" w:lineRule="auto"/>
              <w:rPr>
                <w:rFonts w:cs="Times New Roman"/>
                <w:b w:val="0"/>
                <w:lang w:val="en-US"/>
              </w:rPr>
            </w:pPr>
            <w:r w:rsidRPr="00084F2E">
              <w:rPr>
                <w:rFonts w:cs="Times New Roman"/>
                <w:b w:val="0"/>
                <w:lang w:val="en-US"/>
              </w:rPr>
              <w:t>-4.352</w:t>
            </w:r>
          </w:p>
        </w:tc>
        <w:tc>
          <w:tcPr>
            <w:tcW w:w="0" w:type="auto"/>
          </w:tcPr>
          <w:p w14:paraId="15295511" w14:textId="77777777" w:rsidR="0072282A" w:rsidRPr="00084F2E" w:rsidRDefault="00AB1BEC">
            <w:pPr>
              <w:spacing w:line="360" w:lineRule="auto"/>
              <w:rPr>
                <w:rFonts w:cs="Times New Roman"/>
                <w:b w:val="0"/>
                <w:lang w:val="en-US"/>
              </w:rPr>
            </w:pPr>
            <w:r w:rsidRPr="00084F2E">
              <w:rPr>
                <w:rFonts w:cs="Times New Roman"/>
                <w:b w:val="0"/>
                <w:lang w:val="en-US"/>
              </w:rPr>
              <w:t>-3.588</w:t>
            </w:r>
          </w:p>
        </w:tc>
        <w:tc>
          <w:tcPr>
            <w:tcW w:w="0" w:type="auto"/>
          </w:tcPr>
          <w:p w14:paraId="6DB12B83" w14:textId="77777777" w:rsidR="0072282A" w:rsidRPr="00084F2E" w:rsidRDefault="00AB1BEC">
            <w:pPr>
              <w:spacing w:line="360" w:lineRule="auto"/>
              <w:rPr>
                <w:rFonts w:cs="Times New Roman"/>
                <w:b w:val="0"/>
                <w:lang w:val="en-US"/>
              </w:rPr>
            </w:pPr>
            <w:r w:rsidRPr="00084F2E">
              <w:rPr>
                <w:rFonts w:cs="Times New Roman"/>
                <w:b w:val="0"/>
                <w:lang w:val="en-US"/>
              </w:rPr>
              <w:t>-3.233</w:t>
            </w:r>
          </w:p>
        </w:tc>
        <w:tc>
          <w:tcPr>
            <w:tcW w:w="0" w:type="auto"/>
          </w:tcPr>
          <w:p w14:paraId="40DF4596" w14:textId="77777777" w:rsidR="0072282A" w:rsidRPr="00084F2E" w:rsidRDefault="00AB1BEC">
            <w:pPr>
              <w:spacing w:line="360" w:lineRule="auto"/>
              <w:rPr>
                <w:rFonts w:cs="Times New Roman"/>
                <w:b w:val="0"/>
                <w:lang w:val="en-US"/>
              </w:rPr>
            </w:pPr>
            <w:r w:rsidRPr="00084F2E">
              <w:rPr>
                <w:rFonts w:cs="Times New Roman"/>
                <w:b w:val="0"/>
                <w:lang w:val="en-US"/>
              </w:rPr>
              <w:t>0.0000</w:t>
            </w:r>
          </w:p>
        </w:tc>
      </w:tr>
      <w:tr w:rsidR="00084F2E" w:rsidRPr="00084F2E" w14:paraId="1D9AC373" w14:textId="77777777">
        <w:tc>
          <w:tcPr>
            <w:tcW w:w="0" w:type="auto"/>
          </w:tcPr>
          <w:p w14:paraId="7806A421" w14:textId="77777777" w:rsidR="0072282A" w:rsidRPr="00084F2E" w:rsidRDefault="00AB1BEC">
            <w:pPr>
              <w:spacing w:line="360" w:lineRule="auto"/>
              <w:rPr>
                <w:rFonts w:cs="Times New Roman"/>
                <w:b w:val="0"/>
                <w:lang w:val="en-US"/>
              </w:rPr>
            </w:pPr>
            <w:r w:rsidRPr="00084F2E">
              <w:rPr>
                <w:rFonts w:cs="Times New Roman"/>
                <w:b w:val="0"/>
                <w:lang w:val="en-US"/>
              </w:rPr>
              <w:t>d.GDP, trend</w:t>
            </w:r>
          </w:p>
        </w:tc>
        <w:tc>
          <w:tcPr>
            <w:tcW w:w="0" w:type="auto"/>
          </w:tcPr>
          <w:p w14:paraId="31D38E6F" w14:textId="77777777" w:rsidR="0072282A" w:rsidRPr="00084F2E" w:rsidRDefault="00AB1BEC">
            <w:pPr>
              <w:spacing w:line="360" w:lineRule="auto"/>
              <w:rPr>
                <w:rFonts w:cs="Times New Roman"/>
                <w:b w:val="0"/>
                <w:lang w:val="en-US"/>
              </w:rPr>
            </w:pPr>
            <w:r w:rsidRPr="00084F2E">
              <w:rPr>
                <w:rFonts w:cs="Times New Roman"/>
                <w:b w:val="0"/>
                <w:lang w:val="en-US"/>
              </w:rPr>
              <w:t>-4.209</w:t>
            </w:r>
          </w:p>
        </w:tc>
        <w:tc>
          <w:tcPr>
            <w:tcW w:w="0" w:type="auto"/>
          </w:tcPr>
          <w:p w14:paraId="1C0C0953" w14:textId="77777777" w:rsidR="0072282A" w:rsidRPr="00084F2E" w:rsidRDefault="00AB1BEC">
            <w:pPr>
              <w:spacing w:line="360" w:lineRule="auto"/>
              <w:rPr>
                <w:rFonts w:cs="Times New Roman"/>
                <w:b w:val="0"/>
                <w:lang w:val="en-US"/>
              </w:rPr>
            </w:pPr>
            <w:r w:rsidRPr="00084F2E">
              <w:rPr>
                <w:rFonts w:cs="Times New Roman"/>
                <w:b w:val="0"/>
                <w:lang w:val="en-US"/>
              </w:rPr>
              <w:t>-4.352</w:t>
            </w:r>
          </w:p>
        </w:tc>
        <w:tc>
          <w:tcPr>
            <w:tcW w:w="0" w:type="auto"/>
          </w:tcPr>
          <w:p w14:paraId="14CE7631" w14:textId="77777777" w:rsidR="0072282A" w:rsidRPr="00084F2E" w:rsidRDefault="00AB1BEC">
            <w:pPr>
              <w:spacing w:line="360" w:lineRule="auto"/>
              <w:rPr>
                <w:rFonts w:cs="Times New Roman"/>
                <w:b w:val="0"/>
                <w:lang w:val="en-US"/>
              </w:rPr>
            </w:pPr>
            <w:r w:rsidRPr="00084F2E">
              <w:rPr>
                <w:rFonts w:cs="Times New Roman"/>
                <w:b w:val="0"/>
                <w:lang w:val="en-US"/>
              </w:rPr>
              <w:t>-3.588</w:t>
            </w:r>
          </w:p>
        </w:tc>
        <w:tc>
          <w:tcPr>
            <w:tcW w:w="0" w:type="auto"/>
          </w:tcPr>
          <w:p w14:paraId="4F9902C0" w14:textId="77777777" w:rsidR="0072282A" w:rsidRPr="00084F2E" w:rsidRDefault="00AB1BEC">
            <w:pPr>
              <w:spacing w:line="360" w:lineRule="auto"/>
              <w:rPr>
                <w:rFonts w:cs="Times New Roman"/>
                <w:b w:val="0"/>
                <w:lang w:val="en-US"/>
              </w:rPr>
            </w:pPr>
            <w:r w:rsidRPr="00084F2E">
              <w:rPr>
                <w:rFonts w:cs="Times New Roman"/>
                <w:b w:val="0"/>
                <w:lang w:val="en-US"/>
              </w:rPr>
              <w:t>-3.233</w:t>
            </w:r>
          </w:p>
        </w:tc>
        <w:tc>
          <w:tcPr>
            <w:tcW w:w="0" w:type="auto"/>
          </w:tcPr>
          <w:p w14:paraId="3C0B6E7F" w14:textId="77777777" w:rsidR="0072282A" w:rsidRPr="00084F2E" w:rsidRDefault="00AB1BEC">
            <w:pPr>
              <w:spacing w:line="360" w:lineRule="auto"/>
              <w:rPr>
                <w:rFonts w:cs="Times New Roman"/>
                <w:b w:val="0"/>
                <w:lang w:val="en-US"/>
              </w:rPr>
            </w:pPr>
            <w:r w:rsidRPr="00084F2E">
              <w:rPr>
                <w:rFonts w:cs="Times New Roman"/>
                <w:b w:val="0"/>
                <w:lang w:val="en-US"/>
              </w:rPr>
              <w:t>0.0043</w:t>
            </w:r>
          </w:p>
        </w:tc>
      </w:tr>
      <w:tr w:rsidR="00084F2E" w:rsidRPr="00084F2E" w14:paraId="4082F5FC" w14:textId="77777777">
        <w:tc>
          <w:tcPr>
            <w:tcW w:w="0" w:type="auto"/>
          </w:tcPr>
          <w:p w14:paraId="5548C6ED" w14:textId="77777777" w:rsidR="0072282A" w:rsidRPr="00084F2E" w:rsidRDefault="00AB1BEC">
            <w:pPr>
              <w:spacing w:line="360" w:lineRule="auto"/>
              <w:rPr>
                <w:rFonts w:cs="Times New Roman"/>
                <w:b w:val="0"/>
                <w:lang w:val="en-US"/>
              </w:rPr>
            </w:pPr>
            <w:r w:rsidRPr="00084F2E">
              <w:rPr>
                <w:rFonts w:cs="Times New Roman"/>
                <w:b w:val="0"/>
                <w:lang w:val="en-US"/>
              </w:rPr>
              <w:t>d.Gross_nationalsavings, trend</w:t>
            </w:r>
          </w:p>
        </w:tc>
        <w:tc>
          <w:tcPr>
            <w:tcW w:w="0" w:type="auto"/>
          </w:tcPr>
          <w:p w14:paraId="64045C1F" w14:textId="77777777" w:rsidR="0072282A" w:rsidRPr="00084F2E" w:rsidRDefault="00AB1BEC">
            <w:pPr>
              <w:spacing w:line="360" w:lineRule="auto"/>
              <w:rPr>
                <w:rFonts w:cs="Times New Roman"/>
                <w:b w:val="0"/>
                <w:lang w:val="en-US"/>
              </w:rPr>
            </w:pPr>
            <w:r w:rsidRPr="00084F2E">
              <w:rPr>
                <w:rFonts w:cs="Times New Roman"/>
                <w:b w:val="0"/>
                <w:lang w:val="en-US"/>
              </w:rPr>
              <w:t>-4.775</w:t>
            </w:r>
          </w:p>
        </w:tc>
        <w:tc>
          <w:tcPr>
            <w:tcW w:w="0" w:type="auto"/>
          </w:tcPr>
          <w:p w14:paraId="164EEBEE" w14:textId="77777777" w:rsidR="0072282A" w:rsidRPr="00084F2E" w:rsidRDefault="00AB1BEC">
            <w:pPr>
              <w:spacing w:line="360" w:lineRule="auto"/>
              <w:rPr>
                <w:rFonts w:cs="Times New Roman"/>
                <w:b w:val="0"/>
                <w:lang w:val="en-US"/>
              </w:rPr>
            </w:pPr>
            <w:r w:rsidRPr="00084F2E">
              <w:rPr>
                <w:rFonts w:cs="Times New Roman"/>
                <w:b w:val="0"/>
                <w:lang w:val="en-US"/>
              </w:rPr>
              <w:t>-4.352</w:t>
            </w:r>
          </w:p>
        </w:tc>
        <w:tc>
          <w:tcPr>
            <w:tcW w:w="0" w:type="auto"/>
          </w:tcPr>
          <w:p w14:paraId="6CBDB4B1" w14:textId="77777777" w:rsidR="0072282A" w:rsidRPr="00084F2E" w:rsidRDefault="00AB1BEC">
            <w:pPr>
              <w:spacing w:line="360" w:lineRule="auto"/>
              <w:rPr>
                <w:rFonts w:cs="Times New Roman"/>
                <w:b w:val="0"/>
                <w:lang w:val="en-US"/>
              </w:rPr>
            </w:pPr>
            <w:r w:rsidRPr="00084F2E">
              <w:rPr>
                <w:rFonts w:cs="Times New Roman"/>
                <w:b w:val="0"/>
                <w:lang w:val="en-US"/>
              </w:rPr>
              <w:t>-3.588</w:t>
            </w:r>
          </w:p>
        </w:tc>
        <w:tc>
          <w:tcPr>
            <w:tcW w:w="0" w:type="auto"/>
          </w:tcPr>
          <w:p w14:paraId="44C9E316" w14:textId="77777777" w:rsidR="0072282A" w:rsidRPr="00084F2E" w:rsidRDefault="00AB1BEC">
            <w:pPr>
              <w:spacing w:line="360" w:lineRule="auto"/>
              <w:rPr>
                <w:rFonts w:cs="Times New Roman"/>
                <w:b w:val="0"/>
                <w:lang w:val="en-US"/>
              </w:rPr>
            </w:pPr>
            <w:r w:rsidRPr="00084F2E">
              <w:rPr>
                <w:rFonts w:cs="Times New Roman"/>
                <w:b w:val="0"/>
                <w:lang w:val="en-US"/>
              </w:rPr>
              <w:t>-3.233</w:t>
            </w:r>
          </w:p>
        </w:tc>
        <w:tc>
          <w:tcPr>
            <w:tcW w:w="0" w:type="auto"/>
          </w:tcPr>
          <w:p w14:paraId="10199557" w14:textId="77777777" w:rsidR="0072282A" w:rsidRPr="00084F2E" w:rsidRDefault="00AB1BEC">
            <w:pPr>
              <w:spacing w:line="360" w:lineRule="auto"/>
              <w:rPr>
                <w:rFonts w:cs="Times New Roman"/>
                <w:b w:val="0"/>
                <w:lang w:val="en-US"/>
              </w:rPr>
            </w:pPr>
            <w:r w:rsidRPr="00084F2E">
              <w:rPr>
                <w:rFonts w:cs="Times New Roman"/>
                <w:b w:val="0"/>
                <w:lang w:val="en-US"/>
              </w:rPr>
              <w:t>0.0005</w:t>
            </w:r>
          </w:p>
        </w:tc>
      </w:tr>
      <w:tr w:rsidR="00084F2E" w:rsidRPr="00084F2E" w14:paraId="53CD0E40" w14:textId="77777777">
        <w:tc>
          <w:tcPr>
            <w:tcW w:w="0" w:type="auto"/>
          </w:tcPr>
          <w:p w14:paraId="7B23940B" w14:textId="77777777" w:rsidR="0072282A" w:rsidRPr="00084F2E" w:rsidRDefault="00AB1BEC">
            <w:pPr>
              <w:spacing w:line="360" w:lineRule="auto"/>
              <w:rPr>
                <w:rFonts w:cs="Times New Roman"/>
                <w:b w:val="0"/>
                <w:lang w:val="en-US"/>
              </w:rPr>
            </w:pPr>
            <w:r w:rsidRPr="00084F2E">
              <w:rPr>
                <w:rFonts w:cs="Times New Roman"/>
                <w:b w:val="0"/>
                <w:lang w:val="en-US"/>
              </w:rPr>
              <w:t>d.Indirect_tax_revenue, trend</w:t>
            </w:r>
          </w:p>
        </w:tc>
        <w:tc>
          <w:tcPr>
            <w:tcW w:w="0" w:type="auto"/>
          </w:tcPr>
          <w:p w14:paraId="1EF35F7C" w14:textId="77777777" w:rsidR="0072282A" w:rsidRPr="00084F2E" w:rsidRDefault="00AB1BEC">
            <w:pPr>
              <w:spacing w:line="360" w:lineRule="auto"/>
              <w:rPr>
                <w:rFonts w:cs="Times New Roman"/>
                <w:b w:val="0"/>
                <w:lang w:val="en-US"/>
              </w:rPr>
            </w:pPr>
            <w:r w:rsidRPr="00084F2E">
              <w:rPr>
                <w:rFonts w:cs="Times New Roman"/>
                <w:b w:val="0"/>
                <w:lang w:val="en-US"/>
              </w:rPr>
              <w:t>-4.684</w:t>
            </w:r>
          </w:p>
        </w:tc>
        <w:tc>
          <w:tcPr>
            <w:tcW w:w="0" w:type="auto"/>
          </w:tcPr>
          <w:p w14:paraId="79A2EAB1" w14:textId="77777777" w:rsidR="0072282A" w:rsidRPr="00084F2E" w:rsidRDefault="00AB1BEC">
            <w:pPr>
              <w:spacing w:line="360" w:lineRule="auto"/>
              <w:rPr>
                <w:rFonts w:cs="Times New Roman"/>
                <w:b w:val="0"/>
                <w:lang w:val="en-US"/>
              </w:rPr>
            </w:pPr>
            <w:r w:rsidRPr="00084F2E">
              <w:rPr>
                <w:rFonts w:cs="Times New Roman"/>
                <w:b w:val="0"/>
                <w:lang w:val="en-US"/>
              </w:rPr>
              <w:t>-4.352</w:t>
            </w:r>
          </w:p>
        </w:tc>
        <w:tc>
          <w:tcPr>
            <w:tcW w:w="0" w:type="auto"/>
          </w:tcPr>
          <w:p w14:paraId="7A126F8C" w14:textId="77777777" w:rsidR="0072282A" w:rsidRPr="00084F2E" w:rsidRDefault="00AB1BEC">
            <w:pPr>
              <w:spacing w:line="360" w:lineRule="auto"/>
              <w:rPr>
                <w:rFonts w:cs="Times New Roman"/>
                <w:b w:val="0"/>
                <w:lang w:val="en-US"/>
              </w:rPr>
            </w:pPr>
            <w:r w:rsidRPr="00084F2E">
              <w:rPr>
                <w:rFonts w:cs="Times New Roman"/>
                <w:b w:val="0"/>
                <w:lang w:val="en-US"/>
              </w:rPr>
              <w:t>-3.588</w:t>
            </w:r>
          </w:p>
        </w:tc>
        <w:tc>
          <w:tcPr>
            <w:tcW w:w="0" w:type="auto"/>
          </w:tcPr>
          <w:p w14:paraId="304E59C0" w14:textId="77777777" w:rsidR="0072282A" w:rsidRPr="00084F2E" w:rsidRDefault="00AB1BEC">
            <w:pPr>
              <w:spacing w:line="360" w:lineRule="auto"/>
              <w:rPr>
                <w:rFonts w:cs="Times New Roman"/>
                <w:b w:val="0"/>
                <w:lang w:val="en-US"/>
              </w:rPr>
            </w:pPr>
            <w:r w:rsidRPr="00084F2E">
              <w:rPr>
                <w:rFonts w:cs="Times New Roman"/>
                <w:b w:val="0"/>
                <w:lang w:val="en-US"/>
              </w:rPr>
              <w:t>-3.233</w:t>
            </w:r>
          </w:p>
        </w:tc>
        <w:tc>
          <w:tcPr>
            <w:tcW w:w="0" w:type="auto"/>
          </w:tcPr>
          <w:p w14:paraId="48D5F962" w14:textId="77777777" w:rsidR="0072282A" w:rsidRPr="00084F2E" w:rsidRDefault="00AB1BEC">
            <w:pPr>
              <w:spacing w:line="360" w:lineRule="auto"/>
              <w:rPr>
                <w:rFonts w:cs="Times New Roman"/>
                <w:b w:val="0"/>
                <w:lang w:val="en-US"/>
              </w:rPr>
            </w:pPr>
            <w:r w:rsidRPr="00084F2E">
              <w:rPr>
                <w:rFonts w:cs="Times New Roman"/>
                <w:b w:val="0"/>
                <w:lang w:val="en-US"/>
              </w:rPr>
              <w:t>0.0007</w:t>
            </w:r>
          </w:p>
        </w:tc>
      </w:tr>
      <w:tr w:rsidR="00084F2E" w:rsidRPr="00084F2E" w14:paraId="2BB17274" w14:textId="77777777">
        <w:tc>
          <w:tcPr>
            <w:tcW w:w="0" w:type="auto"/>
          </w:tcPr>
          <w:p w14:paraId="7CA88B6E" w14:textId="77777777" w:rsidR="0072282A" w:rsidRPr="00084F2E" w:rsidRDefault="00AB1BEC">
            <w:pPr>
              <w:spacing w:line="360" w:lineRule="auto"/>
              <w:rPr>
                <w:rFonts w:cs="Times New Roman"/>
                <w:b w:val="0"/>
                <w:lang w:val="en-US"/>
              </w:rPr>
            </w:pPr>
            <w:r w:rsidRPr="00084F2E">
              <w:rPr>
                <w:rFonts w:cs="Times New Roman"/>
                <w:b w:val="0"/>
                <w:lang w:val="en-US"/>
              </w:rPr>
              <w:lastRenderedPageBreak/>
              <w:t>d.Gornt_debt, trend</w:t>
            </w:r>
          </w:p>
        </w:tc>
        <w:tc>
          <w:tcPr>
            <w:tcW w:w="0" w:type="auto"/>
          </w:tcPr>
          <w:p w14:paraId="68FA0786" w14:textId="77777777" w:rsidR="0072282A" w:rsidRPr="00084F2E" w:rsidRDefault="00AB1BEC">
            <w:pPr>
              <w:spacing w:line="360" w:lineRule="auto"/>
              <w:rPr>
                <w:rFonts w:cs="Times New Roman"/>
                <w:b w:val="0"/>
                <w:lang w:val="en-US"/>
              </w:rPr>
            </w:pPr>
            <w:r w:rsidRPr="00084F2E">
              <w:rPr>
                <w:rFonts w:cs="Times New Roman"/>
                <w:b w:val="0"/>
                <w:lang w:val="en-US"/>
              </w:rPr>
              <w:t>-7.330</w:t>
            </w:r>
          </w:p>
        </w:tc>
        <w:tc>
          <w:tcPr>
            <w:tcW w:w="0" w:type="auto"/>
          </w:tcPr>
          <w:p w14:paraId="5AFF9697" w14:textId="77777777" w:rsidR="0072282A" w:rsidRPr="00084F2E" w:rsidRDefault="00AB1BEC">
            <w:pPr>
              <w:spacing w:line="360" w:lineRule="auto"/>
              <w:rPr>
                <w:rFonts w:cs="Times New Roman"/>
                <w:b w:val="0"/>
                <w:lang w:val="en-US"/>
              </w:rPr>
            </w:pPr>
            <w:r w:rsidRPr="00084F2E">
              <w:rPr>
                <w:rFonts w:cs="Times New Roman"/>
                <w:b w:val="0"/>
                <w:lang w:val="en-US"/>
              </w:rPr>
              <w:t>-4.352</w:t>
            </w:r>
          </w:p>
        </w:tc>
        <w:tc>
          <w:tcPr>
            <w:tcW w:w="0" w:type="auto"/>
          </w:tcPr>
          <w:p w14:paraId="1A4102D0" w14:textId="77777777" w:rsidR="0072282A" w:rsidRPr="00084F2E" w:rsidRDefault="00AB1BEC">
            <w:pPr>
              <w:spacing w:line="360" w:lineRule="auto"/>
              <w:rPr>
                <w:rFonts w:cs="Times New Roman"/>
                <w:b w:val="0"/>
                <w:lang w:val="en-US"/>
              </w:rPr>
            </w:pPr>
            <w:r w:rsidRPr="00084F2E">
              <w:rPr>
                <w:rFonts w:cs="Times New Roman"/>
                <w:b w:val="0"/>
                <w:lang w:val="en-US"/>
              </w:rPr>
              <w:t>-3.588</w:t>
            </w:r>
          </w:p>
        </w:tc>
        <w:tc>
          <w:tcPr>
            <w:tcW w:w="0" w:type="auto"/>
          </w:tcPr>
          <w:p w14:paraId="4B15A4E0" w14:textId="77777777" w:rsidR="0072282A" w:rsidRPr="00084F2E" w:rsidRDefault="00AB1BEC">
            <w:pPr>
              <w:spacing w:line="360" w:lineRule="auto"/>
              <w:rPr>
                <w:rFonts w:cs="Times New Roman"/>
                <w:b w:val="0"/>
                <w:lang w:val="en-US"/>
              </w:rPr>
            </w:pPr>
            <w:r w:rsidRPr="00084F2E">
              <w:rPr>
                <w:rFonts w:cs="Times New Roman"/>
                <w:b w:val="0"/>
                <w:lang w:val="en-US"/>
              </w:rPr>
              <w:t>-3.233</w:t>
            </w:r>
          </w:p>
        </w:tc>
        <w:tc>
          <w:tcPr>
            <w:tcW w:w="0" w:type="auto"/>
          </w:tcPr>
          <w:p w14:paraId="186311E0" w14:textId="77777777" w:rsidR="0072282A" w:rsidRPr="00084F2E" w:rsidRDefault="00AB1BEC">
            <w:pPr>
              <w:spacing w:line="360" w:lineRule="auto"/>
              <w:rPr>
                <w:rFonts w:cs="Times New Roman"/>
                <w:b w:val="0"/>
                <w:lang w:val="en-US"/>
              </w:rPr>
            </w:pPr>
            <w:r w:rsidRPr="00084F2E">
              <w:rPr>
                <w:rFonts w:cs="Times New Roman"/>
                <w:b w:val="0"/>
                <w:lang w:val="en-US"/>
              </w:rPr>
              <w:t>0.0000</w:t>
            </w:r>
          </w:p>
        </w:tc>
      </w:tr>
      <w:tr w:rsidR="0072282A" w:rsidRPr="00084F2E" w14:paraId="4F677B6F" w14:textId="77777777">
        <w:tc>
          <w:tcPr>
            <w:tcW w:w="0" w:type="auto"/>
          </w:tcPr>
          <w:p w14:paraId="518088D5" w14:textId="77777777" w:rsidR="0072282A" w:rsidRPr="00084F2E" w:rsidRDefault="00AB1BEC">
            <w:pPr>
              <w:spacing w:line="360" w:lineRule="auto"/>
              <w:rPr>
                <w:rFonts w:cs="Times New Roman"/>
                <w:b w:val="0"/>
                <w:lang w:val="en-US"/>
              </w:rPr>
            </w:pPr>
            <w:r w:rsidRPr="00084F2E">
              <w:rPr>
                <w:rFonts w:cs="Times New Roman"/>
                <w:b w:val="0"/>
                <w:lang w:val="en-US"/>
              </w:rPr>
              <w:t>d.Export_value, trend</w:t>
            </w:r>
          </w:p>
        </w:tc>
        <w:tc>
          <w:tcPr>
            <w:tcW w:w="0" w:type="auto"/>
          </w:tcPr>
          <w:p w14:paraId="4B0E322A" w14:textId="77777777" w:rsidR="0072282A" w:rsidRPr="00084F2E" w:rsidRDefault="00AB1BEC">
            <w:pPr>
              <w:spacing w:line="360" w:lineRule="auto"/>
              <w:rPr>
                <w:rFonts w:cs="Times New Roman"/>
                <w:b w:val="0"/>
                <w:lang w:val="en-US"/>
              </w:rPr>
            </w:pPr>
            <w:r w:rsidRPr="00084F2E">
              <w:rPr>
                <w:rFonts w:cs="Times New Roman"/>
                <w:b w:val="0"/>
                <w:lang w:val="en-US"/>
              </w:rPr>
              <w:t>-5.615</w:t>
            </w:r>
          </w:p>
        </w:tc>
        <w:tc>
          <w:tcPr>
            <w:tcW w:w="0" w:type="auto"/>
          </w:tcPr>
          <w:p w14:paraId="7AA7467A" w14:textId="77777777" w:rsidR="0072282A" w:rsidRPr="00084F2E" w:rsidRDefault="00AB1BEC">
            <w:pPr>
              <w:spacing w:line="360" w:lineRule="auto"/>
              <w:rPr>
                <w:rFonts w:cs="Times New Roman"/>
                <w:b w:val="0"/>
                <w:lang w:val="en-US"/>
              </w:rPr>
            </w:pPr>
            <w:r w:rsidRPr="00084F2E">
              <w:rPr>
                <w:rFonts w:cs="Times New Roman"/>
                <w:b w:val="0"/>
                <w:lang w:val="en-US"/>
              </w:rPr>
              <w:t>-4.352</w:t>
            </w:r>
          </w:p>
        </w:tc>
        <w:tc>
          <w:tcPr>
            <w:tcW w:w="0" w:type="auto"/>
          </w:tcPr>
          <w:p w14:paraId="7E47B29F" w14:textId="77777777" w:rsidR="0072282A" w:rsidRPr="00084F2E" w:rsidRDefault="00AB1BEC">
            <w:pPr>
              <w:spacing w:line="360" w:lineRule="auto"/>
              <w:rPr>
                <w:rFonts w:cs="Times New Roman"/>
                <w:b w:val="0"/>
                <w:lang w:val="en-US"/>
              </w:rPr>
            </w:pPr>
            <w:r w:rsidRPr="00084F2E">
              <w:rPr>
                <w:rFonts w:cs="Times New Roman"/>
                <w:b w:val="0"/>
                <w:lang w:val="en-US"/>
              </w:rPr>
              <w:t>-3.588</w:t>
            </w:r>
          </w:p>
        </w:tc>
        <w:tc>
          <w:tcPr>
            <w:tcW w:w="0" w:type="auto"/>
          </w:tcPr>
          <w:p w14:paraId="1F9C8B27" w14:textId="77777777" w:rsidR="0072282A" w:rsidRPr="00084F2E" w:rsidRDefault="00AB1BEC">
            <w:pPr>
              <w:spacing w:line="360" w:lineRule="auto"/>
              <w:rPr>
                <w:rFonts w:cs="Times New Roman"/>
                <w:b w:val="0"/>
                <w:lang w:val="en-US"/>
              </w:rPr>
            </w:pPr>
            <w:r w:rsidRPr="00084F2E">
              <w:rPr>
                <w:rFonts w:cs="Times New Roman"/>
                <w:b w:val="0"/>
                <w:lang w:val="en-US"/>
              </w:rPr>
              <w:t>-3.233</w:t>
            </w:r>
          </w:p>
        </w:tc>
        <w:tc>
          <w:tcPr>
            <w:tcW w:w="0" w:type="auto"/>
          </w:tcPr>
          <w:p w14:paraId="539327B7" w14:textId="77777777" w:rsidR="0072282A" w:rsidRPr="00084F2E" w:rsidRDefault="00AB1BEC">
            <w:pPr>
              <w:spacing w:line="360" w:lineRule="auto"/>
              <w:rPr>
                <w:rFonts w:cs="Times New Roman"/>
                <w:b w:val="0"/>
                <w:lang w:val="en-US"/>
              </w:rPr>
            </w:pPr>
            <w:r w:rsidRPr="00084F2E">
              <w:rPr>
                <w:rFonts w:cs="Times New Roman"/>
                <w:b w:val="0"/>
                <w:lang w:val="en-US"/>
              </w:rPr>
              <w:t>0.0000</w:t>
            </w:r>
          </w:p>
        </w:tc>
      </w:tr>
    </w:tbl>
    <w:p w14:paraId="4FF73700" w14:textId="77777777" w:rsidR="0072282A" w:rsidRPr="00084F2E" w:rsidRDefault="0072282A"/>
    <w:p w14:paraId="3AC09902" w14:textId="79D48545" w:rsidR="00C040AA" w:rsidRPr="00084F2E" w:rsidRDefault="00C040AA" w:rsidP="00C040AA">
      <w:pPr>
        <w:spacing w:before="100" w:beforeAutospacing="1" w:after="100" w:afterAutospacing="1" w:line="360" w:lineRule="auto"/>
        <w:jc w:val="both"/>
        <w:rPr>
          <w:rFonts w:cs="Times New Roman"/>
          <w:b w:val="0"/>
          <w:lang w:val="en-US"/>
        </w:rPr>
      </w:pPr>
      <w:r w:rsidRPr="00084F2E">
        <w:rPr>
          <w:rFonts w:cs="Times New Roman"/>
          <w:b w:val="0"/>
          <w:lang w:val="en-US"/>
        </w:rPr>
        <w:t xml:space="preserve">The Augmented Dickey-Fuller (ADF) test results provide a comprehensive overview of the stationarity of the variables after first-differencing. The primary objective of these tests is to determine if the differencing process effectively removed stochastic trends, transforming the series into </w:t>
      </w:r>
      <w:r w:rsidRPr="00084F2E">
        <w:rPr>
          <w:rFonts w:ascii="Courier New" w:hAnsi="Courier New" w:cs="Courier New"/>
          <w:b w:val="0"/>
          <w:sz w:val="20"/>
          <w:szCs w:val="20"/>
          <w:lang w:val="en-US"/>
        </w:rPr>
        <w:t>I(1)</w:t>
      </w:r>
      <w:r w:rsidRPr="00084F2E">
        <w:rPr>
          <w:rFonts w:cs="Times New Roman"/>
          <w:b w:val="0"/>
          <w:lang w:val="en-US"/>
        </w:rPr>
        <w:t>processes suitable for econometric modeling. By comparing the test statistics against the MacKinnon critical values, we can determine the level of confidence with which we can reject the null hypothesis of a unit root.</w:t>
      </w:r>
    </w:p>
    <w:p w14:paraId="09BAB414" w14:textId="77777777" w:rsidR="00C040AA" w:rsidRPr="00084F2E" w:rsidRDefault="00C040AA" w:rsidP="00C040AA">
      <w:pPr>
        <w:spacing w:before="100" w:beforeAutospacing="1" w:after="100" w:afterAutospacing="1" w:line="360" w:lineRule="auto"/>
        <w:jc w:val="both"/>
        <w:rPr>
          <w:rFonts w:cs="Times New Roman"/>
          <w:b w:val="0"/>
          <w:lang w:val="en-US"/>
        </w:rPr>
      </w:pPr>
      <w:r w:rsidRPr="00084F2E">
        <w:rPr>
          <w:rFonts w:cs="Times New Roman"/>
          <w:b w:val="0"/>
          <w:lang w:val="en-US"/>
        </w:rPr>
        <w:t>A majority of the variables exhibit strong stationarity at the first difference, rejecting the null hypothesis at the most stringent 1% significance level. Specifically, variables such as government debt, Foreign Direct Investment (FDI), and export value yielded highly negative test statistics—ranging from -5.615 to -7.330—with p-values of 0.0000. Similarly, corruption control, gross national savings, and indirect tax revenue all comfortably surpassed the 1% critical value of -4.352. For this group of variables, the evidence is conclusive: a single differencing operation has successfully neutralized the non-stationary components, rendering them ready for further analysis without the risk of spurious results.</w:t>
      </w:r>
    </w:p>
    <w:p w14:paraId="5A9B0847" w14:textId="77777777" w:rsidR="00C040AA" w:rsidRPr="00084F2E" w:rsidRDefault="00C040AA" w:rsidP="00C040AA">
      <w:pPr>
        <w:spacing w:before="100" w:beforeAutospacing="1" w:after="100" w:afterAutospacing="1" w:line="360" w:lineRule="auto"/>
        <w:jc w:val="both"/>
        <w:rPr>
          <w:rFonts w:cs="Times New Roman"/>
          <w:b w:val="0"/>
          <w:lang w:val="en-US"/>
        </w:rPr>
      </w:pPr>
      <w:r w:rsidRPr="00084F2E">
        <w:rPr>
          <w:rFonts w:cs="Times New Roman"/>
          <w:b w:val="0"/>
          <w:lang w:val="en-US"/>
        </w:rPr>
        <w:t>For the Gross Domestic Product (GDP) and the Consumer Price Index (CPI), the evidence of stationarity is also robust, though it falls within the 5% significance threshold rather than the 1% level. The test statistic for GDP (-4.209) and CPI (-3.887) both exceeded the 5% critical value of -3.588, leading to a rejection of the null hypothesis at that level. While these series can be treated as stationary for most empirical applications, the results for GDP were notably close to the 1% threshold. Researchers should acknowledge this distinction, as it indicates a high, though not absolute, degree of confidence that the stochastic trend has been removed.</w:t>
      </w:r>
    </w:p>
    <w:p w14:paraId="0695F39A" w14:textId="08A5FA2A" w:rsidR="00C040AA" w:rsidRPr="00084F2E" w:rsidRDefault="00C040AA" w:rsidP="00C040AA">
      <w:pPr>
        <w:spacing w:before="100" w:beforeAutospacing="1" w:after="100" w:afterAutospacing="1" w:line="360" w:lineRule="auto"/>
        <w:jc w:val="both"/>
        <w:rPr>
          <w:rFonts w:cs="Times New Roman"/>
          <w:b w:val="0"/>
          <w:lang w:val="en-US"/>
        </w:rPr>
      </w:pPr>
      <w:r w:rsidRPr="00084F2E">
        <w:rPr>
          <w:rFonts w:cs="Times New Roman"/>
          <w:b w:val="0"/>
          <w:lang w:val="en-US"/>
        </w:rPr>
        <w:t xml:space="preserve">In contrast, the results for agricultural employment and the exchange rate indicate that these variables remain non-stationary even after the first difference. Agricultural employment produced a test statistic of only -1.993 (p-value of 0.6052), while the exchange rate yielded a statistic of -2.953 (p-value of 0.1457). In both cases, the test fails to reject the null hypothesis across all common significance levels (1%, 5%, and 10%). </w:t>
      </w:r>
    </w:p>
    <w:p w14:paraId="03A93E8E" w14:textId="77777777" w:rsidR="0072282A" w:rsidRPr="00084F2E" w:rsidRDefault="00AB1BEC">
      <w:pPr>
        <w:pStyle w:val="Heading2"/>
      </w:pPr>
      <w:bookmarkStart w:id="69" w:name="_Toc220662032"/>
      <w:r w:rsidRPr="00084F2E">
        <w:lastRenderedPageBreak/>
        <w:t>4.4 Econometric Analysis</w:t>
      </w:r>
      <w:bookmarkEnd w:id="69"/>
      <w:r w:rsidRPr="00084F2E">
        <w:t xml:space="preserve"> </w:t>
      </w:r>
    </w:p>
    <w:p w14:paraId="0ED1736E" w14:textId="77777777" w:rsidR="0072282A" w:rsidRPr="00084F2E" w:rsidRDefault="00AB1BEC">
      <w:pPr>
        <w:spacing w:line="360" w:lineRule="auto"/>
        <w:jc w:val="both"/>
        <w:rPr>
          <w:rStyle w:val="Emphasis"/>
          <w:b w:val="0"/>
        </w:rPr>
      </w:pPr>
      <w:r w:rsidRPr="00084F2E">
        <w:rPr>
          <w:rStyle w:val="Emphasis"/>
          <w:b w:val="0"/>
        </w:rPr>
        <w:t>This section employed the Autoregressive Distributed Lag (ARDL) model to investigate the dynamic short-run and long-run relationships between Export Value (the dependent variable) and a set of key macroeconomic indicators from 1995 to 2022. The primary objective is to understand how these factors influence a country's export performance over time, capturing both immediate and lagged effects.</w:t>
      </w:r>
    </w:p>
    <w:p w14:paraId="1445EC06" w14:textId="77777777" w:rsidR="0072282A" w:rsidRPr="00084F2E" w:rsidRDefault="00AB1BEC">
      <w:pPr>
        <w:spacing w:before="100" w:beforeAutospacing="1" w:after="100" w:afterAutospacing="1"/>
        <w:outlineLvl w:val="2"/>
        <w:rPr>
          <w:rFonts w:cs="Times New Roman"/>
          <w:bCs/>
          <w:sz w:val="27"/>
          <w:szCs w:val="27"/>
          <w:lang w:val="en-US"/>
        </w:rPr>
      </w:pPr>
      <w:bookmarkStart w:id="70" w:name="_Toc214281269"/>
      <w:bookmarkStart w:id="71" w:name="_Toc219118649"/>
      <w:bookmarkStart w:id="72" w:name="_Toc220662033"/>
      <w:r w:rsidRPr="00084F2E">
        <w:rPr>
          <w:rFonts w:cs="Times New Roman"/>
          <w:bCs/>
          <w:sz w:val="27"/>
          <w:szCs w:val="27"/>
          <w:lang w:val="en-US"/>
        </w:rPr>
        <w:t>Table 1: ARDL Model Estimation Results</w:t>
      </w:r>
      <w:bookmarkEnd w:id="70"/>
      <w:bookmarkEnd w:id="71"/>
      <w:bookmarkEnd w:id="72"/>
    </w:p>
    <w:p w14:paraId="597C6A56" w14:textId="77777777" w:rsidR="0072282A" w:rsidRPr="00084F2E" w:rsidRDefault="00AB1BEC">
      <w:pPr>
        <w:spacing w:before="100" w:beforeAutospacing="1" w:after="100" w:afterAutospacing="1" w:line="360" w:lineRule="auto"/>
        <w:rPr>
          <w:rFonts w:cs="Times New Roman"/>
          <w:b w:val="0"/>
          <w:lang w:val="en-US"/>
        </w:rPr>
      </w:pPr>
      <w:r w:rsidRPr="00084F2E">
        <w:rPr>
          <w:rFonts w:cs="Times New Roman"/>
          <w:bCs/>
          <w:lang w:val="en-US"/>
        </w:rPr>
        <w:t>Dependent Variable:</w:t>
      </w:r>
      <w:r w:rsidRPr="00084F2E">
        <w:rPr>
          <w:rFonts w:cs="Times New Roman"/>
          <w:b w:val="0"/>
          <w:lang w:val="en-US"/>
        </w:rPr>
        <w:t xml:space="preserve"> Export_value</w:t>
      </w:r>
      <w:r w:rsidRPr="00084F2E">
        <w:rPr>
          <w:rFonts w:cs="Times New Roman"/>
          <w:b w:val="0"/>
          <w:lang w:val="en-US"/>
        </w:rPr>
        <w:br/>
      </w:r>
      <w:r w:rsidRPr="00084F2E">
        <w:rPr>
          <w:rFonts w:cs="Times New Roman"/>
          <w:bCs/>
          <w:lang w:val="en-US"/>
        </w:rPr>
        <w:t>Sample Period:</w:t>
      </w:r>
      <w:r w:rsidRPr="00084F2E">
        <w:rPr>
          <w:rFonts w:cs="Times New Roman"/>
          <w:b w:val="0"/>
          <w:lang w:val="en-US"/>
        </w:rPr>
        <w:t xml:space="preserve"> 1995 - 2022</w:t>
      </w:r>
      <w:r w:rsidRPr="00084F2E">
        <w:rPr>
          <w:rFonts w:cs="Times New Roman"/>
          <w:b w:val="0"/>
          <w:lang w:val="en-US"/>
        </w:rPr>
        <w:br/>
      </w:r>
      <w:r w:rsidRPr="00084F2E">
        <w:rPr>
          <w:rFonts w:cs="Times New Roman"/>
          <w:bCs/>
          <w:lang w:val="en-US"/>
        </w:rPr>
        <w:t>Selected Model:</w:t>
      </w:r>
      <w:r w:rsidRPr="00084F2E">
        <w:rPr>
          <w:rFonts w:cs="Times New Roman"/>
          <w:b w:val="0"/>
          <w:lang w:val="en-US"/>
        </w:rPr>
        <w:t xml:space="preserve"> ARDL(1, 2, 2, 2, 0, 2, 2, 1) based on AICc</w:t>
      </w:r>
    </w:p>
    <w:p w14:paraId="15083C03" w14:textId="77777777" w:rsidR="0072282A" w:rsidRPr="00084F2E" w:rsidRDefault="00AB1BEC">
      <w:pPr>
        <w:spacing w:before="100" w:beforeAutospacing="1" w:after="100" w:afterAutospacing="1" w:line="360" w:lineRule="auto"/>
        <w:outlineLvl w:val="3"/>
        <w:rPr>
          <w:rFonts w:cs="Times New Roman"/>
          <w:bCs/>
          <w:lang w:val="en-US"/>
        </w:rPr>
      </w:pPr>
      <w:r w:rsidRPr="00084F2E">
        <w:rPr>
          <w:rFonts w:cs="Times New Roman"/>
          <w:bCs/>
          <w:lang w:val="en-US"/>
        </w:rPr>
        <w:t>Model Diagnostic Statistics</w:t>
      </w:r>
    </w:p>
    <w:tbl>
      <w:tblPr>
        <w:tblStyle w:val="TableGrid"/>
        <w:tblW w:w="5233" w:type="dxa"/>
        <w:tblLook w:val="04A0" w:firstRow="1" w:lastRow="0" w:firstColumn="1" w:lastColumn="0" w:noHBand="0" w:noVBand="1"/>
      </w:tblPr>
      <w:tblGrid>
        <w:gridCol w:w="3779"/>
        <w:gridCol w:w="1454"/>
      </w:tblGrid>
      <w:tr w:rsidR="00084F2E" w:rsidRPr="00084F2E" w14:paraId="23B506B3" w14:textId="77777777">
        <w:trPr>
          <w:trHeight w:val="428"/>
        </w:trPr>
        <w:tc>
          <w:tcPr>
            <w:tcW w:w="0" w:type="auto"/>
          </w:tcPr>
          <w:p w14:paraId="77F2FF9A" w14:textId="77777777" w:rsidR="0072282A" w:rsidRPr="00084F2E" w:rsidRDefault="00AB1BEC">
            <w:pPr>
              <w:spacing w:line="360" w:lineRule="auto"/>
              <w:rPr>
                <w:rFonts w:cs="Times New Roman"/>
                <w:b w:val="0"/>
                <w:lang w:val="en-US"/>
              </w:rPr>
            </w:pPr>
            <w:r w:rsidRPr="00084F2E">
              <w:rPr>
                <w:rFonts w:cs="Times New Roman"/>
                <w:b w:val="0"/>
                <w:lang w:val="en-US"/>
              </w:rPr>
              <w:t>Statistic</w:t>
            </w:r>
          </w:p>
        </w:tc>
        <w:tc>
          <w:tcPr>
            <w:tcW w:w="0" w:type="auto"/>
          </w:tcPr>
          <w:p w14:paraId="40449FD8" w14:textId="77777777" w:rsidR="0072282A" w:rsidRPr="00084F2E" w:rsidRDefault="00AB1BEC">
            <w:pPr>
              <w:spacing w:line="360" w:lineRule="auto"/>
              <w:rPr>
                <w:rFonts w:cs="Times New Roman"/>
                <w:b w:val="0"/>
                <w:lang w:val="en-US"/>
              </w:rPr>
            </w:pPr>
            <w:r w:rsidRPr="00084F2E">
              <w:rPr>
                <w:rFonts w:cs="Times New Roman"/>
                <w:b w:val="0"/>
                <w:lang w:val="en-US"/>
              </w:rPr>
              <w:t>Value</w:t>
            </w:r>
          </w:p>
        </w:tc>
      </w:tr>
      <w:tr w:rsidR="00084F2E" w:rsidRPr="00084F2E" w14:paraId="38787B0A" w14:textId="77777777">
        <w:trPr>
          <w:trHeight w:val="416"/>
        </w:trPr>
        <w:tc>
          <w:tcPr>
            <w:tcW w:w="0" w:type="auto"/>
          </w:tcPr>
          <w:p w14:paraId="72CEC3B6" w14:textId="77777777" w:rsidR="0072282A" w:rsidRPr="00084F2E" w:rsidRDefault="00AB1BEC">
            <w:pPr>
              <w:spacing w:line="360" w:lineRule="auto"/>
              <w:rPr>
                <w:rFonts w:cs="Times New Roman"/>
                <w:b w:val="0"/>
                <w:lang w:val="en-US"/>
              </w:rPr>
            </w:pPr>
            <w:r w:rsidRPr="00084F2E">
              <w:rPr>
                <w:rFonts w:cs="Times New Roman"/>
                <w:b w:val="0"/>
                <w:lang w:val="en-US"/>
              </w:rPr>
              <w:t>Number of Observations</w:t>
            </w:r>
          </w:p>
        </w:tc>
        <w:tc>
          <w:tcPr>
            <w:tcW w:w="0" w:type="auto"/>
          </w:tcPr>
          <w:p w14:paraId="01371049" w14:textId="77777777" w:rsidR="0072282A" w:rsidRPr="00084F2E" w:rsidRDefault="00AB1BEC">
            <w:pPr>
              <w:spacing w:line="360" w:lineRule="auto"/>
              <w:rPr>
                <w:rFonts w:cs="Times New Roman"/>
                <w:b w:val="0"/>
                <w:lang w:val="en-US"/>
              </w:rPr>
            </w:pPr>
            <w:r w:rsidRPr="00084F2E">
              <w:rPr>
                <w:rFonts w:cs="Times New Roman"/>
                <w:b w:val="0"/>
                <w:lang w:val="en-US"/>
              </w:rPr>
              <w:t>28</w:t>
            </w:r>
          </w:p>
        </w:tc>
      </w:tr>
      <w:tr w:rsidR="00084F2E" w:rsidRPr="00084F2E" w14:paraId="5210F6DB" w14:textId="77777777">
        <w:trPr>
          <w:trHeight w:val="416"/>
        </w:trPr>
        <w:tc>
          <w:tcPr>
            <w:tcW w:w="0" w:type="auto"/>
          </w:tcPr>
          <w:p w14:paraId="01150328" w14:textId="77777777" w:rsidR="0072282A" w:rsidRPr="00084F2E" w:rsidRDefault="00AB1BEC">
            <w:pPr>
              <w:spacing w:line="360" w:lineRule="auto"/>
              <w:rPr>
                <w:rFonts w:cs="Times New Roman"/>
                <w:b w:val="0"/>
                <w:lang w:val="en-US"/>
              </w:rPr>
            </w:pPr>
            <w:r w:rsidRPr="00084F2E">
              <w:rPr>
                <w:rFonts w:cs="Times New Roman"/>
                <w:b w:val="0"/>
                <w:lang w:val="en-US"/>
              </w:rPr>
              <w:t>F-statistic</w:t>
            </w:r>
          </w:p>
        </w:tc>
        <w:tc>
          <w:tcPr>
            <w:tcW w:w="0" w:type="auto"/>
          </w:tcPr>
          <w:p w14:paraId="1E26D047" w14:textId="77777777" w:rsidR="0072282A" w:rsidRPr="00084F2E" w:rsidRDefault="00AB1BEC">
            <w:pPr>
              <w:spacing w:line="360" w:lineRule="auto"/>
              <w:rPr>
                <w:rFonts w:cs="Times New Roman"/>
                <w:b w:val="0"/>
                <w:lang w:val="en-US"/>
              </w:rPr>
            </w:pPr>
            <w:r w:rsidRPr="00084F2E">
              <w:rPr>
                <w:rFonts w:cs="Times New Roman"/>
                <w:b w:val="0"/>
                <w:lang w:val="en-US"/>
              </w:rPr>
              <w:t>136.23</w:t>
            </w:r>
          </w:p>
        </w:tc>
      </w:tr>
      <w:tr w:rsidR="00084F2E" w:rsidRPr="00084F2E" w14:paraId="4C46E067" w14:textId="77777777">
        <w:trPr>
          <w:trHeight w:val="428"/>
        </w:trPr>
        <w:tc>
          <w:tcPr>
            <w:tcW w:w="0" w:type="auto"/>
          </w:tcPr>
          <w:p w14:paraId="6FDB0456" w14:textId="77777777" w:rsidR="0072282A" w:rsidRPr="00084F2E" w:rsidRDefault="00AB1BEC">
            <w:pPr>
              <w:spacing w:line="360" w:lineRule="auto"/>
              <w:rPr>
                <w:rFonts w:cs="Times New Roman"/>
                <w:b w:val="0"/>
                <w:lang w:val="en-US"/>
              </w:rPr>
            </w:pPr>
            <w:r w:rsidRPr="00084F2E">
              <w:rPr>
                <w:rFonts w:cs="Times New Roman"/>
                <w:b w:val="0"/>
                <w:lang w:val="en-US"/>
              </w:rPr>
              <w:t>Prob &gt; F</w:t>
            </w:r>
          </w:p>
        </w:tc>
        <w:tc>
          <w:tcPr>
            <w:tcW w:w="0" w:type="auto"/>
          </w:tcPr>
          <w:p w14:paraId="4042586B" w14:textId="77777777" w:rsidR="0072282A" w:rsidRPr="00084F2E" w:rsidRDefault="00AB1BEC">
            <w:pPr>
              <w:spacing w:line="360" w:lineRule="auto"/>
              <w:rPr>
                <w:rFonts w:cs="Times New Roman"/>
                <w:b w:val="0"/>
                <w:lang w:val="en-US"/>
              </w:rPr>
            </w:pPr>
            <w:r w:rsidRPr="00084F2E">
              <w:rPr>
                <w:rFonts w:cs="Times New Roman"/>
                <w:b w:val="0"/>
                <w:lang w:val="en-US"/>
              </w:rPr>
              <w:t>0.0000</w:t>
            </w:r>
          </w:p>
        </w:tc>
      </w:tr>
      <w:tr w:rsidR="00084F2E" w:rsidRPr="00084F2E" w14:paraId="75178090" w14:textId="77777777">
        <w:trPr>
          <w:trHeight w:val="416"/>
        </w:trPr>
        <w:tc>
          <w:tcPr>
            <w:tcW w:w="0" w:type="auto"/>
          </w:tcPr>
          <w:p w14:paraId="561BBFF6" w14:textId="77777777" w:rsidR="0072282A" w:rsidRPr="00084F2E" w:rsidRDefault="00AB1BEC">
            <w:pPr>
              <w:spacing w:line="360" w:lineRule="auto"/>
              <w:rPr>
                <w:rFonts w:cs="Times New Roman"/>
                <w:b w:val="0"/>
                <w:lang w:val="en-US"/>
              </w:rPr>
            </w:pPr>
            <w:r w:rsidRPr="00084F2E">
              <w:rPr>
                <w:rFonts w:cs="Times New Roman"/>
                <w:b w:val="0"/>
                <w:lang w:val="en-US"/>
              </w:rPr>
              <w:t>R-squared</w:t>
            </w:r>
          </w:p>
        </w:tc>
        <w:tc>
          <w:tcPr>
            <w:tcW w:w="0" w:type="auto"/>
          </w:tcPr>
          <w:p w14:paraId="01A01377" w14:textId="77777777" w:rsidR="0072282A" w:rsidRPr="00084F2E" w:rsidRDefault="00AB1BEC">
            <w:pPr>
              <w:spacing w:line="360" w:lineRule="auto"/>
              <w:rPr>
                <w:rFonts w:cs="Times New Roman"/>
                <w:b w:val="0"/>
                <w:lang w:val="en-US"/>
              </w:rPr>
            </w:pPr>
            <w:r w:rsidRPr="00084F2E">
              <w:rPr>
                <w:rFonts w:cs="Times New Roman"/>
                <w:b w:val="0"/>
                <w:lang w:val="en-US"/>
              </w:rPr>
              <w:t>0.9969</w:t>
            </w:r>
          </w:p>
        </w:tc>
      </w:tr>
      <w:tr w:rsidR="00084F2E" w:rsidRPr="00084F2E" w14:paraId="64E6DBB6" w14:textId="77777777">
        <w:trPr>
          <w:trHeight w:val="416"/>
        </w:trPr>
        <w:tc>
          <w:tcPr>
            <w:tcW w:w="0" w:type="auto"/>
          </w:tcPr>
          <w:p w14:paraId="21AC0755" w14:textId="77777777" w:rsidR="0072282A" w:rsidRPr="00084F2E" w:rsidRDefault="00AB1BEC">
            <w:pPr>
              <w:spacing w:line="360" w:lineRule="auto"/>
              <w:rPr>
                <w:rFonts w:cs="Times New Roman"/>
                <w:b w:val="0"/>
                <w:lang w:val="en-US"/>
              </w:rPr>
            </w:pPr>
            <w:r w:rsidRPr="00084F2E">
              <w:rPr>
                <w:rFonts w:cs="Times New Roman"/>
                <w:b w:val="0"/>
                <w:lang w:val="en-US"/>
              </w:rPr>
              <w:t>Adjusted R-squared</w:t>
            </w:r>
          </w:p>
        </w:tc>
        <w:tc>
          <w:tcPr>
            <w:tcW w:w="0" w:type="auto"/>
          </w:tcPr>
          <w:p w14:paraId="5FA20000" w14:textId="77777777" w:rsidR="0072282A" w:rsidRPr="00084F2E" w:rsidRDefault="00AB1BEC">
            <w:pPr>
              <w:spacing w:line="360" w:lineRule="auto"/>
              <w:rPr>
                <w:rFonts w:cs="Times New Roman"/>
                <w:b w:val="0"/>
                <w:lang w:val="en-US"/>
              </w:rPr>
            </w:pPr>
            <w:r w:rsidRPr="00084F2E">
              <w:rPr>
                <w:rFonts w:cs="Times New Roman"/>
                <w:b w:val="0"/>
                <w:lang w:val="en-US"/>
              </w:rPr>
              <w:t>0.9896</w:t>
            </w:r>
          </w:p>
        </w:tc>
      </w:tr>
      <w:tr w:rsidR="00084F2E" w:rsidRPr="00084F2E" w14:paraId="1B8849DF" w14:textId="77777777">
        <w:trPr>
          <w:trHeight w:val="428"/>
        </w:trPr>
        <w:tc>
          <w:tcPr>
            <w:tcW w:w="0" w:type="auto"/>
          </w:tcPr>
          <w:p w14:paraId="0787BB8C" w14:textId="77777777" w:rsidR="0072282A" w:rsidRPr="00084F2E" w:rsidRDefault="00AB1BEC">
            <w:pPr>
              <w:spacing w:line="360" w:lineRule="auto"/>
              <w:rPr>
                <w:rFonts w:cs="Times New Roman"/>
                <w:b w:val="0"/>
                <w:lang w:val="en-US"/>
              </w:rPr>
            </w:pPr>
            <w:r w:rsidRPr="00084F2E">
              <w:rPr>
                <w:rFonts w:cs="Times New Roman"/>
                <w:b w:val="0"/>
                <w:lang w:val="en-US"/>
              </w:rPr>
              <w:t>Root MSE</w:t>
            </w:r>
          </w:p>
        </w:tc>
        <w:tc>
          <w:tcPr>
            <w:tcW w:w="0" w:type="auto"/>
          </w:tcPr>
          <w:p w14:paraId="7D32A8F2" w14:textId="77777777" w:rsidR="0072282A" w:rsidRPr="00084F2E" w:rsidRDefault="00AB1BEC">
            <w:pPr>
              <w:spacing w:line="360" w:lineRule="auto"/>
              <w:rPr>
                <w:rFonts w:cs="Times New Roman"/>
                <w:b w:val="0"/>
                <w:lang w:val="en-US"/>
              </w:rPr>
            </w:pPr>
            <w:r w:rsidRPr="00084F2E">
              <w:rPr>
                <w:rFonts w:cs="Times New Roman"/>
                <w:b w:val="0"/>
                <w:lang w:val="en-US"/>
              </w:rPr>
              <w:t>0.11332</w:t>
            </w:r>
          </w:p>
        </w:tc>
      </w:tr>
    </w:tbl>
    <w:p w14:paraId="5686B086" w14:textId="77777777" w:rsidR="0072282A" w:rsidRPr="00084F2E" w:rsidRDefault="00AB1BEC">
      <w:pPr>
        <w:spacing w:before="100" w:beforeAutospacing="1" w:after="100" w:afterAutospacing="1" w:line="360" w:lineRule="auto"/>
        <w:outlineLvl w:val="3"/>
        <w:rPr>
          <w:rFonts w:cs="Times New Roman"/>
          <w:bCs/>
          <w:lang w:val="en-US"/>
        </w:rPr>
      </w:pPr>
      <w:r w:rsidRPr="00084F2E">
        <w:rPr>
          <w:rFonts w:cs="Times New Roman"/>
          <w:bCs/>
          <w:lang w:val="en-US"/>
        </w:rPr>
        <w:t>Short-Run Coefficients</w:t>
      </w:r>
    </w:p>
    <w:tbl>
      <w:tblPr>
        <w:tblStyle w:val="TableGrid"/>
        <w:tblW w:w="9562" w:type="dxa"/>
        <w:tblLook w:val="04A0" w:firstRow="1" w:lastRow="0" w:firstColumn="1" w:lastColumn="0" w:noHBand="0" w:noVBand="1"/>
      </w:tblPr>
      <w:tblGrid>
        <w:gridCol w:w="3763"/>
        <w:gridCol w:w="1949"/>
        <w:gridCol w:w="1384"/>
        <w:gridCol w:w="1352"/>
        <w:gridCol w:w="1114"/>
      </w:tblGrid>
      <w:tr w:rsidR="00084F2E" w:rsidRPr="00084F2E" w14:paraId="37DA2A54" w14:textId="77777777">
        <w:trPr>
          <w:trHeight w:val="234"/>
        </w:trPr>
        <w:tc>
          <w:tcPr>
            <w:tcW w:w="0" w:type="auto"/>
          </w:tcPr>
          <w:p w14:paraId="082EED95" w14:textId="77777777" w:rsidR="0072282A" w:rsidRPr="00084F2E" w:rsidRDefault="00AB1BEC">
            <w:pPr>
              <w:spacing w:line="360" w:lineRule="auto"/>
              <w:rPr>
                <w:rFonts w:cs="Times New Roman"/>
                <w:b w:val="0"/>
                <w:lang w:val="en-US"/>
              </w:rPr>
            </w:pPr>
            <w:r w:rsidRPr="00084F2E">
              <w:rPr>
                <w:rFonts w:cs="Times New Roman"/>
                <w:b w:val="0"/>
                <w:lang w:val="en-US"/>
              </w:rPr>
              <w:t>Variable</w:t>
            </w:r>
          </w:p>
        </w:tc>
        <w:tc>
          <w:tcPr>
            <w:tcW w:w="0" w:type="auto"/>
          </w:tcPr>
          <w:p w14:paraId="0B5D2BFF" w14:textId="77777777" w:rsidR="0072282A" w:rsidRPr="00084F2E" w:rsidRDefault="00AB1BEC">
            <w:pPr>
              <w:spacing w:line="360" w:lineRule="auto"/>
              <w:rPr>
                <w:rFonts w:cs="Times New Roman"/>
                <w:b w:val="0"/>
                <w:lang w:val="en-US"/>
              </w:rPr>
            </w:pPr>
            <w:r w:rsidRPr="00084F2E">
              <w:rPr>
                <w:rFonts w:cs="Times New Roman"/>
                <w:b w:val="0"/>
                <w:lang w:val="en-US"/>
              </w:rPr>
              <w:t>Coefficient (β)</w:t>
            </w:r>
          </w:p>
        </w:tc>
        <w:tc>
          <w:tcPr>
            <w:tcW w:w="0" w:type="auto"/>
          </w:tcPr>
          <w:p w14:paraId="106D9853" w14:textId="77777777" w:rsidR="0072282A" w:rsidRPr="00084F2E" w:rsidRDefault="00AB1BEC">
            <w:pPr>
              <w:spacing w:line="360" w:lineRule="auto"/>
              <w:rPr>
                <w:rFonts w:cs="Times New Roman"/>
                <w:b w:val="0"/>
                <w:lang w:val="en-US"/>
              </w:rPr>
            </w:pPr>
            <w:r w:rsidRPr="00084F2E">
              <w:rPr>
                <w:rFonts w:cs="Times New Roman"/>
                <w:b w:val="0"/>
                <w:lang w:val="en-US"/>
              </w:rPr>
              <w:t>Std. Error</w:t>
            </w:r>
          </w:p>
        </w:tc>
        <w:tc>
          <w:tcPr>
            <w:tcW w:w="0" w:type="auto"/>
          </w:tcPr>
          <w:p w14:paraId="577974F4" w14:textId="77777777" w:rsidR="0072282A" w:rsidRPr="00084F2E" w:rsidRDefault="00AB1BEC">
            <w:pPr>
              <w:spacing w:line="360" w:lineRule="auto"/>
              <w:rPr>
                <w:rFonts w:cs="Times New Roman"/>
                <w:b w:val="0"/>
                <w:lang w:val="en-US"/>
              </w:rPr>
            </w:pPr>
            <w:r w:rsidRPr="00084F2E">
              <w:rPr>
                <w:rFonts w:cs="Times New Roman"/>
                <w:b w:val="0"/>
                <w:lang w:val="en-US"/>
              </w:rPr>
              <w:t>t-Statistic</w:t>
            </w:r>
          </w:p>
        </w:tc>
        <w:tc>
          <w:tcPr>
            <w:tcW w:w="0" w:type="auto"/>
          </w:tcPr>
          <w:p w14:paraId="69889572" w14:textId="77777777" w:rsidR="0072282A" w:rsidRPr="00084F2E" w:rsidRDefault="00AB1BEC">
            <w:pPr>
              <w:spacing w:line="360" w:lineRule="auto"/>
              <w:rPr>
                <w:rFonts w:cs="Times New Roman"/>
                <w:b w:val="0"/>
                <w:lang w:val="en-US"/>
              </w:rPr>
            </w:pPr>
            <w:r w:rsidRPr="00084F2E">
              <w:rPr>
                <w:rFonts w:cs="Times New Roman"/>
                <w:b w:val="0"/>
                <w:lang w:val="en-US"/>
              </w:rPr>
              <w:t>p-value</w:t>
            </w:r>
          </w:p>
        </w:tc>
      </w:tr>
      <w:tr w:rsidR="00084F2E" w:rsidRPr="00084F2E" w14:paraId="5B4DA458" w14:textId="77777777">
        <w:trPr>
          <w:trHeight w:val="234"/>
        </w:trPr>
        <w:tc>
          <w:tcPr>
            <w:tcW w:w="0" w:type="auto"/>
          </w:tcPr>
          <w:p w14:paraId="4796B248" w14:textId="77777777" w:rsidR="0072282A" w:rsidRPr="00084F2E" w:rsidRDefault="00AB1BEC">
            <w:pPr>
              <w:spacing w:line="360" w:lineRule="auto"/>
              <w:rPr>
                <w:rFonts w:cs="Times New Roman"/>
                <w:b w:val="0"/>
                <w:lang w:val="en-US"/>
              </w:rPr>
            </w:pPr>
            <w:r w:rsidRPr="00084F2E">
              <w:rPr>
                <w:rFonts w:cs="Times New Roman"/>
                <w:b w:val="0"/>
                <w:bCs/>
                <w:lang w:val="en-US"/>
              </w:rPr>
              <w:t>Export_value (Lag 1)</w:t>
            </w:r>
          </w:p>
        </w:tc>
        <w:tc>
          <w:tcPr>
            <w:tcW w:w="0" w:type="auto"/>
          </w:tcPr>
          <w:p w14:paraId="7B423EDB" w14:textId="77777777" w:rsidR="0072282A" w:rsidRPr="00084F2E" w:rsidRDefault="00AB1BEC">
            <w:pPr>
              <w:spacing w:line="360" w:lineRule="auto"/>
              <w:rPr>
                <w:rFonts w:cs="Times New Roman"/>
                <w:b w:val="0"/>
                <w:lang w:val="en-US"/>
              </w:rPr>
            </w:pPr>
            <w:r w:rsidRPr="00084F2E">
              <w:rPr>
                <w:rFonts w:cs="Times New Roman"/>
                <w:b w:val="0"/>
                <w:bCs/>
                <w:lang w:val="en-US"/>
              </w:rPr>
              <w:t>0.3275</w:t>
            </w:r>
          </w:p>
        </w:tc>
        <w:tc>
          <w:tcPr>
            <w:tcW w:w="0" w:type="auto"/>
          </w:tcPr>
          <w:p w14:paraId="37725B6F" w14:textId="77777777" w:rsidR="0072282A" w:rsidRPr="00084F2E" w:rsidRDefault="00AB1BEC">
            <w:pPr>
              <w:spacing w:line="360" w:lineRule="auto"/>
              <w:rPr>
                <w:rFonts w:cs="Times New Roman"/>
                <w:b w:val="0"/>
                <w:lang w:val="en-US"/>
              </w:rPr>
            </w:pPr>
            <w:r w:rsidRPr="00084F2E">
              <w:rPr>
                <w:rFonts w:cs="Times New Roman"/>
                <w:b w:val="0"/>
                <w:lang w:val="en-US"/>
              </w:rPr>
              <w:t>0.0907</w:t>
            </w:r>
          </w:p>
        </w:tc>
        <w:tc>
          <w:tcPr>
            <w:tcW w:w="0" w:type="auto"/>
          </w:tcPr>
          <w:p w14:paraId="392A7F2D" w14:textId="77777777" w:rsidR="0072282A" w:rsidRPr="00084F2E" w:rsidRDefault="00AB1BEC">
            <w:pPr>
              <w:spacing w:line="360" w:lineRule="auto"/>
              <w:rPr>
                <w:rFonts w:cs="Times New Roman"/>
                <w:b w:val="0"/>
                <w:lang w:val="en-US"/>
              </w:rPr>
            </w:pPr>
            <w:r w:rsidRPr="00084F2E">
              <w:rPr>
                <w:rFonts w:cs="Times New Roman"/>
                <w:b w:val="0"/>
                <w:lang w:val="en-US"/>
              </w:rPr>
              <w:t>3.61</w:t>
            </w:r>
          </w:p>
        </w:tc>
        <w:tc>
          <w:tcPr>
            <w:tcW w:w="0" w:type="auto"/>
          </w:tcPr>
          <w:p w14:paraId="2E5DB0A0" w14:textId="77777777" w:rsidR="0072282A" w:rsidRPr="00084F2E" w:rsidRDefault="00AB1BEC">
            <w:pPr>
              <w:spacing w:line="360" w:lineRule="auto"/>
              <w:rPr>
                <w:rFonts w:cs="Times New Roman"/>
                <w:b w:val="0"/>
                <w:lang w:val="en-US"/>
              </w:rPr>
            </w:pPr>
            <w:r w:rsidRPr="00084F2E">
              <w:rPr>
                <w:rFonts w:cs="Times New Roman"/>
                <w:b w:val="0"/>
                <w:bCs/>
                <w:lang w:val="en-US"/>
              </w:rPr>
              <w:t>0.007</w:t>
            </w:r>
          </w:p>
        </w:tc>
      </w:tr>
      <w:tr w:rsidR="00084F2E" w:rsidRPr="00084F2E" w14:paraId="430F3A4F" w14:textId="77777777">
        <w:trPr>
          <w:trHeight w:val="234"/>
        </w:trPr>
        <w:tc>
          <w:tcPr>
            <w:tcW w:w="0" w:type="auto"/>
          </w:tcPr>
          <w:p w14:paraId="25736C1F" w14:textId="77777777" w:rsidR="0072282A" w:rsidRPr="00084F2E" w:rsidRDefault="00AB1BEC">
            <w:pPr>
              <w:spacing w:line="360" w:lineRule="auto"/>
              <w:rPr>
                <w:rFonts w:cs="Times New Roman"/>
                <w:b w:val="0"/>
                <w:lang w:val="en-US"/>
              </w:rPr>
            </w:pPr>
            <w:r w:rsidRPr="00084F2E">
              <w:rPr>
                <w:rFonts w:cs="Times New Roman"/>
                <w:b w:val="0"/>
                <w:bCs/>
                <w:lang w:val="en-US"/>
              </w:rPr>
              <w:t>GDP (L0)</w:t>
            </w:r>
          </w:p>
        </w:tc>
        <w:tc>
          <w:tcPr>
            <w:tcW w:w="0" w:type="auto"/>
          </w:tcPr>
          <w:p w14:paraId="58079C14" w14:textId="77777777" w:rsidR="0072282A" w:rsidRPr="00084F2E" w:rsidRDefault="00AB1BEC">
            <w:pPr>
              <w:spacing w:line="360" w:lineRule="auto"/>
              <w:rPr>
                <w:rFonts w:cs="Times New Roman"/>
                <w:b w:val="0"/>
                <w:lang w:val="en-US"/>
              </w:rPr>
            </w:pPr>
            <w:r w:rsidRPr="00084F2E">
              <w:rPr>
                <w:rFonts w:cs="Times New Roman"/>
                <w:b w:val="0"/>
                <w:lang w:val="en-US"/>
              </w:rPr>
              <w:t>-0.2381</w:t>
            </w:r>
          </w:p>
        </w:tc>
        <w:tc>
          <w:tcPr>
            <w:tcW w:w="0" w:type="auto"/>
          </w:tcPr>
          <w:p w14:paraId="36FB9BA9" w14:textId="77777777" w:rsidR="0072282A" w:rsidRPr="00084F2E" w:rsidRDefault="00AB1BEC">
            <w:pPr>
              <w:spacing w:line="360" w:lineRule="auto"/>
              <w:rPr>
                <w:rFonts w:cs="Times New Roman"/>
                <w:b w:val="0"/>
                <w:lang w:val="en-US"/>
              </w:rPr>
            </w:pPr>
            <w:r w:rsidRPr="00084F2E">
              <w:rPr>
                <w:rFonts w:cs="Times New Roman"/>
                <w:b w:val="0"/>
                <w:lang w:val="en-US"/>
              </w:rPr>
              <w:t>0.4447</w:t>
            </w:r>
          </w:p>
        </w:tc>
        <w:tc>
          <w:tcPr>
            <w:tcW w:w="0" w:type="auto"/>
          </w:tcPr>
          <w:p w14:paraId="6D8F678D" w14:textId="77777777" w:rsidR="0072282A" w:rsidRPr="00084F2E" w:rsidRDefault="00AB1BEC">
            <w:pPr>
              <w:spacing w:line="360" w:lineRule="auto"/>
              <w:rPr>
                <w:rFonts w:cs="Times New Roman"/>
                <w:b w:val="0"/>
                <w:lang w:val="en-US"/>
              </w:rPr>
            </w:pPr>
            <w:r w:rsidRPr="00084F2E">
              <w:rPr>
                <w:rFonts w:cs="Times New Roman"/>
                <w:b w:val="0"/>
                <w:lang w:val="en-US"/>
              </w:rPr>
              <w:t>-0.54</w:t>
            </w:r>
          </w:p>
        </w:tc>
        <w:tc>
          <w:tcPr>
            <w:tcW w:w="0" w:type="auto"/>
          </w:tcPr>
          <w:p w14:paraId="31847F2A" w14:textId="77777777" w:rsidR="0072282A" w:rsidRPr="00084F2E" w:rsidRDefault="00AB1BEC">
            <w:pPr>
              <w:spacing w:line="360" w:lineRule="auto"/>
              <w:rPr>
                <w:rFonts w:cs="Times New Roman"/>
                <w:b w:val="0"/>
                <w:lang w:val="en-US"/>
              </w:rPr>
            </w:pPr>
            <w:r w:rsidRPr="00084F2E">
              <w:rPr>
                <w:rFonts w:cs="Times New Roman"/>
                <w:b w:val="0"/>
                <w:lang w:val="en-US"/>
              </w:rPr>
              <w:t>0.607</w:t>
            </w:r>
          </w:p>
        </w:tc>
      </w:tr>
      <w:tr w:rsidR="00084F2E" w:rsidRPr="00084F2E" w14:paraId="0CF84645" w14:textId="77777777">
        <w:trPr>
          <w:trHeight w:val="234"/>
        </w:trPr>
        <w:tc>
          <w:tcPr>
            <w:tcW w:w="0" w:type="auto"/>
          </w:tcPr>
          <w:p w14:paraId="3A3CD08D" w14:textId="77777777" w:rsidR="0072282A" w:rsidRPr="00084F2E" w:rsidRDefault="00AB1BEC">
            <w:pPr>
              <w:spacing w:line="360" w:lineRule="auto"/>
              <w:rPr>
                <w:rFonts w:cs="Times New Roman"/>
                <w:b w:val="0"/>
                <w:lang w:val="en-US"/>
              </w:rPr>
            </w:pPr>
            <w:r w:rsidRPr="00084F2E">
              <w:rPr>
                <w:rFonts w:cs="Times New Roman"/>
                <w:b w:val="0"/>
                <w:bCs/>
                <w:lang w:val="en-US"/>
              </w:rPr>
              <w:t>GDP (Lag 1)</w:t>
            </w:r>
          </w:p>
        </w:tc>
        <w:tc>
          <w:tcPr>
            <w:tcW w:w="0" w:type="auto"/>
          </w:tcPr>
          <w:p w14:paraId="4A19819F" w14:textId="77777777" w:rsidR="0072282A" w:rsidRPr="00084F2E" w:rsidRDefault="00AB1BEC">
            <w:pPr>
              <w:spacing w:line="360" w:lineRule="auto"/>
              <w:rPr>
                <w:rFonts w:cs="Times New Roman"/>
                <w:b w:val="0"/>
                <w:lang w:val="en-US"/>
              </w:rPr>
            </w:pPr>
            <w:r w:rsidRPr="00084F2E">
              <w:rPr>
                <w:rFonts w:cs="Times New Roman"/>
                <w:b w:val="0"/>
                <w:lang w:val="en-US"/>
              </w:rPr>
              <w:t>0.7032</w:t>
            </w:r>
          </w:p>
        </w:tc>
        <w:tc>
          <w:tcPr>
            <w:tcW w:w="0" w:type="auto"/>
          </w:tcPr>
          <w:p w14:paraId="4F8E86C7" w14:textId="77777777" w:rsidR="0072282A" w:rsidRPr="00084F2E" w:rsidRDefault="00AB1BEC">
            <w:pPr>
              <w:spacing w:line="360" w:lineRule="auto"/>
              <w:rPr>
                <w:rFonts w:cs="Times New Roman"/>
                <w:b w:val="0"/>
                <w:lang w:val="en-US"/>
              </w:rPr>
            </w:pPr>
            <w:r w:rsidRPr="00084F2E">
              <w:rPr>
                <w:rFonts w:cs="Times New Roman"/>
                <w:b w:val="0"/>
                <w:lang w:val="en-US"/>
              </w:rPr>
              <w:t>0.4903</w:t>
            </w:r>
          </w:p>
        </w:tc>
        <w:tc>
          <w:tcPr>
            <w:tcW w:w="0" w:type="auto"/>
          </w:tcPr>
          <w:p w14:paraId="29D56E37" w14:textId="77777777" w:rsidR="0072282A" w:rsidRPr="00084F2E" w:rsidRDefault="00AB1BEC">
            <w:pPr>
              <w:spacing w:line="360" w:lineRule="auto"/>
              <w:rPr>
                <w:rFonts w:cs="Times New Roman"/>
                <w:b w:val="0"/>
                <w:lang w:val="en-US"/>
              </w:rPr>
            </w:pPr>
            <w:r w:rsidRPr="00084F2E">
              <w:rPr>
                <w:rFonts w:cs="Times New Roman"/>
                <w:b w:val="0"/>
                <w:lang w:val="en-US"/>
              </w:rPr>
              <w:t>1.43</w:t>
            </w:r>
          </w:p>
        </w:tc>
        <w:tc>
          <w:tcPr>
            <w:tcW w:w="0" w:type="auto"/>
          </w:tcPr>
          <w:p w14:paraId="7BF1F95C" w14:textId="77777777" w:rsidR="0072282A" w:rsidRPr="00084F2E" w:rsidRDefault="00AB1BEC">
            <w:pPr>
              <w:spacing w:line="360" w:lineRule="auto"/>
              <w:rPr>
                <w:rFonts w:cs="Times New Roman"/>
                <w:b w:val="0"/>
                <w:lang w:val="en-US"/>
              </w:rPr>
            </w:pPr>
            <w:r w:rsidRPr="00084F2E">
              <w:rPr>
                <w:rFonts w:cs="Times New Roman"/>
                <w:b w:val="0"/>
                <w:lang w:val="en-US"/>
              </w:rPr>
              <w:t>0.193</w:t>
            </w:r>
          </w:p>
        </w:tc>
      </w:tr>
      <w:tr w:rsidR="00084F2E" w:rsidRPr="00084F2E" w14:paraId="7EBDF887" w14:textId="77777777">
        <w:trPr>
          <w:trHeight w:val="234"/>
        </w:trPr>
        <w:tc>
          <w:tcPr>
            <w:tcW w:w="0" w:type="auto"/>
          </w:tcPr>
          <w:p w14:paraId="2BAC84AF" w14:textId="77777777" w:rsidR="0072282A" w:rsidRPr="00084F2E" w:rsidRDefault="00AB1BEC">
            <w:pPr>
              <w:spacing w:line="360" w:lineRule="auto"/>
              <w:rPr>
                <w:rFonts w:cs="Times New Roman"/>
                <w:b w:val="0"/>
                <w:lang w:val="en-US"/>
              </w:rPr>
            </w:pPr>
            <w:r w:rsidRPr="00084F2E">
              <w:rPr>
                <w:rFonts w:cs="Times New Roman"/>
                <w:b w:val="0"/>
                <w:bCs/>
                <w:lang w:val="en-US"/>
              </w:rPr>
              <w:t>GDP (Lag 2)</w:t>
            </w:r>
          </w:p>
        </w:tc>
        <w:tc>
          <w:tcPr>
            <w:tcW w:w="0" w:type="auto"/>
          </w:tcPr>
          <w:p w14:paraId="146AE938" w14:textId="77777777" w:rsidR="0072282A" w:rsidRPr="00084F2E" w:rsidRDefault="00AB1BEC">
            <w:pPr>
              <w:spacing w:line="360" w:lineRule="auto"/>
              <w:rPr>
                <w:rFonts w:cs="Times New Roman"/>
                <w:b w:val="0"/>
                <w:lang w:val="en-US"/>
              </w:rPr>
            </w:pPr>
            <w:r w:rsidRPr="00084F2E">
              <w:rPr>
                <w:rFonts w:cs="Times New Roman"/>
                <w:b w:val="0"/>
                <w:bCs/>
                <w:lang w:val="en-US"/>
              </w:rPr>
              <w:t>0.8376</w:t>
            </w:r>
          </w:p>
        </w:tc>
        <w:tc>
          <w:tcPr>
            <w:tcW w:w="0" w:type="auto"/>
          </w:tcPr>
          <w:p w14:paraId="6481D34C" w14:textId="77777777" w:rsidR="0072282A" w:rsidRPr="00084F2E" w:rsidRDefault="00AB1BEC">
            <w:pPr>
              <w:spacing w:line="360" w:lineRule="auto"/>
              <w:rPr>
                <w:rFonts w:cs="Times New Roman"/>
                <w:b w:val="0"/>
                <w:lang w:val="en-US"/>
              </w:rPr>
            </w:pPr>
            <w:r w:rsidRPr="00084F2E">
              <w:rPr>
                <w:rFonts w:cs="Times New Roman"/>
                <w:b w:val="0"/>
                <w:lang w:val="en-US"/>
              </w:rPr>
              <w:t>0.3347</w:t>
            </w:r>
          </w:p>
        </w:tc>
        <w:tc>
          <w:tcPr>
            <w:tcW w:w="0" w:type="auto"/>
          </w:tcPr>
          <w:p w14:paraId="6393EF29" w14:textId="77777777" w:rsidR="0072282A" w:rsidRPr="00084F2E" w:rsidRDefault="00AB1BEC">
            <w:pPr>
              <w:spacing w:line="360" w:lineRule="auto"/>
              <w:rPr>
                <w:rFonts w:cs="Times New Roman"/>
                <w:b w:val="0"/>
                <w:lang w:val="en-US"/>
              </w:rPr>
            </w:pPr>
            <w:r w:rsidRPr="00084F2E">
              <w:rPr>
                <w:rFonts w:cs="Times New Roman"/>
                <w:b w:val="0"/>
                <w:lang w:val="en-US"/>
              </w:rPr>
              <w:t>2.50</w:t>
            </w:r>
          </w:p>
        </w:tc>
        <w:tc>
          <w:tcPr>
            <w:tcW w:w="0" w:type="auto"/>
          </w:tcPr>
          <w:p w14:paraId="3D4AEEF5" w14:textId="77777777" w:rsidR="0072282A" w:rsidRPr="00084F2E" w:rsidRDefault="00AB1BEC">
            <w:pPr>
              <w:spacing w:line="360" w:lineRule="auto"/>
              <w:rPr>
                <w:rFonts w:cs="Times New Roman"/>
                <w:b w:val="0"/>
                <w:lang w:val="en-US"/>
              </w:rPr>
            </w:pPr>
            <w:r w:rsidRPr="00084F2E">
              <w:rPr>
                <w:rFonts w:cs="Times New Roman"/>
                <w:b w:val="0"/>
                <w:bCs/>
                <w:lang w:val="en-US"/>
              </w:rPr>
              <w:t>0.036</w:t>
            </w:r>
          </w:p>
        </w:tc>
      </w:tr>
      <w:tr w:rsidR="00084F2E" w:rsidRPr="00084F2E" w14:paraId="44541090" w14:textId="77777777">
        <w:trPr>
          <w:trHeight w:val="664"/>
        </w:trPr>
        <w:tc>
          <w:tcPr>
            <w:tcW w:w="0" w:type="auto"/>
          </w:tcPr>
          <w:p w14:paraId="2F57A3B8" w14:textId="77777777" w:rsidR="0072282A" w:rsidRPr="00084F2E" w:rsidRDefault="00AB1BEC">
            <w:pPr>
              <w:spacing w:line="360" w:lineRule="auto"/>
              <w:rPr>
                <w:rFonts w:cs="Times New Roman"/>
                <w:b w:val="0"/>
                <w:lang w:val="en-US"/>
              </w:rPr>
            </w:pPr>
            <w:r w:rsidRPr="00084F2E">
              <w:rPr>
                <w:rFonts w:cs="Times New Roman"/>
                <w:b w:val="0"/>
                <w:bCs/>
                <w:lang w:val="en-US"/>
              </w:rPr>
              <w:t>corrputioncontrol (L0)</w:t>
            </w:r>
          </w:p>
        </w:tc>
        <w:tc>
          <w:tcPr>
            <w:tcW w:w="0" w:type="auto"/>
          </w:tcPr>
          <w:p w14:paraId="50309F09" w14:textId="77777777" w:rsidR="0072282A" w:rsidRPr="00084F2E" w:rsidRDefault="00AB1BEC">
            <w:pPr>
              <w:spacing w:line="360" w:lineRule="auto"/>
              <w:rPr>
                <w:rFonts w:cs="Times New Roman"/>
                <w:b w:val="0"/>
                <w:lang w:val="en-US"/>
              </w:rPr>
            </w:pPr>
            <w:r w:rsidRPr="00084F2E">
              <w:rPr>
                <w:rFonts w:cs="Times New Roman"/>
                <w:b w:val="0"/>
                <w:bCs/>
                <w:lang w:val="en-US"/>
              </w:rPr>
              <w:t>-0.9338</w:t>
            </w:r>
          </w:p>
        </w:tc>
        <w:tc>
          <w:tcPr>
            <w:tcW w:w="0" w:type="auto"/>
          </w:tcPr>
          <w:p w14:paraId="74520A43" w14:textId="77777777" w:rsidR="0072282A" w:rsidRPr="00084F2E" w:rsidRDefault="00AB1BEC">
            <w:pPr>
              <w:spacing w:line="360" w:lineRule="auto"/>
              <w:rPr>
                <w:rFonts w:cs="Times New Roman"/>
                <w:b w:val="0"/>
                <w:lang w:val="en-US"/>
              </w:rPr>
            </w:pPr>
            <w:r w:rsidRPr="00084F2E">
              <w:rPr>
                <w:rFonts w:cs="Times New Roman"/>
                <w:b w:val="0"/>
                <w:lang w:val="en-US"/>
              </w:rPr>
              <w:t>0.2152</w:t>
            </w:r>
          </w:p>
        </w:tc>
        <w:tc>
          <w:tcPr>
            <w:tcW w:w="0" w:type="auto"/>
          </w:tcPr>
          <w:p w14:paraId="0A609F0F" w14:textId="77777777" w:rsidR="0072282A" w:rsidRPr="00084F2E" w:rsidRDefault="00AB1BEC">
            <w:pPr>
              <w:spacing w:line="360" w:lineRule="auto"/>
              <w:rPr>
                <w:rFonts w:cs="Times New Roman"/>
                <w:b w:val="0"/>
                <w:lang w:val="en-US"/>
              </w:rPr>
            </w:pPr>
            <w:r w:rsidRPr="00084F2E">
              <w:rPr>
                <w:rFonts w:cs="Times New Roman"/>
                <w:b w:val="0"/>
                <w:lang w:val="en-US"/>
              </w:rPr>
              <w:t>-4.34</w:t>
            </w:r>
          </w:p>
        </w:tc>
        <w:tc>
          <w:tcPr>
            <w:tcW w:w="0" w:type="auto"/>
          </w:tcPr>
          <w:p w14:paraId="37C2B986" w14:textId="77777777" w:rsidR="0072282A" w:rsidRPr="00084F2E" w:rsidRDefault="00AB1BEC">
            <w:pPr>
              <w:spacing w:line="360" w:lineRule="auto"/>
              <w:rPr>
                <w:rFonts w:cs="Times New Roman"/>
                <w:b w:val="0"/>
                <w:lang w:val="en-US"/>
              </w:rPr>
            </w:pPr>
            <w:r w:rsidRPr="00084F2E">
              <w:rPr>
                <w:rFonts w:cs="Times New Roman"/>
                <w:b w:val="0"/>
                <w:bCs/>
                <w:lang w:val="en-US"/>
              </w:rPr>
              <w:t>0.002</w:t>
            </w:r>
          </w:p>
        </w:tc>
      </w:tr>
      <w:tr w:rsidR="00084F2E" w:rsidRPr="00084F2E" w14:paraId="017DA929" w14:textId="77777777">
        <w:trPr>
          <w:trHeight w:val="684"/>
        </w:trPr>
        <w:tc>
          <w:tcPr>
            <w:tcW w:w="0" w:type="auto"/>
          </w:tcPr>
          <w:p w14:paraId="680C37B5" w14:textId="77777777" w:rsidR="0072282A" w:rsidRPr="00084F2E" w:rsidRDefault="00AB1BEC">
            <w:pPr>
              <w:spacing w:line="360" w:lineRule="auto"/>
              <w:rPr>
                <w:rFonts w:cs="Times New Roman"/>
                <w:b w:val="0"/>
                <w:lang w:val="en-US"/>
              </w:rPr>
            </w:pPr>
            <w:r w:rsidRPr="00084F2E">
              <w:rPr>
                <w:rFonts w:cs="Times New Roman"/>
                <w:b w:val="0"/>
                <w:bCs/>
                <w:lang w:val="en-US"/>
              </w:rPr>
              <w:lastRenderedPageBreak/>
              <w:t>corrputioncontrol (Lag 1)</w:t>
            </w:r>
          </w:p>
        </w:tc>
        <w:tc>
          <w:tcPr>
            <w:tcW w:w="0" w:type="auto"/>
          </w:tcPr>
          <w:p w14:paraId="37C1FAF6" w14:textId="77777777" w:rsidR="0072282A" w:rsidRPr="00084F2E" w:rsidRDefault="00AB1BEC">
            <w:pPr>
              <w:spacing w:line="360" w:lineRule="auto"/>
              <w:rPr>
                <w:rFonts w:cs="Times New Roman"/>
                <w:b w:val="0"/>
                <w:lang w:val="en-US"/>
              </w:rPr>
            </w:pPr>
            <w:r w:rsidRPr="00084F2E">
              <w:rPr>
                <w:rFonts w:cs="Times New Roman"/>
                <w:b w:val="0"/>
                <w:bCs/>
                <w:lang w:val="en-US"/>
              </w:rPr>
              <w:t>0.5040</w:t>
            </w:r>
          </w:p>
        </w:tc>
        <w:tc>
          <w:tcPr>
            <w:tcW w:w="0" w:type="auto"/>
          </w:tcPr>
          <w:p w14:paraId="27C591E6" w14:textId="77777777" w:rsidR="0072282A" w:rsidRPr="00084F2E" w:rsidRDefault="00AB1BEC">
            <w:pPr>
              <w:spacing w:line="360" w:lineRule="auto"/>
              <w:rPr>
                <w:rFonts w:cs="Times New Roman"/>
                <w:b w:val="0"/>
                <w:lang w:val="en-US"/>
              </w:rPr>
            </w:pPr>
            <w:r w:rsidRPr="00084F2E">
              <w:rPr>
                <w:rFonts w:cs="Times New Roman"/>
                <w:b w:val="0"/>
                <w:lang w:val="en-US"/>
              </w:rPr>
              <w:t>0.2166</w:t>
            </w:r>
          </w:p>
        </w:tc>
        <w:tc>
          <w:tcPr>
            <w:tcW w:w="0" w:type="auto"/>
          </w:tcPr>
          <w:p w14:paraId="617AF8EC" w14:textId="77777777" w:rsidR="0072282A" w:rsidRPr="00084F2E" w:rsidRDefault="00AB1BEC">
            <w:pPr>
              <w:spacing w:line="360" w:lineRule="auto"/>
              <w:rPr>
                <w:rFonts w:cs="Times New Roman"/>
                <w:b w:val="0"/>
                <w:lang w:val="en-US"/>
              </w:rPr>
            </w:pPr>
            <w:r w:rsidRPr="00084F2E">
              <w:rPr>
                <w:rFonts w:cs="Times New Roman"/>
                <w:b w:val="0"/>
                <w:lang w:val="en-US"/>
              </w:rPr>
              <w:t>2.33</w:t>
            </w:r>
          </w:p>
        </w:tc>
        <w:tc>
          <w:tcPr>
            <w:tcW w:w="0" w:type="auto"/>
          </w:tcPr>
          <w:p w14:paraId="45AC63CE" w14:textId="77777777" w:rsidR="0072282A" w:rsidRPr="00084F2E" w:rsidRDefault="00AB1BEC">
            <w:pPr>
              <w:spacing w:line="360" w:lineRule="auto"/>
              <w:rPr>
                <w:rFonts w:cs="Times New Roman"/>
                <w:b w:val="0"/>
                <w:lang w:val="en-US"/>
              </w:rPr>
            </w:pPr>
            <w:r w:rsidRPr="00084F2E">
              <w:rPr>
                <w:rFonts w:cs="Times New Roman"/>
                <w:b w:val="0"/>
                <w:bCs/>
                <w:lang w:val="en-US"/>
              </w:rPr>
              <w:t>0.048</w:t>
            </w:r>
          </w:p>
        </w:tc>
      </w:tr>
      <w:tr w:rsidR="00084F2E" w:rsidRPr="00084F2E" w14:paraId="354561BA" w14:textId="77777777">
        <w:trPr>
          <w:trHeight w:val="664"/>
        </w:trPr>
        <w:tc>
          <w:tcPr>
            <w:tcW w:w="0" w:type="auto"/>
          </w:tcPr>
          <w:p w14:paraId="4CCF3CC5" w14:textId="77777777" w:rsidR="0072282A" w:rsidRPr="00084F2E" w:rsidRDefault="00AB1BEC">
            <w:pPr>
              <w:spacing w:line="360" w:lineRule="auto"/>
              <w:rPr>
                <w:rFonts w:cs="Times New Roman"/>
                <w:b w:val="0"/>
                <w:lang w:val="en-US"/>
              </w:rPr>
            </w:pPr>
            <w:r w:rsidRPr="00084F2E">
              <w:rPr>
                <w:rFonts w:cs="Times New Roman"/>
                <w:b w:val="0"/>
                <w:bCs/>
                <w:lang w:val="en-US"/>
              </w:rPr>
              <w:t>corrputioncontrol (Lag 2)</w:t>
            </w:r>
          </w:p>
        </w:tc>
        <w:tc>
          <w:tcPr>
            <w:tcW w:w="0" w:type="auto"/>
          </w:tcPr>
          <w:p w14:paraId="455B3838" w14:textId="77777777" w:rsidR="0072282A" w:rsidRPr="00084F2E" w:rsidRDefault="00AB1BEC">
            <w:pPr>
              <w:spacing w:line="360" w:lineRule="auto"/>
              <w:rPr>
                <w:rFonts w:cs="Times New Roman"/>
                <w:b w:val="0"/>
                <w:lang w:val="en-US"/>
              </w:rPr>
            </w:pPr>
            <w:r w:rsidRPr="00084F2E">
              <w:rPr>
                <w:rFonts w:cs="Times New Roman"/>
                <w:b w:val="0"/>
                <w:bCs/>
                <w:lang w:val="en-US"/>
              </w:rPr>
              <w:t>-0.5791</w:t>
            </w:r>
          </w:p>
        </w:tc>
        <w:tc>
          <w:tcPr>
            <w:tcW w:w="0" w:type="auto"/>
          </w:tcPr>
          <w:p w14:paraId="57889BCD" w14:textId="77777777" w:rsidR="0072282A" w:rsidRPr="00084F2E" w:rsidRDefault="00AB1BEC">
            <w:pPr>
              <w:spacing w:line="360" w:lineRule="auto"/>
              <w:rPr>
                <w:rFonts w:cs="Times New Roman"/>
                <w:b w:val="0"/>
                <w:lang w:val="en-US"/>
              </w:rPr>
            </w:pPr>
            <w:r w:rsidRPr="00084F2E">
              <w:rPr>
                <w:rFonts w:cs="Times New Roman"/>
                <w:b w:val="0"/>
                <w:lang w:val="en-US"/>
              </w:rPr>
              <w:t>0.1949</w:t>
            </w:r>
          </w:p>
        </w:tc>
        <w:tc>
          <w:tcPr>
            <w:tcW w:w="0" w:type="auto"/>
          </w:tcPr>
          <w:p w14:paraId="2ECDF10C" w14:textId="77777777" w:rsidR="0072282A" w:rsidRPr="00084F2E" w:rsidRDefault="00AB1BEC">
            <w:pPr>
              <w:spacing w:line="360" w:lineRule="auto"/>
              <w:rPr>
                <w:rFonts w:cs="Times New Roman"/>
                <w:b w:val="0"/>
                <w:lang w:val="en-US"/>
              </w:rPr>
            </w:pPr>
            <w:r w:rsidRPr="00084F2E">
              <w:rPr>
                <w:rFonts w:cs="Times New Roman"/>
                <w:b w:val="0"/>
                <w:lang w:val="en-US"/>
              </w:rPr>
              <w:t>-2.97</w:t>
            </w:r>
          </w:p>
        </w:tc>
        <w:tc>
          <w:tcPr>
            <w:tcW w:w="0" w:type="auto"/>
          </w:tcPr>
          <w:p w14:paraId="2DA53094" w14:textId="77777777" w:rsidR="0072282A" w:rsidRPr="00084F2E" w:rsidRDefault="00AB1BEC">
            <w:pPr>
              <w:spacing w:line="360" w:lineRule="auto"/>
              <w:rPr>
                <w:rFonts w:cs="Times New Roman"/>
                <w:b w:val="0"/>
                <w:lang w:val="en-US"/>
              </w:rPr>
            </w:pPr>
            <w:r w:rsidRPr="00084F2E">
              <w:rPr>
                <w:rFonts w:cs="Times New Roman"/>
                <w:b w:val="0"/>
                <w:bCs/>
                <w:lang w:val="en-US"/>
              </w:rPr>
              <w:t>0.018</w:t>
            </w:r>
          </w:p>
        </w:tc>
      </w:tr>
      <w:tr w:rsidR="00084F2E" w:rsidRPr="00084F2E" w14:paraId="28E7719A" w14:textId="77777777">
        <w:trPr>
          <w:trHeight w:val="664"/>
        </w:trPr>
        <w:tc>
          <w:tcPr>
            <w:tcW w:w="0" w:type="auto"/>
          </w:tcPr>
          <w:p w14:paraId="2B2A9493" w14:textId="77777777" w:rsidR="0072282A" w:rsidRPr="00084F2E" w:rsidRDefault="00AB1BEC">
            <w:pPr>
              <w:spacing w:line="360" w:lineRule="auto"/>
              <w:rPr>
                <w:rFonts w:cs="Times New Roman"/>
                <w:b w:val="0"/>
                <w:lang w:val="en-US"/>
              </w:rPr>
            </w:pPr>
            <w:r w:rsidRPr="00084F2E">
              <w:rPr>
                <w:rFonts w:cs="Times New Roman"/>
                <w:b w:val="0"/>
                <w:bCs/>
                <w:lang w:val="en-US"/>
              </w:rPr>
              <w:t>ConsumerPriceIndex (L0)</w:t>
            </w:r>
          </w:p>
        </w:tc>
        <w:tc>
          <w:tcPr>
            <w:tcW w:w="0" w:type="auto"/>
          </w:tcPr>
          <w:p w14:paraId="1B92A7F1" w14:textId="77777777" w:rsidR="0072282A" w:rsidRPr="00084F2E" w:rsidRDefault="00AB1BEC">
            <w:pPr>
              <w:spacing w:line="360" w:lineRule="auto"/>
              <w:rPr>
                <w:rFonts w:cs="Times New Roman"/>
                <w:b w:val="0"/>
                <w:lang w:val="en-US"/>
              </w:rPr>
            </w:pPr>
            <w:r w:rsidRPr="00084F2E">
              <w:rPr>
                <w:rFonts w:cs="Times New Roman"/>
                <w:b w:val="0"/>
                <w:bCs/>
                <w:lang w:val="en-US"/>
              </w:rPr>
              <w:t>-1.0620</w:t>
            </w:r>
          </w:p>
        </w:tc>
        <w:tc>
          <w:tcPr>
            <w:tcW w:w="0" w:type="auto"/>
          </w:tcPr>
          <w:p w14:paraId="6441888A" w14:textId="77777777" w:rsidR="0072282A" w:rsidRPr="00084F2E" w:rsidRDefault="00AB1BEC">
            <w:pPr>
              <w:spacing w:line="360" w:lineRule="auto"/>
              <w:rPr>
                <w:rFonts w:cs="Times New Roman"/>
                <w:b w:val="0"/>
                <w:lang w:val="en-US"/>
              </w:rPr>
            </w:pPr>
            <w:r w:rsidRPr="00084F2E">
              <w:rPr>
                <w:rFonts w:cs="Times New Roman"/>
                <w:b w:val="0"/>
                <w:lang w:val="en-US"/>
              </w:rPr>
              <w:t>0.3090</w:t>
            </w:r>
          </w:p>
        </w:tc>
        <w:tc>
          <w:tcPr>
            <w:tcW w:w="0" w:type="auto"/>
          </w:tcPr>
          <w:p w14:paraId="411FF49E" w14:textId="77777777" w:rsidR="0072282A" w:rsidRPr="00084F2E" w:rsidRDefault="00AB1BEC">
            <w:pPr>
              <w:spacing w:line="360" w:lineRule="auto"/>
              <w:rPr>
                <w:rFonts w:cs="Times New Roman"/>
                <w:b w:val="0"/>
                <w:lang w:val="en-US"/>
              </w:rPr>
            </w:pPr>
            <w:r w:rsidRPr="00084F2E">
              <w:rPr>
                <w:rFonts w:cs="Times New Roman"/>
                <w:b w:val="0"/>
                <w:lang w:val="en-US"/>
              </w:rPr>
              <w:t>-3.44</w:t>
            </w:r>
          </w:p>
        </w:tc>
        <w:tc>
          <w:tcPr>
            <w:tcW w:w="0" w:type="auto"/>
          </w:tcPr>
          <w:p w14:paraId="01F82D1D" w14:textId="77777777" w:rsidR="0072282A" w:rsidRPr="00084F2E" w:rsidRDefault="00AB1BEC">
            <w:pPr>
              <w:spacing w:line="360" w:lineRule="auto"/>
              <w:rPr>
                <w:rFonts w:cs="Times New Roman"/>
                <w:b w:val="0"/>
                <w:lang w:val="en-US"/>
              </w:rPr>
            </w:pPr>
            <w:r w:rsidRPr="00084F2E">
              <w:rPr>
                <w:rFonts w:cs="Times New Roman"/>
                <w:b w:val="0"/>
                <w:bCs/>
                <w:lang w:val="en-US"/>
              </w:rPr>
              <w:t>0.009</w:t>
            </w:r>
          </w:p>
        </w:tc>
      </w:tr>
      <w:tr w:rsidR="00084F2E" w:rsidRPr="00084F2E" w14:paraId="43937583" w14:textId="77777777">
        <w:trPr>
          <w:trHeight w:val="664"/>
        </w:trPr>
        <w:tc>
          <w:tcPr>
            <w:tcW w:w="0" w:type="auto"/>
          </w:tcPr>
          <w:p w14:paraId="51FDE009" w14:textId="77777777" w:rsidR="0072282A" w:rsidRPr="00084F2E" w:rsidRDefault="00AB1BEC">
            <w:pPr>
              <w:spacing w:line="360" w:lineRule="auto"/>
              <w:rPr>
                <w:rFonts w:cs="Times New Roman"/>
                <w:b w:val="0"/>
                <w:lang w:val="en-US"/>
              </w:rPr>
            </w:pPr>
            <w:r w:rsidRPr="00084F2E">
              <w:rPr>
                <w:rFonts w:cs="Times New Roman"/>
                <w:b w:val="0"/>
                <w:bCs/>
                <w:lang w:val="en-US"/>
              </w:rPr>
              <w:t>ConsumerPriceIndex (Lag 1)</w:t>
            </w:r>
          </w:p>
        </w:tc>
        <w:tc>
          <w:tcPr>
            <w:tcW w:w="0" w:type="auto"/>
          </w:tcPr>
          <w:p w14:paraId="1388A7DE" w14:textId="77777777" w:rsidR="0072282A" w:rsidRPr="00084F2E" w:rsidRDefault="00AB1BEC">
            <w:pPr>
              <w:spacing w:line="360" w:lineRule="auto"/>
              <w:rPr>
                <w:rFonts w:cs="Times New Roman"/>
                <w:b w:val="0"/>
                <w:lang w:val="en-US"/>
              </w:rPr>
            </w:pPr>
            <w:r w:rsidRPr="00084F2E">
              <w:rPr>
                <w:rFonts w:cs="Times New Roman"/>
                <w:b w:val="0"/>
                <w:bCs/>
                <w:lang w:val="en-US"/>
              </w:rPr>
              <w:t>2.8708</w:t>
            </w:r>
          </w:p>
        </w:tc>
        <w:tc>
          <w:tcPr>
            <w:tcW w:w="0" w:type="auto"/>
          </w:tcPr>
          <w:p w14:paraId="7C9CA704" w14:textId="77777777" w:rsidR="0072282A" w:rsidRPr="00084F2E" w:rsidRDefault="00AB1BEC">
            <w:pPr>
              <w:spacing w:line="360" w:lineRule="auto"/>
              <w:rPr>
                <w:rFonts w:cs="Times New Roman"/>
                <w:b w:val="0"/>
                <w:lang w:val="en-US"/>
              </w:rPr>
            </w:pPr>
            <w:r w:rsidRPr="00084F2E">
              <w:rPr>
                <w:rFonts w:cs="Times New Roman"/>
                <w:b w:val="0"/>
                <w:lang w:val="en-US"/>
              </w:rPr>
              <w:t>0.5020</w:t>
            </w:r>
          </w:p>
        </w:tc>
        <w:tc>
          <w:tcPr>
            <w:tcW w:w="0" w:type="auto"/>
          </w:tcPr>
          <w:p w14:paraId="20C04D93" w14:textId="77777777" w:rsidR="0072282A" w:rsidRPr="00084F2E" w:rsidRDefault="00AB1BEC">
            <w:pPr>
              <w:spacing w:line="360" w:lineRule="auto"/>
              <w:rPr>
                <w:rFonts w:cs="Times New Roman"/>
                <w:b w:val="0"/>
                <w:lang w:val="en-US"/>
              </w:rPr>
            </w:pPr>
            <w:r w:rsidRPr="00084F2E">
              <w:rPr>
                <w:rFonts w:cs="Times New Roman"/>
                <w:b w:val="0"/>
                <w:lang w:val="en-US"/>
              </w:rPr>
              <w:t>5.72</w:t>
            </w:r>
          </w:p>
        </w:tc>
        <w:tc>
          <w:tcPr>
            <w:tcW w:w="0" w:type="auto"/>
          </w:tcPr>
          <w:p w14:paraId="0C6CC377" w14:textId="77777777" w:rsidR="0072282A" w:rsidRPr="00084F2E" w:rsidRDefault="00AB1BEC">
            <w:pPr>
              <w:spacing w:line="360" w:lineRule="auto"/>
              <w:rPr>
                <w:rFonts w:cs="Times New Roman"/>
                <w:b w:val="0"/>
                <w:lang w:val="en-US"/>
              </w:rPr>
            </w:pPr>
            <w:r w:rsidRPr="00084F2E">
              <w:rPr>
                <w:rFonts w:cs="Times New Roman"/>
                <w:b w:val="0"/>
                <w:bCs/>
                <w:lang w:val="en-US"/>
              </w:rPr>
              <w:t>0.000</w:t>
            </w:r>
          </w:p>
        </w:tc>
      </w:tr>
      <w:tr w:rsidR="00084F2E" w:rsidRPr="00084F2E" w14:paraId="4EE047C2" w14:textId="77777777">
        <w:trPr>
          <w:trHeight w:val="684"/>
        </w:trPr>
        <w:tc>
          <w:tcPr>
            <w:tcW w:w="0" w:type="auto"/>
          </w:tcPr>
          <w:p w14:paraId="0B0FEECC" w14:textId="77777777" w:rsidR="0072282A" w:rsidRPr="00084F2E" w:rsidRDefault="00AB1BEC">
            <w:pPr>
              <w:spacing w:line="360" w:lineRule="auto"/>
              <w:rPr>
                <w:rFonts w:cs="Times New Roman"/>
                <w:b w:val="0"/>
                <w:lang w:val="en-US"/>
              </w:rPr>
            </w:pPr>
            <w:r w:rsidRPr="00084F2E">
              <w:rPr>
                <w:rFonts w:cs="Times New Roman"/>
                <w:b w:val="0"/>
                <w:bCs/>
                <w:lang w:val="en-US"/>
              </w:rPr>
              <w:t>ConsumerPriceIndex (Lag 2)</w:t>
            </w:r>
          </w:p>
        </w:tc>
        <w:tc>
          <w:tcPr>
            <w:tcW w:w="0" w:type="auto"/>
          </w:tcPr>
          <w:p w14:paraId="7D48B12B" w14:textId="77777777" w:rsidR="0072282A" w:rsidRPr="00084F2E" w:rsidRDefault="00AB1BEC">
            <w:pPr>
              <w:spacing w:line="360" w:lineRule="auto"/>
              <w:rPr>
                <w:rFonts w:cs="Times New Roman"/>
                <w:b w:val="0"/>
                <w:lang w:val="en-US"/>
              </w:rPr>
            </w:pPr>
            <w:r w:rsidRPr="00084F2E">
              <w:rPr>
                <w:rFonts w:cs="Times New Roman"/>
                <w:b w:val="0"/>
                <w:bCs/>
                <w:lang w:val="en-US"/>
              </w:rPr>
              <w:t>-1.0967</w:t>
            </w:r>
          </w:p>
        </w:tc>
        <w:tc>
          <w:tcPr>
            <w:tcW w:w="0" w:type="auto"/>
          </w:tcPr>
          <w:p w14:paraId="68C1AD23" w14:textId="77777777" w:rsidR="0072282A" w:rsidRPr="00084F2E" w:rsidRDefault="00AB1BEC">
            <w:pPr>
              <w:spacing w:line="360" w:lineRule="auto"/>
              <w:rPr>
                <w:rFonts w:cs="Times New Roman"/>
                <w:b w:val="0"/>
                <w:lang w:val="en-US"/>
              </w:rPr>
            </w:pPr>
            <w:r w:rsidRPr="00084F2E">
              <w:rPr>
                <w:rFonts w:cs="Times New Roman"/>
                <w:b w:val="0"/>
                <w:lang w:val="en-US"/>
              </w:rPr>
              <w:t>0.4418</w:t>
            </w:r>
          </w:p>
        </w:tc>
        <w:tc>
          <w:tcPr>
            <w:tcW w:w="0" w:type="auto"/>
          </w:tcPr>
          <w:p w14:paraId="691C14EB" w14:textId="77777777" w:rsidR="0072282A" w:rsidRPr="00084F2E" w:rsidRDefault="00AB1BEC">
            <w:pPr>
              <w:spacing w:line="360" w:lineRule="auto"/>
              <w:rPr>
                <w:rFonts w:cs="Times New Roman"/>
                <w:b w:val="0"/>
                <w:lang w:val="en-US"/>
              </w:rPr>
            </w:pPr>
            <w:r w:rsidRPr="00084F2E">
              <w:rPr>
                <w:rFonts w:cs="Times New Roman"/>
                <w:b w:val="0"/>
                <w:lang w:val="en-US"/>
              </w:rPr>
              <w:t>-2.48</w:t>
            </w:r>
          </w:p>
        </w:tc>
        <w:tc>
          <w:tcPr>
            <w:tcW w:w="0" w:type="auto"/>
          </w:tcPr>
          <w:p w14:paraId="755B6937" w14:textId="77777777" w:rsidR="0072282A" w:rsidRPr="00084F2E" w:rsidRDefault="00AB1BEC">
            <w:pPr>
              <w:spacing w:line="360" w:lineRule="auto"/>
              <w:rPr>
                <w:rFonts w:cs="Times New Roman"/>
                <w:b w:val="0"/>
                <w:lang w:val="en-US"/>
              </w:rPr>
            </w:pPr>
            <w:r w:rsidRPr="00084F2E">
              <w:rPr>
                <w:rFonts w:cs="Times New Roman"/>
                <w:b w:val="0"/>
                <w:bCs/>
                <w:lang w:val="en-US"/>
              </w:rPr>
              <w:t>0.040</w:t>
            </w:r>
          </w:p>
        </w:tc>
      </w:tr>
      <w:tr w:rsidR="00084F2E" w:rsidRPr="00084F2E" w14:paraId="607BA056" w14:textId="77777777">
        <w:trPr>
          <w:trHeight w:val="664"/>
        </w:trPr>
        <w:tc>
          <w:tcPr>
            <w:tcW w:w="0" w:type="auto"/>
          </w:tcPr>
          <w:p w14:paraId="5A1F578F" w14:textId="77777777" w:rsidR="0072282A" w:rsidRPr="00084F2E" w:rsidRDefault="00AB1BEC">
            <w:pPr>
              <w:spacing w:line="360" w:lineRule="auto"/>
              <w:rPr>
                <w:rFonts w:cs="Times New Roman"/>
                <w:b w:val="0"/>
                <w:lang w:val="en-US"/>
              </w:rPr>
            </w:pPr>
            <w:r w:rsidRPr="00084F2E">
              <w:rPr>
                <w:rFonts w:cs="Times New Roman"/>
                <w:b w:val="0"/>
                <w:bCs/>
                <w:lang w:val="en-US"/>
              </w:rPr>
              <w:t>FDI (L0)</w:t>
            </w:r>
          </w:p>
        </w:tc>
        <w:tc>
          <w:tcPr>
            <w:tcW w:w="0" w:type="auto"/>
          </w:tcPr>
          <w:p w14:paraId="7F6EEFF9" w14:textId="77777777" w:rsidR="0072282A" w:rsidRPr="00084F2E" w:rsidRDefault="00AB1BEC">
            <w:pPr>
              <w:spacing w:line="360" w:lineRule="auto"/>
              <w:rPr>
                <w:rFonts w:cs="Times New Roman"/>
                <w:b w:val="0"/>
                <w:lang w:val="en-US"/>
              </w:rPr>
            </w:pPr>
            <w:r w:rsidRPr="00084F2E">
              <w:rPr>
                <w:rFonts w:cs="Times New Roman"/>
                <w:b w:val="0"/>
                <w:lang w:val="en-US"/>
              </w:rPr>
              <w:t>-0.0528</w:t>
            </w:r>
          </w:p>
        </w:tc>
        <w:tc>
          <w:tcPr>
            <w:tcW w:w="0" w:type="auto"/>
          </w:tcPr>
          <w:p w14:paraId="5DF91A4B" w14:textId="77777777" w:rsidR="0072282A" w:rsidRPr="00084F2E" w:rsidRDefault="00AB1BEC">
            <w:pPr>
              <w:spacing w:line="360" w:lineRule="auto"/>
              <w:rPr>
                <w:rFonts w:cs="Times New Roman"/>
                <w:b w:val="0"/>
                <w:lang w:val="en-US"/>
              </w:rPr>
            </w:pPr>
            <w:r w:rsidRPr="00084F2E">
              <w:rPr>
                <w:rFonts w:cs="Times New Roman"/>
                <w:b w:val="0"/>
                <w:lang w:val="en-US"/>
              </w:rPr>
              <w:t>0.0452</w:t>
            </w:r>
          </w:p>
        </w:tc>
        <w:tc>
          <w:tcPr>
            <w:tcW w:w="0" w:type="auto"/>
          </w:tcPr>
          <w:p w14:paraId="38728C62" w14:textId="77777777" w:rsidR="0072282A" w:rsidRPr="00084F2E" w:rsidRDefault="00AB1BEC">
            <w:pPr>
              <w:spacing w:line="360" w:lineRule="auto"/>
              <w:rPr>
                <w:rFonts w:cs="Times New Roman"/>
                <w:b w:val="0"/>
                <w:lang w:val="en-US"/>
              </w:rPr>
            </w:pPr>
            <w:r w:rsidRPr="00084F2E">
              <w:rPr>
                <w:rFonts w:cs="Times New Roman"/>
                <w:b w:val="0"/>
                <w:lang w:val="en-US"/>
              </w:rPr>
              <w:t>-1.17</w:t>
            </w:r>
          </w:p>
        </w:tc>
        <w:tc>
          <w:tcPr>
            <w:tcW w:w="0" w:type="auto"/>
          </w:tcPr>
          <w:p w14:paraId="1D805CFA" w14:textId="77777777" w:rsidR="0072282A" w:rsidRPr="00084F2E" w:rsidRDefault="00AB1BEC">
            <w:pPr>
              <w:spacing w:line="360" w:lineRule="auto"/>
              <w:rPr>
                <w:rFonts w:cs="Times New Roman"/>
                <w:b w:val="0"/>
                <w:lang w:val="en-US"/>
              </w:rPr>
            </w:pPr>
            <w:r w:rsidRPr="00084F2E">
              <w:rPr>
                <w:rFonts w:cs="Times New Roman"/>
                <w:b w:val="0"/>
                <w:lang w:val="en-US"/>
              </w:rPr>
              <w:t>0.256</w:t>
            </w:r>
          </w:p>
        </w:tc>
      </w:tr>
      <w:tr w:rsidR="00084F2E" w:rsidRPr="00084F2E" w14:paraId="6B7F8004" w14:textId="77777777">
        <w:trPr>
          <w:trHeight w:val="664"/>
        </w:trPr>
        <w:tc>
          <w:tcPr>
            <w:tcW w:w="0" w:type="auto"/>
          </w:tcPr>
          <w:p w14:paraId="782DA795" w14:textId="77777777" w:rsidR="0072282A" w:rsidRPr="00084F2E" w:rsidRDefault="00AB1BEC">
            <w:pPr>
              <w:spacing w:line="360" w:lineRule="auto"/>
              <w:rPr>
                <w:rFonts w:cs="Times New Roman"/>
                <w:b w:val="0"/>
                <w:lang w:val="en-US"/>
              </w:rPr>
            </w:pPr>
            <w:r w:rsidRPr="00084F2E">
              <w:rPr>
                <w:rFonts w:cs="Times New Roman"/>
                <w:b w:val="0"/>
                <w:bCs/>
                <w:lang w:val="en-US"/>
              </w:rPr>
              <w:t>Gross_nationalsavings (L0)</w:t>
            </w:r>
          </w:p>
        </w:tc>
        <w:tc>
          <w:tcPr>
            <w:tcW w:w="0" w:type="auto"/>
          </w:tcPr>
          <w:p w14:paraId="0A82F96A" w14:textId="77777777" w:rsidR="0072282A" w:rsidRPr="00084F2E" w:rsidRDefault="00AB1BEC">
            <w:pPr>
              <w:spacing w:line="360" w:lineRule="auto"/>
              <w:rPr>
                <w:rFonts w:cs="Times New Roman"/>
                <w:b w:val="0"/>
                <w:lang w:val="en-US"/>
              </w:rPr>
            </w:pPr>
            <w:r w:rsidRPr="00084F2E">
              <w:rPr>
                <w:rFonts w:cs="Times New Roman"/>
                <w:b w:val="0"/>
                <w:lang w:val="en-US"/>
              </w:rPr>
              <w:t>-0.0226</w:t>
            </w:r>
          </w:p>
        </w:tc>
        <w:tc>
          <w:tcPr>
            <w:tcW w:w="0" w:type="auto"/>
          </w:tcPr>
          <w:p w14:paraId="5DA71BC4" w14:textId="77777777" w:rsidR="0072282A" w:rsidRPr="00084F2E" w:rsidRDefault="00AB1BEC">
            <w:pPr>
              <w:spacing w:line="360" w:lineRule="auto"/>
              <w:rPr>
                <w:rFonts w:cs="Times New Roman"/>
                <w:b w:val="0"/>
                <w:lang w:val="en-US"/>
              </w:rPr>
            </w:pPr>
            <w:r w:rsidRPr="00084F2E">
              <w:rPr>
                <w:rFonts w:cs="Times New Roman"/>
                <w:b w:val="0"/>
                <w:lang w:val="en-US"/>
              </w:rPr>
              <w:t>0.1284</w:t>
            </w:r>
          </w:p>
        </w:tc>
        <w:tc>
          <w:tcPr>
            <w:tcW w:w="0" w:type="auto"/>
          </w:tcPr>
          <w:p w14:paraId="6EE11A3F" w14:textId="77777777" w:rsidR="0072282A" w:rsidRPr="00084F2E" w:rsidRDefault="00AB1BEC">
            <w:pPr>
              <w:spacing w:line="360" w:lineRule="auto"/>
              <w:rPr>
                <w:rFonts w:cs="Times New Roman"/>
                <w:b w:val="0"/>
                <w:lang w:val="en-US"/>
              </w:rPr>
            </w:pPr>
            <w:r w:rsidRPr="00084F2E">
              <w:rPr>
                <w:rFonts w:cs="Times New Roman"/>
                <w:b w:val="0"/>
                <w:lang w:val="en-US"/>
              </w:rPr>
              <w:t>-0.18</w:t>
            </w:r>
          </w:p>
        </w:tc>
        <w:tc>
          <w:tcPr>
            <w:tcW w:w="0" w:type="auto"/>
          </w:tcPr>
          <w:p w14:paraId="4CB8E03E" w14:textId="77777777" w:rsidR="0072282A" w:rsidRPr="00084F2E" w:rsidRDefault="00AB1BEC">
            <w:pPr>
              <w:spacing w:line="360" w:lineRule="auto"/>
              <w:rPr>
                <w:rFonts w:cs="Times New Roman"/>
                <w:b w:val="0"/>
                <w:lang w:val="en-US"/>
              </w:rPr>
            </w:pPr>
            <w:r w:rsidRPr="00084F2E">
              <w:rPr>
                <w:rFonts w:cs="Times New Roman"/>
                <w:b w:val="0"/>
                <w:lang w:val="en-US"/>
              </w:rPr>
              <w:t>0.865</w:t>
            </w:r>
          </w:p>
        </w:tc>
      </w:tr>
      <w:tr w:rsidR="00084F2E" w:rsidRPr="00084F2E" w14:paraId="20FCD027" w14:textId="77777777">
        <w:trPr>
          <w:trHeight w:val="664"/>
        </w:trPr>
        <w:tc>
          <w:tcPr>
            <w:tcW w:w="0" w:type="auto"/>
          </w:tcPr>
          <w:p w14:paraId="155EFCF6" w14:textId="77777777" w:rsidR="0072282A" w:rsidRPr="00084F2E" w:rsidRDefault="00AB1BEC">
            <w:pPr>
              <w:spacing w:line="360" w:lineRule="auto"/>
              <w:rPr>
                <w:rFonts w:cs="Times New Roman"/>
                <w:b w:val="0"/>
                <w:lang w:val="en-US"/>
              </w:rPr>
            </w:pPr>
            <w:r w:rsidRPr="00084F2E">
              <w:rPr>
                <w:rFonts w:cs="Times New Roman"/>
                <w:b w:val="0"/>
                <w:bCs/>
                <w:lang w:val="en-US"/>
              </w:rPr>
              <w:t>Gross_nationalsavings (Lag 1)</w:t>
            </w:r>
          </w:p>
        </w:tc>
        <w:tc>
          <w:tcPr>
            <w:tcW w:w="0" w:type="auto"/>
          </w:tcPr>
          <w:p w14:paraId="781B253B" w14:textId="77777777" w:rsidR="0072282A" w:rsidRPr="00084F2E" w:rsidRDefault="00AB1BEC">
            <w:pPr>
              <w:spacing w:line="360" w:lineRule="auto"/>
              <w:rPr>
                <w:rFonts w:cs="Times New Roman"/>
                <w:b w:val="0"/>
                <w:lang w:val="en-US"/>
              </w:rPr>
            </w:pPr>
            <w:r w:rsidRPr="00084F2E">
              <w:rPr>
                <w:rFonts w:cs="Times New Roman"/>
                <w:b w:val="0"/>
                <w:lang w:val="en-US"/>
              </w:rPr>
              <w:t>0.3000</w:t>
            </w:r>
          </w:p>
        </w:tc>
        <w:tc>
          <w:tcPr>
            <w:tcW w:w="0" w:type="auto"/>
          </w:tcPr>
          <w:p w14:paraId="44704DA8" w14:textId="77777777" w:rsidR="0072282A" w:rsidRPr="00084F2E" w:rsidRDefault="00AB1BEC">
            <w:pPr>
              <w:spacing w:line="360" w:lineRule="auto"/>
              <w:rPr>
                <w:rFonts w:cs="Times New Roman"/>
                <w:b w:val="0"/>
                <w:lang w:val="en-US"/>
              </w:rPr>
            </w:pPr>
            <w:r w:rsidRPr="00084F2E">
              <w:rPr>
                <w:rFonts w:cs="Times New Roman"/>
                <w:b w:val="0"/>
                <w:lang w:val="en-US"/>
              </w:rPr>
              <w:t>0.1463</w:t>
            </w:r>
          </w:p>
        </w:tc>
        <w:tc>
          <w:tcPr>
            <w:tcW w:w="0" w:type="auto"/>
          </w:tcPr>
          <w:p w14:paraId="235FFE60" w14:textId="77777777" w:rsidR="0072282A" w:rsidRPr="00084F2E" w:rsidRDefault="00AB1BEC">
            <w:pPr>
              <w:spacing w:line="360" w:lineRule="auto"/>
              <w:rPr>
                <w:rFonts w:cs="Times New Roman"/>
                <w:b w:val="0"/>
                <w:lang w:val="en-US"/>
              </w:rPr>
            </w:pPr>
            <w:r w:rsidRPr="00084F2E">
              <w:rPr>
                <w:rFonts w:cs="Times New Roman"/>
                <w:b w:val="0"/>
                <w:lang w:val="en-US"/>
              </w:rPr>
              <w:t>2.11</w:t>
            </w:r>
          </w:p>
        </w:tc>
        <w:tc>
          <w:tcPr>
            <w:tcW w:w="0" w:type="auto"/>
          </w:tcPr>
          <w:p w14:paraId="34AE6245" w14:textId="77777777" w:rsidR="0072282A" w:rsidRPr="00084F2E" w:rsidRDefault="00AB1BEC">
            <w:pPr>
              <w:spacing w:line="360" w:lineRule="auto"/>
              <w:rPr>
                <w:rFonts w:cs="Times New Roman"/>
                <w:b w:val="0"/>
                <w:lang w:val="en-US"/>
              </w:rPr>
            </w:pPr>
            <w:r w:rsidRPr="00084F2E">
              <w:rPr>
                <w:rFonts w:cs="Times New Roman"/>
                <w:b w:val="0"/>
                <w:lang w:val="en-US"/>
              </w:rPr>
              <w:t>0.068</w:t>
            </w:r>
          </w:p>
        </w:tc>
      </w:tr>
      <w:tr w:rsidR="00084F2E" w:rsidRPr="00084F2E" w14:paraId="1823975E" w14:textId="77777777">
        <w:trPr>
          <w:trHeight w:val="684"/>
        </w:trPr>
        <w:tc>
          <w:tcPr>
            <w:tcW w:w="0" w:type="auto"/>
          </w:tcPr>
          <w:p w14:paraId="1DCA2EE7" w14:textId="77777777" w:rsidR="0072282A" w:rsidRPr="00084F2E" w:rsidRDefault="00AB1BEC">
            <w:pPr>
              <w:spacing w:line="360" w:lineRule="auto"/>
              <w:rPr>
                <w:rFonts w:cs="Times New Roman"/>
                <w:b w:val="0"/>
                <w:lang w:val="en-US"/>
              </w:rPr>
            </w:pPr>
            <w:r w:rsidRPr="00084F2E">
              <w:rPr>
                <w:rFonts w:cs="Times New Roman"/>
                <w:b w:val="0"/>
                <w:bCs/>
                <w:lang w:val="en-US"/>
              </w:rPr>
              <w:t>Gross_nationalsavings (Lag 2)</w:t>
            </w:r>
          </w:p>
        </w:tc>
        <w:tc>
          <w:tcPr>
            <w:tcW w:w="0" w:type="auto"/>
          </w:tcPr>
          <w:p w14:paraId="70761960" w14:textId="77777777" w:rsidR="0072282A" w:rsidRPr="00084F2E" w:rsidRDefault="00AB1BEC">
            <w:pPr>
              <w:spacing w:line="360" w:lineRule="auto"/>
              <w:rPr>
                <w:rFonts w:cs="Times New Roman"/>
                <w:b w:val="0"/>
                <w:lang w:val="en-US"/>
              </w:rPr>
            </w:pPr>
            <w:r w:rsidRPr="00084F2E">
              <w:rPr>
                <w:rFonts w:cs="Times New Roman"/>
                <w:b w:val="0"/>
                <w:bCs/>
                <w:lang w:val="en-US"/>
              </w:rPr>
              <w:t>0.3955</w:t>
            </w:r>
          </w:p>
        </w:tc>
        <w:tc>
          <w:tcPr>
            <w:tcW w:w="0" w:type="auto"/>
          </w:tcPr>
          <w:p w14:paraId="7DB86052" w14:textId="77777777" w:rsidR="0072282A" w:rsidRPr="00084F2E" w:rsidRDefault="00AB1BEC">
            <w:pPr>
              <w:spacing w:line="360" w:lineRule="auto"/>
              <w:rPr>
                <w:rFonts w:cs="Times New Roman"/>
                <w:b w:val="0"/>
                <w:lang w:val="en-US"/>
              </w:rPr>
            </w:pPr>
            <w:r w:rsidRPr="00084F2E">
              <w:rPr>
                <w:rFonts w:cs="Times New Roman"/>
                <w:b w:val="0"/>
                <w:lang w:val="en-US"/>
              </w:rPr>
              <w:t>0.1479</w:t>
            </w:r>
          </w:p>
        </w:tc>
        <w:tc>
          <w:tcPr>
            <w:tcW w:w="0" w:type="auto"/>
          </w:tcPr>
          <w:p w14:paraId="25543216" w14:textId="77777777" w:rsidR="0072282A" w:rsidRPr="00084F2E" w:rsidRDefault="00AB1BEC">
            <w:pPr>
              <w:spacing w:line="360" w:lineRule="auto"/>
              <w:rPr>
                <w:rFonts w:cs="Times New Roman"/>
                <w:b w:val="0"/>
                <w:lang w:val="en-US"/>
              </w:rPr>
            </w:pPr>
            <w:r w:rsidRPr="00084F2E">
              <w:rPr>
                <w:rFonts w:cs="Times New Roman"/>
                <w:b w:val="0"/>
                <w:lang w:val="en-US"/>
              </w:rPr>
              <w:t>2.67</w:t>
            </w:r>
          </w:p>
        </w:tc>
        <w:tc>
          <w:tcPr>
            <w:tcW w:w="0" w:type="auto"/>
          </w:tcPr>
          <w:p w14:paraId="2A12390E" w14:textId="77777777" w:rsidR="0072282A" w:rsidRPr="00084F2E" w:rsidRDefault="00AB1BEC">
            <w:pPr>
              <w:spacing w:line="360" w:lineRule="auto"/>
              <w:rPr>
                <w:rFonts w:cs="Times New Roman"/>
                <w:b w:val="0"/>
                <w:lang w:val="en-US"/>
              </w:rPr>
            </w:pPr>
            <w:r w:rsidRPr="00084F2E">
              <w:rPr>
                <w:rFonts w:cs="Times New Roman"/>
                <w:b w:val="0"/>
                <w:bCs/>
                <w:lang w:val="en-US"/>
              </w:rPr>
              <w:t>0.028</w:t>
            </w:r>
          </w:p>
        </w:tc>
      </w:tr>
      <w:tr w:rsidR="00084F2E" w:rsidRPr="00084F2E" w14:paraId="23707195" w14:textId="77777777">
        <w:trPr>
          <w:trHeight w:val="664"/>
        </w:trPr>
        <w:tc>
          <w:tcPr>
            <w:tcW w:w="0" w:type="auto"/>
          </w:tcPr>
          <w:p w14:paraId="74A6CED7" w14:textId="77777777" w:rsidR="0072282A" w:rsidRPr="00084F2E" w:rsidRDefault="00AB1BEC">
            <w:pPr>
              <w:spacing w:line="360" w:lineRule="auto"/>
              <w:rPr>
                <w:rFonts w:cs="Times New Roman"/>
                <w:b w:val="0"/>
                <w:lang w:val="en-US"/>
              </w:rPr>
            </w:pPr>
            <w:r w:rsidRPr="00084F2E">
              <w:rPr>
                <w:rFonts w:cs="Times New Roman"/>
                <w:b w:val="0"/>
                <w:bCs/>
                <w:lang w:val="en-US"/>
              </w:rPr>
              <w:t>Indirect_tax_revenue (L0)</w:t>
            </w:r>
          </w:p>
        </w:tc>
        <w:tc>
          <w:tcPr>
            <w:tcW w:w="0" w:type="auto"/>
          </w:tcPr>
          <w:p w14:paraId="3E59F728" w14:textId="77777777" w:rsidR="0072282A" w:rsidRPr="00084F2E" w:rsidRDefault="00AB1BEC">
            <w:pPr>
              <w:spacing w:line="360" w:lineRule="auto"/>
              <w:rPr>
                <w:rFonts w:cs="Times New Roman"/>
                <w:b w:val="0"/>
                <w:lang w:val="en-US"/>
              </w:rPr>
            </w:pPr>
            <w:r w:rsidRPr="00084F2E">
              <w:rPr>
                <w:rFonts w:cs="Times New Roman"/>
                <w:b w:val="0"/>
                <w:lang w:val="en-US"/>
              </w:rPr>
              <w:t>-0.2195</w:t>
            </w:r>
          </w:p>
        </w:tc>
        <w:tc>
          <w:tcPr>
            <w:tcW w:w="0" w:type="auto"/>
          </w:tcPr>
          <w:p w14:paraId="1C6B867C" w14:textId="77777777" w:rsidR="0072282A" w:rsidRPr="00084F2E" w:rsidRDefault="00AB1BEC">
            <w:pPr>
              <w:spacing w:line="360" w:lineRule="auto"/>
              <w:rPr>
                <w:rFonts w:cs="Times New Roman"/>
                <w:b w:val="0"/>
                <w:lang w:val="en-US"/>
              </w:rPr>
            </w:pPr>
            <w:r w:rsidRPr="00084F2E">
              <w:rPr>
                <w:rFonts w:cs="Times New Roman"/>
                <w:b w:val="0"/>
                <w:lang w:val="en-US"/>
              </w:rPr>
              <w:t>0.1449</w:t>
            </w:r>
          </w:p>
        </w:tc>
        <w:tc>
          <w:tcPr>
            <w:tcW w:w="0" w:type="auto"/>
          </w:tcPr>
          <w:p w14:paraId="64130B6D" w14:textId="77777777" w:rsidR="0072282A" w:rsidRPr="00084F2E" w:rsidRDefault="00AB1BEC">
            <w:pPr>
              <w:spacing w:line="360" w:lineRule="auto"/>
              <w:rPr>
                <w:rFonts w:cs="Times New Roman"/>
                <w:b w:val="0"/>
                <w:lang w:val="en-US"/>
              </w:rPr>
            </w:pPr>
            <w:r w:rsidRPr="00084F2E">
              <w:rPr>
                <w:rFonts w:cs="Times New Roman"/>
                <w:b w:val="0"/>
                <w:lang w:val="en-US"/>
              </w:rPr>
              <w:t>-1.51</w:t>
            </w:r>
          </w:p>
        </w:tc>
        <w:tc>
          <w:tcPr>
            <w:tcW w:w="0" w:type="auto"/>
          </w:tcPr>
          <w:p w14:paraId="49AA4045" w14:textId="77777777" w:rsidR="0072282A" w:rsidRPr="00084F2E" w:rsidRDefault="00AB1BEC">
            <w:pPr>
              <w:spacing w:line="360" w:lineRule="auto"/>
              <w:rPr>
                <w:rFonts w:cs="Times New Roman"/>
                <w:b w:val="0"/>
                <w:lang w:val="en-US"/>
              </w:rPr>
            </w:pPr>
            <w:r w:rsidRPr="00084F2E">
              <w:rPr>
                <w:rFonts w:cs="Times New Roman"/>
                <w:b w:val="0"/>
                <w:lang w:val="en-US"/>
              </w:rPr>
              <w:t>0.168</w:t>
            </w:r>
          </w:p>
        </w:tc>
      </w:tr>
      <w:tr w:rsidR="00084F2E" w:rsidRPr="00084F2E" w14:paraId="59CD504A" w14:textId="77777777">
        <w:trPr>
          <w:trHeight w:val="664"/>
        </w:trPr>
        <w:tc>
          <w:tcPr>
            <w:tcW w:w="0" w:type="auto"/>
          </w:tcPr>
          <w:p w14:paraId="2BC224CA" w14:textId="77777777" w:rsidR="0072282A" w:rsidRPr="00084F2E" w:rsidRDefault="00AB1BEC">
            <w:pPr>
              <w:spacing w:line="360" w:lineRule="auto"/>
              <w:rPr>
                <w:rFonts w:cs="Times New Roman"/>
                <w:b w:val="0"/>
                <w:lang w:val="en-US"/>
              </w:rPr>
            </w:pPr>
            <w:r w:rsidRPr="00084F2E">
              <w:rPr>
                <w:rFonts w:cs="Times New Roman"/>
                <w:b w:val="0"/>
                <w:bCs/>
                <w:lang w:val="en-US"/>
              </w:rPr>
              <w:t>Indirect_tax_revenue (Lag 1)</w:t>
            </w:r>
          </w:p>
        </w:tc>
        <w:tc>
          <w:tcPr>
            <w:tcW w:w="0" w:type="auto"/>
          </w:tcPr>
          <w:p w14:paraId="520A340C" w14:textId="77777777" w:rsidR="0072282A" w:rsidRPr="00084F2E" w:rsidRDefault="00AB1BEC">
            <w:pPr>
              <w:spacing w:line="360" w:lineRule="auto"/>
              <w:rPr>
                <w:rFonts w:cs="Times New Roman"/>
                <w:b w:val="0"/>
                <w:lang w:val="en-US"/>
              </w:rPr>
            </w:pPr>
            <w:r w:rsidRPr="00084F2E">
              <w:rPr>
                <w:rFonts w:cs="Times New Roman"/>
                <w:b w:val="0"/>
                <w:bCs/>
                <w:lang w:val="en-US"/>
              </w:rPr>
              <w:t>-0.5055</w:t>
            </w:r>
          </w:p>
        </w:tc>
        <w:tc>
          <w:tcPr>
            <w:tcW w:w="0" w:type="auto"/>
          </w:tcPr>
          <w:p w14:paraId="6C7B81F4" w14:textId="77777777" w:rsidR="0072282A" w:rsidRPr="00084F2E" w:rsidRDefault="00AB1BEC">
            <w:pPr>
              <w:spacing w:line="360" w:lineRule="auto"/>
              <w:rPr>
                <w:rFonts w:cs="Times New Roman"/>
                <w:b w:val="0"/>
                <w:lang w:val="en-US"/>
              </w:rPr>
            </w:pPr>
            <w:r w:rsidRPr="00084F2E">
              <w:rPr>
                <w:rFonts w:cs="Times New Roman"/>
                <w:b w:val="0"/>
                <w:lang w:val="en-US"/>
              </w:rPr>
              <w:t>0.1493</w:t>
            </w:r>
          </w:p>
        </w:tc>
        <w:tc>
          <w:tcPr>
            <w:tcW w:w="0" w:type="auto"/>
          </w:tcPr>
          <w:p w14:paraId="5935666C" w14:textId="77777777" w:rsidR="0072282A" w:rsidRPr="00084F2E" w:rsidRDefault="00AB1BEC">
            <w:pPr>
              <w:spacing w:line="360" w:lineRule="auto"/>
              <w:rPr>
                <w:rFonts w:cs="Times New Roman"/>
                <w:b w:val="0"/>
                <w:lang w:val="en-US"/>
              </w:rPr>
            </w:pPr>
            <w:r w:rsidRPr="00084F2E">
              <w:rPr>
                <w:rFonts w:cs="Times New Roman"/>
                <w:b w:val="0"/>
                <w:lang w:val="en-US"/>
              </w:rPr>
              <w:t>-3.39</w:t>
            </w:r>
          </w:p>
        </w:tc>
        <w:tc>
          <w:tcPr>
            <w:tcW w:w="0" w:type="auto"/>
          </w:tcPr>
          <w:p w14:paraId="70A735F1" w14:textId="77777777" w:rsidR="0072282A" w:rsidRPr="00084F2E" w:rsidRDefault="00AB1BEC">
            <w:pPr>
              <w:spacing w:line="360" w:lineRule="auto"/>
              <w:rPr>
                <w:rFonts w:cs="Times New Roman"/>
                <w:b w:val="0"/>
                <w:lang w:val="en-US"/>
              </w:rPr>
            </w:pPr>
            <w:r w:rsidRPr="00084F2E">
              <w:rPr>
                <w:rFonts w:cs="Times New Roman"/>
                <w:b w:val="0"/>
                <w:bCs/>
                <w:lang w:val="en-US"/>
              </w:rPr>
              <w:t>0.005</w:t>
            </w:r>
          </w:p>
        </w:tc>
      </w:tr>
      <w:tr w:rsidR="00084F2E" w:rsidRPr="00084F2E" w14:paraId="1A4AC119" w14:textId="77777777">
        <w:trPr>
          <w:trHeight w:val="684"/>
        </w:trPr>
        <w:tc>
          <w:tcPr>
            <w:tcW w:w="0" w:type="auto"/>
          </w:tcPr>
          <w:p w14:paraId="348E1CE5" w14:textId="77777777" w:rsidR="0072282A" w:rsidRPr="00084F2E" w:rsidRDefault="00AB1BEC">
            <w:pPr>
              <w:spacing w:line="360" w:lineRule="auto"/>
              <w:rPr>
                <w:rFonts w:cs="Times New Roman"/>
                <w:b w:val="0"/>
                <w:lang w:val="en-US"/>
              </w:rPr>
            </w:pPr>
            <w:r w:rsidRPr="00084F2E">
              <w:rPr>
                <w:rFonts w:cs="Times New Roman"/>
                <w:b w:val="0"/>
                <w:bCs/>
                <w:lang w:val="en-US"/>
              </w:rPr>
              <w:t>Indirect_tax_revenue (Lag 2)</w:t>
            </w:r>
          </w:p>
        </w:tc>
        <w:tc>
          <w:tcPr>
            <w:tcW w:w="0" w:type="auto"/>
          </w:tcPr>
          <w:p w14:paraId="4AF75A41" w14:textId="77777777" w:rsidR="0072282A" w:rsidRPr="00084F2E" w:rsidRDefault="00AB1BEC">
            <w:pPr>
              <w:spacing w:line="360" w:lineRule="auto"/>
              <w:rPr>
                <w:rFonts w:cs="Times New Roman"/>
                <w:b w:val="0"/>
                <w:lang w:val="en-US"/>
              </w:rPr>
            </w:pPr>
            <w:r w:rsidRPr="00084F2E">
              <w:rPr>
                <w:rFonts w:cs="Times New Roman"/>
                <w:b w:val="0"/>
                <w:bCs/>
                <w:lang w:val="en-US"/>
              </w:rPr>
              <w:t>-1.3371</w:t>
            </w:r>
          </w:p>
        </w:tc>
        <w:tc>
          <w:tcPr>
            <w:tcW w:w="0" w:type="auto"/>
          </w:tcPr>
          <w:p w14:paraId="0E4E3A05" w14:textId="77777777" w:rsidR="0072282A" w:rsidRPr="00084F2E" w:rsidRDefault="00AB1BEC">
            <w:pPr>
              <w:spacing w:line="360" w:lineRule="auto"/>
              <w:rPr>
                <w:rFonts w:cs="Times New Roman"/>
                <w:b w:val="0"/>
                <w:lang w:val="en-US"/>
              </w:rPr>
            </w:pPr>
            <w:r w:rsidRPr="00084F2E">
              <w:rPr>
                <w:rFonts w:cs="Times New Roman"/>
                <w:b w:val="0"/>
                <w:lang w:val="en-US"/>
              </w:rPr>
              <w:t>0.1419</w:t>
            </w:r>
          </w:p>
        </w:tc>
        <w:tc>
          <w:tcPr>
            <w:tcW w:w="0" w:type="auto"/>
          </w:tcPr>
          <w:p w14:paraId="6A149374" w14:textId="77777777" w:rsidR="0072282A" w:rsidRPr="00084F2E" w:rsidRDefault="00AB1BEC">
            <w:pPr>
              <w:spacing w:line="360" w:lineRule="auto"/>
              <w:rPr>
                <w:rFonts w:cs="Times New Roman"/>
                <w:b w:val="0"/>
                <w:lang w:val="en-US"/>
              </w:rPr>
            </w:pPr>
            <w:r w:rsidRPr="00084F2E">
              <w:rPr>
                <w:rFonts w:cs="Times New Roman"/>
                <w:b w:val="0"/>
                <w:lang w:val="en-US"/>
              </w:rPr>
              <w:t>-9.42</w:t>
            </w:r>
          </w:p>
        </w:tc>
        <w:tc>
          <w:tcPr>
            <w:tcW w:w="0" w:type="auto"/>
          </w:tcPr>
          <w:p w14:paraId="3269A77A" w14:textId="77777777" w:rsidR="0072282A" w:rsidRPr="00084F2E" w:rsidRDefault="00AB1BEC">
            <w:pPr>
              <w:spacing w:line="360" w:lineRule="auto"/>
              <w:rPr>
                <w:rFonts w:cs="Times New Roman"/>
                <w:b w:val="0"/>
                <w:lang w:val="en-US"/>
              </w:rPr>
            </w:pPr>
            <w:r w:rsidRPr="00084F2E">
              <w:rPr>
                <w:rFonts w:cs="Times New Roman"/>
                <w:b w:val="0"/>
                <w:bCs/>
                <w:lang w:val="en-US"/>
              </w:rPr>
              <w:t>0.000</w:t>
            </w:r>
          </w:p>
        </w:tc>
      </w:tr>
      <w:tr w:rsidR="00084F2E" w:rsidRPr="00084F2E" w14:paraId="1F5E0E39" w14:textId="77777777">
        <w:trPr>
          <w:trHeight w:val="684"/>
        </w:trPr>
        <w:tc>
          <w:tcPr>
            <w:tcW w:w="0" w:type="auto"/>
          </w:tcPr>
          <w:p w14:paraId="0806E827" w14:textId="77777777" w:rsidR="0072282A" w:rsidRPr="00084F2E" w:rsidRDefault="00AB1BEC">
            <w:pPr>
              <w:spacing w:line="360" w:lineRule="auto"/>
              <w:rPr>
                <w:rFonts w:cs="Times New Roman"/>
                <w:b w:val="0"/>
                <w:lang w:val="en-US"/>
              </w:rPr>
            </w:pPr>
            <w:r w:rsidRPr="00084F2E">
              <w:rPr>
                <w:rFonts w:cs="Times New Roman"/>
                <w:b w:val="0"/>
                <w:bCs/>
                <w:lang w:val="en-US"/>
              </w:rPr>
              <w:t>Gornt_debt (L0)</w:t>
            </w:r>
          </w:p>
        </w:tc>
        <w:tc>
          <w:tcPr>
            <w:tcW w:w="0" w:type="auto"/>
          </w:tcPr>
          <w:p w14:paraId="0C04DDC3" w14:textId="77777777" w:rsidR="0072282A" w:rsidRPr="00084F2E" w:rsidRDefault="00AB1BEC">
            <w:pPr>
              <w:spacing w:line="360" w:lineRule="auto"/>
              <w:rPr>
                <w:rFonts w:cs="Times New Roman"/>
                <w:b w:val="0"/>
                <w:lang w:val="en-US"/>
              </w:rPr>
            </w:pPr>
            <w:r w:rsidRPr="00084F2E">
              <w:rPr>
                <w:rFonts w:cs="Times New Roman"/>
                <w:b w:val="0"/>
                <w:bCs/>
                <w:lang w:val="en-US"/>
              </w:rPr>
              <w:t>1.9952</w:t>
            </w:r>
          </w:p>
        </w:tc>
        <w:tc>
          <w:tcPr>
            <w:tcW w:w="0" w:type="auto"/>
          </w:tcPr>
          <w:p w14:paraId="31BC4128" w14:textId="77777777" w:rsidR="0072282A" w:rsidRPr="00084F2E" w:rsidRDefault="00AB1BEC">
            <w:pPr>
              <w:spacing w:line="360" w:lineRule="auto"/>
              <w:rPr>
                <w:rFonts w:cs="Times New Roman"/>
                <w:b w:val="0"/>
                <w:lang w:val="en-US"/>
              </w:rPr>
            </w:pPr>
            <w:r w:rsidRPr="00084F2E">
              <w:rPr>
                <w:rFonts w:cs="Times New Roman"/>
                <w:b w:val="0"/>
                <w:lang w:val="en-US"/>
              </w:rPr>
              <w:t>0.2241</w:t>
            </w:r>
          </w:p>
        </w:tc>
        <w:tc>
          <w:tcPr>
            <w:tcW w:w="0" w:type="auto"/>
          </w:tcPr>
          <w:p w14:paraId="1E1C61AB" w14:textId="77777777" w:rsidR="0072282A" w:rsidRPr="00084F2E" w:rsidRDefault="00AB1BEC">
            <w:pPr>
              <w:spacing w:line="360" w:lineRule="auto"/>
              <w:rPr>
                <w:rFonts w:cs="Times New Roman"/>
                <w:b w:val="0"/>
                <w:lang w:val="en-US"/>
              </w:rPr>
            </w:pPr>
            <w:r w:rsidRPr="00084F2E">
              <w:rPr>
                <w:rFonts w:cs="Times New Roman"/>
                <w:b w:val="0"/>
                <w:lang w:val="en-US"/>
              </w:rPr>
              <w:t>8.90</w:t>
            </w:r>
          </w:p>
        </w:tc>
        <w:tc>
          <w:tcPr>
            <w:tcW w:w="0" w:type="auto"/>
          </w:tcPr>
          <w:p w14:paraId="41DB9132" w14:textId="77777777" w:rsidR="0072282A" w:rsidRPr="00084F2E" w:rsidRDefault="00AB1BEC">
            <w:pPr>
              <w:spacing w:line="360" w:lineRule="auto"/>
              <w:rPr>
                <w:rFonts w:cs="Times New Roman"/>
                <w:b w:val="0"/>
                <w:lang w:val="en-US"/>
              </w:rPr>
            </w:pPr>
            <w:r w:rsidRPr="00084F2E">
              <w:rPr>
                <w:rFonts w:cs="Times New Roman"/>
                <w:b w:val="0"/>
                <w:bCs/>
                <w:lang w:val="en-US"/>
              </w:rPr>
              <w:t>0.000</w:t>
            </w:r>
          </w:p>
        </w:tc>
      </w:tr>
      <w:tr w:rsidR="00084F2E" w:rsidRPr="00084F2E" w14:paraId="288FA86B" w14:textId="77777777">
        <w:trPr>
          <w:trHeight w:val="645"/>
        </w:trPr>
        <w:tc>
          <w:tcPr>
            <w:tcW w:w="0" w:type="auto"/>
          </w:tcPr>
          <w:p w14:paraId="76545920" w14:textId="77777777" w:rsidR="0072282A" w:rsidRPr="00084F2E" w:rsidRDefault="00AB1BEC">
            <w:pPr>
              <w:spacing w:line="360" w:lineRule="auto"/>
              <w:rPr>
                <w:rFonts w:cs="Times New Roman"/>
                <w:b w:val="0"/>
                <w:lang w:val="en-US"/>
              </w:rPr>
            </w:pPr>
            <w:r w:rsidRPr="00084F2E">
              <w:rPr>
                <w:rFonts w:cs="Times New Roman"/>
                <w:b w:val="0"/>
                <w:bCs/>
                <w:lang w:val="en-US"/>
              </w:rPr>
              <w:t>Gornt_debt (Lag 1)</w:t>
            </w:r>
          </w:p>
        </w:tc>
        <w:tc>
          <w:tcPr>
            <w:tcW w:w="0" w:type="auto"/>
          </w:tcPr>
          <w:p w14:paraId="1CEC1837" w14:textId="77777777" w:rsidR="0072282A" w:rsidRPr="00084F2E" w:rsidRDefault="00AB1BEC">
            <w:pPr>
              <w:spacing w:line="360" w:lineRule="auto"/>
              <w:rPr>
                <w:rFonts w:cs="Times New Roman"/>
                <w:b w:val="0"/>
                <w:lang w:val="en-US"/>
              </w:rPr>
            </w:pPr>
            <w:r w:rsidRPr="00084F2E">
              <w:rPr>
                <w:rFonts w:cs="Times New Roman"/>
                <w:b w:val="0"/>
                <w:lang w:val="en-US"/>
              </w:rPr>
              <w:t>-0.2369</w:t>
            </w:r>
          </w:p>
        </w:tc>
        <w:tc>
          <w:tcPr>
            <w:tcW w:w="0" w:type="auto"/>
          </w:tcPr>
          <w:p w14:paraId="2869A590" w14:textId="77777777" w:rsidR="0072282A" w:rsidRPr="00084F2E" w:rsidRDefault="00AB1BEC">
            <w:pPr>
              <w:spacing w:line="360" w:lineRule="auto"/>
              <w:rPr>
                <w:rFonts w:cs="Times New Roman"/>
                <w:b w:val="0"/>
                <w:lang w:val="en-US"/>
              </w:rPr>
            </w:pPr>
            <w:r w:rsidRPr="00084F2E">
              <w:rPr>
                <w:rFonts w:cs="Times New Roman"/>
                <w:b w:val="0"/>
                <w:lang w:val="en-US"/>
              </w:rPr>
              <w:t>0.1777</w:t>
            </w:r>
          </w:p>
        </w:tc>
        <w:tc>
          <w:tcPr>
            <w:tcW w:w="0" w:type="auto"/>
          </w:tcPr>
          <w:p w14:paraId="780145E6" w14:textId="77777777" w:rsidR="0072282A" w:rsidRPr="00084F2E" w:rsidRDefault="00AB1BEC">
            <w:pPr>
              <w:spacing w:line="360" w:lineRule="auto"/>
              <w:rPr>
                <w:rFonts w:cs="Times New Roman"/>
                <w:b w:val="0"/>
                <w:lang w:val="en-US"/>
              </w:rPr>
            </w:pPr>
            <w:r w:rsidRPr="00084F2E">
              <w:rPr>
                <w:rFonts w:cs="Times New Roman"/>
                <w:b w:val="0"/>
                <w:lang w:val="en-US"/>
              </w:rPr>
              <w:t>-1.33</w:t>
            </w:r>
          </w:p>
        </w:tc>
        <w:tc>
          <w:tcPr>
            <w:tcW w:w="0" w:type="auto"/>
          </w:tcPr>
          <w:p w14:paraId="63E3786C" w14:textId="77777777" w:rsidR="0072282A" w:rsidRPr="00084F2E" w:rsidRDefault="00AB1BEC">
            <w:pPr>
              <w:spacing w:line="360" w:lineRule="auto"/>
              <w:rPr>
                <w:rFonts w:cs="Times New Roman"/>
                <w:b w:val="0"/>
                <w:lang w:val="en-US"/>
              </w:rPr>
            </w:pPr>
            <w:r w:rsidRPr="00084F2E">
              <w:rPr>
                <w:rFonts w:cs="Times New Roman"/>
                <w:b w:val="0"/>
                <w:lang w:val="en-US"/>
              </w:rPr>
              <w:t>0.219</w:t>
            </w:r>
          </w:p>
        </w:tc>
      </w:tr>
      <w:tr w:rsidR="00084F2E" w:rsidRPr="00084F2E" w14:paraId="2DAFE74F" w14:textId="77777777">
        <w:trPr>
          <w:trHeight w:val="684"/>
        </w:trPr>
        <w:tc>
          <w:tcPr>
            <w:tcW w:w="0" w:type="auto"/>
          </w:tcPr>
          <w:p w14:paraId="578613D5" w14:textId="77777777" w:rsidR="0072282A" w:rsidRPr="00084F2E" w:rsidRDefault="00AB1BEC">
            <w:pPr>
              <w:spacing w:line="360" w:lineRule="auto"/>
              <w:rPr>
                <w:rFonts w:cs="Times New Roman"/>
                <w:b w:val="0"/>
                <w:lang w:val="en-US"/>
              </w:rPr>
            </w:pPr>
            <w:r w:rsidRPr="00084F2E">
              <w:rPr>
                <w:rFonts w:cs="Times New Roman"/>
                <w:b w:val="0"/>
                <w:bCs/>
                <w:lang w:val="en-US"/>
              </w:rPr>
              <w:t>Constant</w:t>
            </w:r>
          </w:p>
        </w:tc>
        <w:tc>
          <w:tcPr>
            <w:tcW w:w="0" w:type="auto"/>
          </w:tcPr>
          <w:p w14:paraId="4DB3C04C" w14:textId="77777777" w:rsidR="0072282A" w:rsidRPr="00084F2E" w:rsidRDefault="00AB1BEC">
            <w:pPr>
              <w:spacing w:line="360" w:lineRule="auto"/>
              <w:rPr>
                <w:rFonts w:cs="Times New Roman"/>
                <w:b w:val="0"/>
                <w:lang w:val="en-US"/>
              </w:rPr>
            </w:pPr>
            <w:r w:rsidRPr="00084F2E">
              <w:rPr>
                <w:rFonts w:cs="Times New Roman"/>
                <w:b w:val="0"/>
                <w:bCs/>
                <w:lang w:val="en-US"/>
              </w:rPr>
              <w:t>-16.3819</w:t>
            </w:r>
          </w:p>
        </w:tc>
        <w:tc>
          <w:tcPr>
            <w:tcW w:w="0" w:type="auto"/>
          </w:tcPr>
          <w:p w14:paraId="03E50F5C" w14:textId="77777777" w:rsidR="0072282A" w:rsidRPr="00084F2E" w:rsidRDefault="00AB1BEC">
            <w:pPr>
              <w:spacing w:line="360" w:lineRule="auto"/>
              <w:rPr>
                <w:rFonts w:cs="Times New Roman"/>
                <w:b w:val="0"/>
                <w:lang w:val="en-US"/>
              </w:rPr>
            </w:pPr>
            <w:r w:rsidRPr="00084F2E">
              <w:rPr>
                <w:rFonts w:cs="Times New Roman"/>
                <w:b w:val="0"/>
                <w:lang w:val="en-US"/>
              </w:rPr>
              <w:t>2.4343</w:t>
            </w:r>
          </w:p>
        </w:tc>
        <w:tc>
          <w:tcPr>
            <w:tcW w:w="0" w:type="auto"/>
          </w:tcPr>
          <w:p w14:paraId="058AF78B" w14:textId="77777777" w:rsidR="0072282A" w:rsidRPr="00084F2E" w:rsidRDefault="00AB1BEC">
            <w:pPr>
              <w:spacing w:line="360" w:lineRule="auto"/>
              <w:rPr>
                <w:rFonts w:cs="Times New Roman"/>
                <w:b w:val="0"/>
                <w:lang w:val="en-US"/>
              </w:rPr>
            </w:pPr>
            <w:r w:rsidRPr="00084F2E">
              <w:rPr>
                <w:rFonts w:cs="Times New Roman"/>
                <w:b w:val="0"/>
                <w:lang w:val="en-US"/>
              </w:rPr>
              <w:t>-6.73</w:t>
            </w:r>
          </w:p>
        </w:tc>
        <w:tc>
          <w:tcPr>
            <w:tcW w:w="0" w:type="auto"/>
          </w:tcPr>
          <w:p w14:paraId="3F474F09" w14:textId="77777777" w:rsidR="0072282A" w:rsidRPr="00084F2E" w:rsidRDefault="00AB1BEC">
            <w:pPr>
              <w:spacing w:line="360" w:lineRule="auto"/>
              <w:rPr>
                <w:rFonts w:cs="Times New Roman"/>
                <w:b w:val="0"/>
                <w:lang w:val="en-US"/>
              </w:rPr>
            </w:pPr>
            <w:r w:rsidRPr="00084F2E">
              <w:rPr>
                <w:rFonts w:cs="Times New Roman"/>
                <w:b w:val="0"/>
                <w:bCs/>
                <w:lang w:val="en-US"/>
              </w:rPr>
              <w:t>0.000</w:t>
            </w:r>
          </w:p>
        </w:tc>
      </w:tr>
    </w:tbl>
    <w:p w14:paraId="50498FC6" w14:textId="77777777" w:rsidR="0072282A" w:rsidRPr="00084F2E" w:rsidRDefault="00AB1BEC">
      <w:pPr>
        <w:spacing w:before="100" w:beforeAutospacing="1" w:after="100" w:afterAutospacing="1"/>
        <w:rPr>
          <w:rFonts w:cs="Times New Roman"/>
          <w:b w:val="0"/>
          <w:lang w:val="en-US"/>
        </w:rPr>
      </w:pPr>
      <w:r w:rsidRPr="00084F2E">
        <w:rPr>
          <w:rFonts w:cs="Times New Roman"/>
          <w:b w:val="0"/>
          <w:i/>
          <w:iCs/>
          <w:lang w:val="en-US"/>
        </w:rPr>
        <w:t>Note: Bold coefficients indicate statistical significance at the 5% level (p &lt; 0.05). L0 denotes the contemporaneous effect, while Lag 1 and Lag 2 denote effects from one and two years prior, respectively.</w:t>
      </w:r>
    </w:p>
    <w:p w14:paraId="311D831C"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Source: STATA 14 output</w:t>
      </w:r>
    </w:p>
    <w:p w14:paraId="543B9D64"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The Autoregressive Distributed Lag (ARDL) model is employed to examine the dynamic interactions between Export Value and a selection of macroeconomic indicators for the time period between 1995 to 2022. This analysis aims to provide insights into the complex relationships between various economic factors and a country's export performance. The choice of the ARDL model is well-justified for several reasons: First, it can handle a mix of I(0) and I(1) variables, which is important as the Dickey-Fuller test results showed that some variables are stationary at level while others are stationary at first difference. Second, the ARDL model allows for the inclusion of both contemporaneous and lagged values of the independent variables, enabling the analysis to capture the dynamic interactions between the variables. This is crucial in understanding the short-run and long-run effects of the macroeconomic indicators on export value, as evidenced by the significant lagged effects observed in the results. Third, the ARDL approach is particularly suitable for studies with relatively small sample sizes, which is the case in this analysis with 28 observations. Other co-integration techniques, such as the Johansen approach, often require larger sample sizes to provide reliable results. Fourth, the ARDL model can address potential endogeneity issues by including lagged values of the dependent variable as regressors, which helps to control for unobserved heterogeneity and reverse causality. This is important in the context of this analysis, where the dynamic interactions between export value and macroeconomic factors may involve bidirectional relationships. Finally, the ARDL model provides a straightforward interpretation of the short-run and long-run effects of the independent variables on the dependent variable, which aligns with the objectives of this analysis. In summary, the features of the ARDL model make it well-suited to investigate the complex interactions between export value and the selected macroeconomic indicators.</w:t>
      </w:r>
    </w:p>
    <w:p w14:paraId="0E11E577"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The ARDL model demonstrates overall significance with a significant F-statistic of 136.23 and a p-value of 0.0000, suggesting that the independent variables account for a substantial proportion of variation in Export Value. The R-squared value of 0.9969 and adjusted R-squared of 0.9896 indicate a very good fit for the model, suggesting that the model is accounting for nearly all of the variation in Export Value.</w:t>
      </w:r>
    </w:p>
    <w:p w14:paraId="5F9CBB6E"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lang w:val="en-US"/>
        </w:rPr>
        <w:t>The Autoregressive Character of Export Value:</w:t>
      </w:r>
      <w:r w:rsidRPr="00084F2E">
        <w:rPr>
          <w:rFonts w:cs="Times New Roman"/>
          <w:b w:val="0"/>
          <w:lang w:val="en-US"/>
        </w:rPr>
        <w:t xml:space="preserve"> The coefficient on the first lag of Export Value (L1.Export_value) is positive at 0.3275, and is statistically significant at the 1% level (p=0.007). This positive coefficient indicates a stable, albeit diminishing, influence of past export </w:t>
      </w:r>
      <w:r w:rsidRPr="00084F2E">
        <w:rPr>
          <w:rFonts w:cs="Times New Roman"/>
          <w:b w:val="0"/>
          <w:lang w:val="en-US"/>
        </w:rPr>
        <w:lastRenderedPageBreak/>
        <w:t>performance on present export levels. In sum, strong export performance in one period enhances export growth in the subsequent period, suggests some degree of momentum or path dependence in exports. This finding is consistent with economic theorems about the relationship between previous trade linkages or market penetration and future export activity (Korhonen and Ledyaeva, 2020).</w:t>
      </w:r>
    </w:p>
    <w:p w14:paraId="1ACF4374" w14:textId="5A9F96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lang w:val="en-US"/>
        </w:rPr>
        <w:t xml:space="preserve">The Effect of GDP on Export Value: </w:t>
      </w:r>
      <w:r w:rsidRPr="00084F2E">
        <w:rPr>
          <w:rFonts w:cs="Times New Roman"/>
          <w:b w:val="0"/>
          <w:lang w:val="en-US"/>
        </w:rPr>
        <w:t xml:space="preserve">The immediate effect of GDP on Export Value (L0.GDP) </w:t>
      </w:r>
      <w:r w:rsidR="004F3B43" w:rsidRPr="00084F2E">
        <w:rPr>
          <w:rFonts w:cs="Times New Roman"/>
          <w:b w:val="0"/>
          <w:lang w:val="en-US"/>
        </w:rPr>
        <w:t>insignificant</w:t>
      </w:r>
      <w:r w:rsidRPr="00084F2E">
        <w:rPr>
          <w:rFonts w:cs="Times New Roman"/>
          <w:b w:val="0"/>
          <w:lang w:val="en-US"/>
        </w:rPr>
        <w:t>, (-0.2381, p=0.607). The lagged effects are much more complex, as the first lag of GDP (L1.GDP) have a negative, but insignificant coefficient (0.7032, p=0.193). However, the second lag of GDP (L2.DGP) is statistically significant and positive (0.8376, p=0.036). This indicates that instant changes to GDP ultimately do not impact exports, but sustained economic growth over time (after a two-year period), significantly increases the capacity and competitiveness of a country's exports. Whereas instant changes (whether positive or negative) may not interest exporters, over an extended period of economic growth, they will result in more durable surpluses create exportable products. The significant effects of GDP and exports could take time in order for countries to deploy new domestic production, improved infrastructure, or increased industrial capacity as related to new exportable surpluses, as assessed in previous research that considered economic growth and trade ties (Shahbaz et al., 2017).</w:t>
      </w:r>
    </w:p>
    <w:p w14:paraId="1C5B807A"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lang w:val="en-US"/>
        </w:rPr>
        <w:t>Impact of Corruption Control on Export Value</w:t>
      </w:r>
      <w:r w:rsidRPr="00084F2E">
        <w:rPr>
          <w:rFonts w:cs="Times New Roman"/>
          <w:b w:val="0"/>
          <w:lang w:val="en-US"/>
        </w:rPr>
        <w:t>: Corruption control is an important determinant of Export Value and is characterized by complicated interactions. The direct effect of corruption control (L0.corruptioncontrol) is negative and highly significant (-0.9338, p=0.002). This negative effect is surprising, and it could be argued that the initial attempt to impose stronger corruption controls disrupts existing, inefficient trading relationships or causes business uncertainty, leading to lower export value in the short term. However, the positive and significant effect of the first lag (L1.corruptioncontrol) is evident (0.5040, p=0.048), which suggests that after adjusting, better governance has a positive effect on exports. The second lag (L2.corruptioncontrol) has once more a significant negative coefficient (-0.5791, p=0.018). The observed volatility perhaps reflects an instant positive impact of corruption control succeeded by still another transformation in the effect or that aspects of additional corruption control turn into a disadvantage with the elapse of time. This modest effect recognizes the complex dimension and character of counterproductive government to trade, a policy result that suggests the need for long-term and sustained anti-</w:t>
      </w:r>
      <w:r w:rsidRPr="00084F2E">
        <w:rPr>
          <w:rFonts w:cs="Times New Roman"/>
          <w:b w:val="0"/>
          <w:lang w:val="en-US"/>
        </w:rPr>
        <w:lastRenderedPageBreak/>
        <w:t>corruption strategies if countries are to pursue long-run increases in trade (Gooroochurn &amp; Hanley, 2017).</w:t>
      </w:r>
    </w:p>
    <w:p w14:paraId="7D5C78CC"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lang w:val="en-US"/>
        </w:rPr>
        <w:t>Consumer Price Index (CPI) and Export Value</w:t>
      </w:r>
      <w:r w:rsidRPr="00084F2E">
        <w:rPr>
          <w:rFonts w:cs="Times New Roman"/>
          <w:b w:val="0"/>
          <w:lang w:val="en-US"/>
        </w:rPr>
        <w:t xml:space="preserve">: The Consumer Price Index (CPI) has a strong influence on Export Value. The immediate impact from CPI (L0.ConsumerPriceIndex) is strongly negative (-1.0620, p=0.009), which signifies that higher current inflation directly decreases export competitiveness, as domestic products become expensive compared to foreign products. This serves to underscore underlying economic principles that portend an increase in domestic prices as a decrease in demand for exports. </w:t>
      </w:r>
    </w:p>
    <w:p w14:paraId="5F9317F4"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Conversely, the first lag (L1.ConsumerPriceIndex) returns a strong, positive, and highly significant relationship (2.8708, p=0.000), which serves to indicate that inflation in the prior period can unexpectedly lead to higher exports. This is either due to a mixing effect in the exporter supply chain whereby exporters initially absorb cost increases prior to later passing on the costs to consumers or due to the nominal currency having depreciated after inflation, leading to increased exports relative to input prices. The second lag (L2.ConsumerPriceIndex) indicates the strong negative impact (-1.0967, p=0.040), implying that in the long run, inflation will have a negative impact on export performance. The u-shaped or oscillating behavior suggests that managing inflation is difficult for export-driven economies, with potentially complex long-term effects from short-term CPI changes (Arora &amp; Vamvakidis, 2018).</w:t>
      </w:r>
    </w:p>
    <w:p w14:paraId="290AD092"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lang w:val="en-US"/>
        </w:rPr>
        <w:t>Foreign Direct Investment (FDI) and Export Value</w:t>
      </w:r>
      <w:r w:rsidRPr="00084F2E">
        <w:rPr>
          <w:rFonts w:cs="Times New Roman"/>
          <w:b w:val="0"/>
          <w:lang w:val="en-US"/>
        </w:rPr>
        <w:t>: The coefficient for Foreign Direct Investment (FDI) is positive (-0.0528, p-value=0.256), but there is no statistical significance as indicated in the period and the model. This suggests, in essence, that FDI may have a positive impact on Export Value, although its impact is weak across the model and simulation period. Several potential hypotheses could account for FDI's statistically insignificant contribution: (a) the nature of FDI, market-seeking versus export-oriented; (b) the time that FDI takes to mature and affect exports; or (c) another, alternative factor influencing trade (Baltagi et al., 2017).</w:t>
      </w:r>
    </w:p>
    <w:p w14:paraId="76E84A38" w14:textId="77777777" w:rsidR="00DF3DF8" w:rsidRPr="00084F2E" w:rsidRDefault="00AB1BEC">
      <w:pPr>
        <w:spacing w:before="100" w:beforeAutospacing="1" w:after="100" w:afterAutospacing="1" w:line="360" w:lineRule="auto"/>
        <w:jc w:val="both"/>
        <w:rPr>
          <w:rFonts w:cs="Times New Roman"/>
          <w:b w:val="0"/>
          <w:lang w:val="en-US"/>
        </w:rPr>
      </w:pPr>
      <w:r w:rsidRPr="00084F2E">
        <w:rPr>
          <w:rFonts w:cs="Times New Roman"/>
          <w:lang w:val="en-US"/>
        </w:rPr>
        <w:t>Gross National Savings and Export Value:</w:t>
      </w:r>
      <w:r w:rsidRPr="00084F2E">
        <w:rPr>
          <w:rFonts w:cs="Times New Roman"/>
          <w:b w:val="0"/>
          <w:lang w:val="en-US"/>
        </w:rPr>
        <w:t xml:space="preserve"> There is a curious trend with Gross National Savings. The immediate effect (L0.Gross_nationalsavings) is negative and insignificant (-0.0226, p-value=0.865), but the first (L1.Gross_nationalsavings) and second lags</w:t>
      </w:r>
      <w:r w:rsidR="002A39A6" w:rsidRPr="00084F2E">
        <w:rPr>
          <w:rFonts w:cs="Times New Roman"/>
          <w:b w:val="0"/>
          <w:lang w:val="en-US"/>
        </w:rPr>
        <w:t xml:space="preserve"> </w:t>
      </w:r>
    </w:p>
    <w:p w14:paraId="1EF03E38" w14:textId="7BC2B009"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(L2.Gross_nationalsavings) are both positive, with the latter being statistically significant (0.3955, p-value=0.028). There may be implications that higher national savings statistically, after a two-year lag, positively lottery to Export Value. The relationship is reasonable since More national savings would encourage greater domestic investment in productive capacity, infrastructure, and technology critical for Export Value improvement in the long run (Mankiw et al., 2022).</w:t>
      </w:r>
    </w:p>
    <w:p w14:paraId="018FA145"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lang w:val="en-US"/>
        </w:rPr>
        <w:t>Indirect Tax Revenue and Export Value</w:t>
      </w:r>
      <w:r w:rsidRPr="00084F2E">
        <w:rPr>
          <w:rFonts w:cs="Times New Roman"/>
          <w:b w:val="0"/>
          <w:lang w:val="en-US"/>
        </w:rPr>
        <w:t>: Indirect Tax Revenue typically provides a negative and increasing, significant effect on Export Value over its lags. The immediate effect (L0.Indirect_tax_revenue) is negative but insignificant (-0.2195, p=0.168). The first lag (L1.Indirect_tax_revenue) and the second lag (L2.Indirect_tax_revenue) displays a strong negative impact and are both highly significant (-0.5055, p=0.005 and -1.3371 p=0.000). This indicates that an increase in indirect tax revenue, such as VAT or sales tax, can increase production costs, and decrease the competitiveness of the export industry over time, and will cause a decrease in export volumes. This is a well-discussed economic phenomenon, that illustrates increased indirect taxes will dissuade export industries (Ebrill et al., 2021).</w:t>
      </w:r>
    </w:p>
    <w:p w14:paraId="7E2A8D02"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lang w:val="en-US"/>
        </w:rPr>
        <w:t>Debt owed to the government vs. Export value</w:t>
      </w:r>
      <w:r w:rsidRPr="00084F2E">
        <w:rPr>
          <w:rFonts w:cs="Times New Roman"/>
          <w:b w:val="0"/>
          <w:lang w:val="en-US"/>
        </w:rPr>
        <w:t>: Government debt is similar to the other variables in that, as is the case with the L0. Gornt_debt effect, it has a chilling immediate and lagged effect. The immediate effect (L0. Gornt_debt) is strongly positive and statistically significant (1.9952, p=0.000). Therefore, the quick rise of government borrowing - presumably as immediate budget deficits or government borrowing for infrastructure or export promotion - suggests that government borrowing can provide a short-lived cycle of increase in exports. The first lag, as indicated in the lagged coefficient (L1. Gornt_debt), illustrates a negative and insignificant coefficient (-0.2369, p=0.219). Government debt shifts from a strong and positive immediate effect, to a negative lagged effect which suggests that while government borrowing might have provided potential temporary support, the lagged negative effect and lagged residual both suggest the counter-productive effects of government borrowing which could signal a long-term disincentive for export growth, potentially by crowding out investment in the private sector or losing investor confidence in the fiscal situation. To put succinctly, the effect of government debt on economic outcomes, including trade outcomes, is an ongoing debate in the economic literature (Reinhart &amp; Rogoff, 2018).</w:t>
      </w:r>
    </w:p>
    <w:p w14:paraId="1513D5A5" w14:textId="77777777" w:rsidR="0072282A" w:rsidRPr="00084F2E" w:rsidRDefault="00AB1BEC">
      <w:pPr>
        <w:pStyle w:val="Heading2"/>
      </w:pPr>
      <w:bookmarkStart w:id="73" w:name="_Toc220662034"/>
      <w:r w:rsidRPr="00084F2E">
        <w:lastRenderedPageBreak/>
        <w:t>4.5 Error Correction Mechanism (ECM)</w:t>
      </w:r>
      <w:bookmarkEnd w:id="73"/>
    </w:p>
    <w:p w14:paraId="34F7E413" w14:textId="77777777" w:rsidR="0072282A" w:rsidRPr="00084F2E" w:rsidRDefault="00AB1BEC">
      <w:pPr>
        <w:pStyle w:val="ng-star-inserted"/>
        <w:spacing w:line="360" w:lineRule="auto"/>
        <w:jc w:val="both"/>
        <w:rPr>
          <w:rStyle w:val="ng-star-inserted1"/>
        </w:rPr>
      </w:pPr>
      <w:r w:rsidRPr="00084F2E">
        <w:rPr>
          <w:rStyle w:val="ng-star-inserted1"/>
        </w:rPr>
        <w:t>This result reveals the Error Correction Model (ECM) derived from the ARDL model estimated earlier. The ECM aids in elucidating the long-run relationships and short-run dynamics contributing to Export Value. Fundamentally the ECM distinguishes between the effects of shocks in the independent variable(s) into short and long periods while illustrating how the changes in these independent variables lead to the anomaly correction to the long-run equilibrium position. The coefficient of determination (R-squared= 0.9773) and adjusted R-squared = 0.9235) indicates a substantial proportion of the variation in the changed Export Value is explained by the model frequency. The log likelihood (0.98) and Root MSE are consistent with the previous ARDL model establishment confirming all variables of the model conclude a sensible determination statistically.</w:t>
      </w:r>
    </w:p>
    <w:p w14:paraId="24F56B2B" w14:textId="77777777" w:rsidR="0072282A" w:rsidRPr="00084F2E" w:rsidRDefault="00AB1BEC">
      <w:pPr>
        <w:pStyle w:val="ng-star-inserted"/>
        <w:spacing w:line="360" w:lineRule="auto"/>
        <w:jc w:val="both"/>
        <w:rPr>
          <w:rStyle w:val="ng-star-inserted1"/>
          <w:b/>
        </w:rPr>
      </w:pPr>
      <w:r w:rsidRPr="00084F2E">
        <w:rPr>
          <w:rStyle w:val="ng-star-inserted1"/>
          <w:b/>
        </w:rPr>
        <w:t xml:space="preserve">Adjustment to Long-Run Equilibrium (ADJ):  </w:t>
      </w:r>
    </w:p>
    <w:p w14:paraId="00D5BC0F" w14:textId="20C21B4E" w:rsidR="002A39A6" w:rsidRPr="00084F2E" w:rsidRDefault="00AB1BEC">
      <w:pPr>
        <w:pStyle w:val="ng-star-inserted"/>
        <w:spacing w:line="360" w:lineRule="auto"/>
        <w:jc w:val="both"/>
        <w:rPr>
          <w:rStyle w:val="ng-star-inserted1"/>
        </w:rPr>
      </w:pPr>
      <w:r w:rsidRPr="00084F2E">
        <w:rPr>
          <w:rStyle w:val="ng-star-inserted1"/>
        </w:rPr>
        <w:t>The most important part of the ECM is the error correction term, which is represented as L1.Export_value in the ADJ section. The coefficient of L1.Export_value is -0.6724913 and is statistically significant (p=0.000). As it has a negative coefficient, this voids support for a stable long-run relationship between Export Value and the independent variables. This indicates that approximately between 67.25%, even 67.2% of the long-run disutility path in Export Value, would be reconciled from the previous year in one year. This immediate adjusting process indicates how strongly the system will revert to its long-run equilibrium following any subtle changes observed (Pesaran et al., 2021). These examples how quickly market forces, or policy actions, would respond to align export performance back in-line with the key driver of export performance.</w:t>
      </w:r>
    </w:p>
    <w:p w14:paraId="579F664A" w14:textId="77777777" w:rsidR="0072282A" w:rsidRPr="00084F2E" w:rsidRDefault="00AB1BEC">
      <w:pPr>
        <w:pStyle w:val="ng-star-inserted"/>
        <w:spacing w:line="360" w:lineRule="auto"/>
        <w:jc w:val="both"/>
        <w:rPr>
          <w:rStyle w:val="ng-star-inserted1"/>
          <w:b/>
        </w:rPr>
      </w:pPr>
      <w:r w:rsidRPr="00084F2E">
        <w:rPr>
          <w:rStyle w:val="ng-star-inserted1"/>
          <w:b/>
        </w:rPr>
        <w:t xml:space="preserve">Long-Run (LR) Relationships:  </w:t>
      </w:r>
    </w:p>
    <w:p w14:paraId="192402C5" w14:textId="7C635ABE" w:rsidR="0072282A" w:rsidRPr="00084F2E" w:rsidRDefault="00AB1BEC">
      <w:pPr>
        <w:pStyle w:val="ng-star-inserted"/>
        <w:spacing w:line="360" w:lineRule="auto"/>
        <w:jc w:val="both"/>
        <w:rPr>
          <w:rStyle w:val="ng-star-inserted1"/>
        </w:rPr>
      </w:pPr>
      <w:r w:rsidRPr="00084F2E">
        <w:rPr>
          <w:rStyle w:val="ng-star-inserted1"/>
        </w:rPr>
        <w:t xml:space="preserve">The LR section delineates the long-term elasticities or relationships indicating the persistent effect of a one-unit change in the independent variables on Export Value once the system </w:t>
      </w:r>
      <w:r w:rsidR="00C040AA" w:rsidRPr="00084F2E">
        <w:rPr>
          <w:rStyle w:val="ng-star-inserted1"/>
        </w:rPr>
        <w:t>has</w:t>
      </w:r>
      <w:r w:rsidRPr="00084F2E">
        <w:rPr>
          <w:rStyle w:val="ng-star-inserted1"/>
        </w:rPr>
        <w:t xml:space="preserve"> completely adjusted to equilibrium.  </w:t>
      </w:r>
    </w:p>
    <w:p w14:paraId="158B09E6" w14:textId="77777777" w:rsidR="0072282A" w:rsidRPr="00084F2E" w:rsidRDefault="00AB1BEC">
      <w:pPr>
        <w:pStyle w:val="ng-star-inserted"/>
        <w:spacing w:line="360" w:lineRule="auto"/>
        <w:jc w:val="both"/>
        <w:rPr>
          <w:rStyle w:val="ng-star-inserted1"/>
        </w:rPr>
      </w:pPr>
      <w:r w:rsidRPr="00084F2E">
        <w:rPr>
          <w:rStyle w:val="ng-star-inserted1"/>
        </w:rPr>
        <w:t xml:space="preserve">• GDP: GDP has a strong, positive long-run effect on Export Value (1.9371, p=0.005). This suggests that, in the long run, an increase of 1% in GDP will result in an increase of about 1.94% in Export Value, all else being equal. This is indeed in line with economic theory that prolonged </w:t>
      </w:r>
      <w:r w:rsidRPr="00084F2E">
        <w:rPr>
          <w:rStyle w:val="ng-star-inserted1"/>
        </w:rPr>
        <w:lastRenderedPageBreak/>
        <w:t>economic growth usually enables greater production capacity, technological advancements, and a strong domestic market that help support export-oriented industries (Grossman &amp; Helpman, 1991). Many studies support the strong relationship between economic and export growth (Balaguer &amp; Cantavella-Jordá, 2022).</w:t>
      </w:r>
    </w:p>
    <w:p w14:paraId="1207773A" w14:textId="77777777" w:rsidR="0072282A" w:rsidRPr="00084F2E" w:rsidRDefault="00AB1BEC">
      <w:pPr>
        <w:pStyle w:val="ng-star-inserted"/>
        <w:spacing w:line="360" w:lineRule="auto"/>
        <w:jc w:val="both"/>
        <w:rPr>
          <w:rStyle w:val="ng-star-inserted1"/>
        </w:rPr>
      </w:pPr>
      <w:r w:rsidRPr="00084F2E">
        <w:rPr>
          <w:rStyle w:val="ng-star-inserted1"/>
        </w:rPr>
        <w:t>• Corruption control exerts a significant negative long-run effect on Export Value (-1.5002, p=0.015). This finding is somewhat surprising, since it indicates that, in the long-run, better corruption control may actually decrease export value. One interpretation of this is that a country's current export structures may have benefited from informal advantages or rent-seeking activities, and stricter corruption control reduces these advantages. Similarly, strict anti-corruption measures could lead to larger bureaucratic rules to follow or increase the transaction costs for businesses, thus harming long-term export competitiveness, particularly in the absence of additional reforms. This effect contradicts quite a lot of the literature that finds a positive long-run effect of good governance and less corruption generally on trade by reducing transaction costs and risks (Wei, 2019). There may need to be more exploration on the mechanisms and context in the literature related to this effect.</w:t>
      </w:r>
    </w:p>
    <w:p w14:paraId="4375A82A" w14:textId="77777777" w:rsidR="0072282A" w:rsidRPr="00084F2E" w:rsidRDefault="00AB1BEC">
      <w:pPr>
        <w:pStyle w:val="ng-star-inserted"/>
        <w:spacing w:line="360" w:lineRule="auto"/>
        <w:jc w:val="both"/>
        <w:rPr>
          <w:rStyle w:val="ng-star-inserted1"/>
        </w:rPr>
      </w:pPr>
      <w:r w:rsidRPr="00084F2E">
        <w:rPr>
          <w:rStyle w:val="ng-star-inserted1"/>
        </w:rPr>
        <w:t xml:space="preserve">• Consumer Price Index (CPI): A highly positive long-run relationship exists between the CPI and Export Value (1.0587, p=0.011), which suggests that in spite of unspecified short-term effects, long-term increases in aggregate price levels can ultimately align with higher export values, particularly if the inflationary experience is accompanied by managed depreciation of the exchange rate that provides price competitiveness for exporters or it is indicative of strong domestic demand that spills into export production. However, such a result is contrary to the conventional argument that higher inflation detracts from international competitiveness. This multifaceted outcome could also reveal the nominal nature of export value and therefore that aggregate price increases could raise export values regardless of whether or not there were significant increases in real volume. </w:t>
      </w:r>
    </w:p>
    <w:p w14:paraId="13C120A9" w14:textId="77777777" w:rsidR="0072282A" w:rsidRPr="00084F2E" w:rsidRDefault="00AB1BEC">
      <w:pPr>
        <w:pStyle w:val="ng-star-inserted"/>
        <w:spacing w:line="360" w:lineRule="auto"/>
        <w:jc w:val="both"/>
        <w:rPr>
          <w:rStyle w:val="ng-star-inserted1"/>
        </w:rPr>
      </w:pPr>
      <w:r w:rsidRPr="00084F2E">
        <w:rPr>
          <w:rStyle w:val="ng-star-inserted1"/>
        </w:rPr>
        <w:t xml:space="preserve">• FDI: Foreign Direct Investment (FDI) has a positive long-run coefficient (0.0785), but it is not statistically significant (p=0.271). This suggests that FDI may assist in increasing exports in the long-run, but that impact does not appear strong for this model based on the level of statistical confidence. The potential for this statistical insignificance could be driven by the varying nature </w:t>
      </w:r>
      <w:r w:rsidRPr="00084F2E">
        <w:rPr>
          <w:rStyle w:val="ng-star-inserted1"/>
        </w:rPr>
        <w:lastRenderedPageBreak/>
        <w:t>of FDI (e.g., some FDI is market seeking instead of export-oriented) and/or the influence of other dominating long-run factors impacting exports (Liu et al., 2017).</w:t>
      </w:r>
    </w:p>
    <w:p w14:paraId="730EBF38" w14:textId="77777777" w:rsidR="0072282A" w:rsidRPr="00084F2E" w:rsidRDefault="00AB1BEC">
      <w:pPr>
        <w:pStyle w:val="ng-star-inserted"/>
        <w:spacing w:line="360" w:lineRule="auto"/>
        <w:jc w:val="both"/>
        <w:rPr>
          <w:rStyle w:val="ng-star-inserted1"/>
        </w:rPr>
      </w:pPr>
      <w:r w:rsidRPr="00084F2E">
        <w:rPr>
          <w:rStyle w:val="ng-star-inserted1"/>
        </w:rPr>
        <w:t xml:space="preserve">• Gross National Savings: Gross National Savings shows a positive significant long-run relationship with Export Value (1.0131, p=0.002) which indicates a positive strong relationship where an increase in national savings leads to greater domestic investments of productive capital and technology upgrade, therefore an increase in export capacity for the nation resulting in a rise of competitive export capability in the long-run. This result integrates well with growth theories that refer to the role of capital accumulation assisting in the increase of export capability (Levine &amp; Renelt, 2022).  </w:t>
      </w:r>
    </w:p>
    <w:p w14:paraId="17CAC0A8" w14:textId="77777777" w:rsidR="0072282A" w:rsidRPr="00084F2E" w:rsidRDefault="00AB1BEC">
      <w:pPr>
        <w:pStyle w:val="ng-star-inserted"/>
        <w:spacing w:line="360" w:lineRule="auto"/>
        <w:jc w:val="both"/>
        <w:rPr>
          <w:rStyle w:val="ng-star-inserted1"/>
        </w:rPr>
      </w:pPr>
      <w:r w:rsidRPr="00084F2E">
        <w:rPr>
          <w:rStyle w:val="ng-star-inserted1"/>
        </w:rPr>
        <w:t>• Indirect Tax Revenue: Indirect Tax Revenue shows a highly significant negative long-run relationship with Export Value (-3.0664, p-0.000). The indication of a negative long-run relationship suggests that an increase in indirect taxes, primarily Value Added Tax or excise taxes, will negatively impact export performance in the long-run. An increase in indirect taxes will generate an increase in production costs which thus creates a lack of international competitiveness of the exported good which leads a lower return of the exported good. This result is well understood in economics and an increase in indirect taxes will dissuade export-focused industries (Keen &amp; Mintz, 2024).</w:t>
      </w:r>
    </w:p>
    <w:p w14:paraId="584DA381" w14:textId="77777777" w:rsidR="0072282A" w:rsidRPr="00084F2E" w:rsidRDefault="00AB1BEC">
      <w:pPr>
        <w:pStyle w:val="ng-star-inserted"/>
        <w:spacing w:line="360" w:lineRule="auto"/>
        <w:jc w:val="both"/>
        <w:rPr>
          <w:rStyle w:val="ng-star-inserted1"/>
        </w:rPr>
      </w:pPr>
      <w:r w:rsidRPr="00084F2E">
        <w:rPr>
          <w:rStyle w:val="ng-star-inserted1"/>
        </w:rPr>
        <w:t>• Government Debt:  There is a strong positive long-run effect of Government Debt on Export Value (2.6146, p=0.001). This large coefficient indicates that, in the long-run, increases in Government Debt are associated with a substantial increase in Export Value. This is an unexpected finding; increasing government debt is often associated with macroeconomic instability. An explanation could be that Government Debt was used to finance spending with the aim of investing in research and development, export enhancing infrastructure, or subsidies, which in total raises capacity to export over time (Presbitero, 2017). On the other hand, this finding could suggest more complex macroeconomic dynamics where countries steered by export production can afford increasing levels of public debt.</w:t>
      </w:r>
    </w:p>
    <w:p w14:paraId="358667BA" w14:textId="77777777" w:rsidR="0072282A" w:rsidRPr="00084F2E" w:rsidRDefault="00AB1BEC">
      <w:pPr>
        <w:pStyle w:val="ng-star-inserted"/>
        <w:spacing w:line="360" w:lineRule="auto"/>
        <w:jc w:val="both"/>
        <w:rPr>
          <w:rStyle w:val="ng-star-inserted1"/>
          <w:b/>
        </w:rPr>
      </w:pPr>
      <w:r w:rsidRPr="00084F2E">
        <w:rPr>
          <w:rStyle w:val="ng-star-inserted1"/>
          <w:b/>
        </w:rPr>
        <w:t xml:space="preserve">Short-Run (SR) Dynamics:  </w:t>
      </w:r>
    </w:p>
    <w:p w14:paraId="5F0510E2" w14:textId="77777777" w:rsidR="00C040AA" w:rsidRPr="00084F2E" w:rsidRDefault="00C040AA" w:rsidP="00C040AA">
      <w:pPr>
        <w:pStyle w:val="ng-star-inserted"/>
        <w:spacing w:line="360" w:lineRule="auto"/>
        <w:jc w:val="both"/>
      </w:pPr>
      <w:r w:rsidRPr="00084F2E">
        <w:rPr>
          <w:rStyle w:val="ng-star-inserted1"/>
        </w:rPr>
        <w:lastRenderedPageBreak/>
        <w:t>The analysis of short-run dynamics reveals a complex interplay of economic indicators that influence export value, often characterized by immediate adjustments that differ significantly from long-term trends. A primary driver in this model is the Gross Domestic Product (GDP), which exhibits a significant negative short-run effect. Specifically, the initial change in GDP (D1.GDP) carries a coefficient of -1.5408 (p=0.003), while the lagged difference (LD.GDP) is also significant and negative at -0.8376 (p=0.036). These results suggest that short-run GDP growth may initially detract resources from the export sector to satisfy domestic consumption, creating a temporary stagnation in export growth despite an expected positive contribution in the long run.</w:t>
      </w:r>
    </w:p>
    <w:p w14:paraId="60659653" w14:textId="77777777" w:rsidR="00C040AA" w:rsidRPr="00084F2E" w:rsidRDefault="00C040AA" w:rsidP="00C040AA">
      <w:pPr>
        <w:pStyle w:val="ng-star-inserted"/>
        <w:spacing w:line="360" w:lineRule="auto"/>
        <w:jc w:val="both"/>
      </w:pPr>
      <w:r w:rsidRPr="00084F2E">
        <w:rPr>
          <w:rStyle w:val="ng-star-inserted1"/>
        </w:rPr>
        <w:t>Similarly, the impact of gross national savings reflects a nuanced short-run adjustment process. The immediate response to changes in national savings (D1.Gross_nationalsavings) is significantly negative (-0.7039, p=0.001), a trend that continues into the lagged difference (LD.Gross_national_savings) with a coefficient of -0.3955 (p=0.028). This suggests that short-run increases in savings may introduce transition costs or resource reallocations that negatively affect export value in the interim, even though the long-run effect remains positive. In contrast, the Consumer Price Index (CPI) demonstrates a more volatile relationship with exports. An immediate increase in inflation (D1.ConsumerPriceIndex) significantly diminishes export growth (-1.7740, p=0.001), yet the lagged difference (LD.ConsumerPriceIndex) shows a significant positive rebound (1.0967, p=0.040). This correction may stem from subsequent exchange rate adjustments that eventually restore export competitiveness.</w:t>
      </w:r>
    </w:p>
    <w:p w14:paraId="3444E165" w14:textId="77777777" w:rsidR="00C040AA" w:rsidRPr="00084F2E" w:rsidRDefault="00C040AA" w:rsidP="00C040AA">
      <w:pPr>
        <w:pStyle w:val="ng-star-inserted"/>
        <w:spacing w:line="360" w:lineRule="auto"/>
        <w:jc w:val="both"/>
      </w:pPr>
      <w:r w:rsidRPr="00084F2E">
        <w:rPr>
          <w:rStyle w:val="ng-star-inserted1"/>
        </w:rPr>
        <w:t>Institutional and fiscal factors further complicate the short-run landscape. Corruption control does not yield an immediate impact upon change (p=0.709), but its lagged difference (LD.corruptioncontrol) is significant and positive (0.5791, p=0.018). This indicates a "time effect," where firms require a period of adjustment to new regulations before the benefits of improved governance manifest in export performance. On the fiscal side, indirect tax revenue shows a robust and significant positive short-run effect (D1: 1.8426, p=0.000; LD: 1.3371, p=0.000). This result is particularly noteworthy as it contradicts the negative long-run impact of indirect taxes, potentially reflecting periods of strong economic activity or specific short-term policy responses that favor exports temporarily.</w:t>
      </w:r>
    </w:p>
    <w:p w14:paraId="5187A11A" w14:textId="77777777" w:rsidR="00C040AA" w:rsidRPr="00084F2E" w:rsidRDefault="00C040AA" w:rsidP="00C040AA">
      <w:pPr>
        <w:pStyle w:val="ng-star-inserted"/>
        <w:spacing w:line="360" w:lineRule="auto"/>
        <w:jc w:val="both"/>
      </w:pPr>
      <w:r w:rsidRPr="00084F2E">
        <w:rPr>
          <w:rStyle w:val="ng-star-inserted1"/>
        </w:rPr>
        <w:lastRenderedPageBreak/>
        <w:t>Finally, the model accounts for government debt and baseline constants. While government debt has a strong positive influence in the long run, its short-run change (D1.Gornt_debt) is positive but statistically insignificant (0.2369, p=0.219), suggesting no immediate pressure on export values. The model’s constant term is highly significant and negative (-16.3819, p=0.000), representing the baseline level of export value when other variables are held at zero or reflecting the influence of external factors not explicitly captured in the model. Collectively, these findings underscore that the path to export growth is rarely linear, as short-term resource reallocations and regulatory adjustments often create temporary headwinds before long-term benefits are realized.</w:t>
      </w:r>
    </w:p>
    <w:p w14:paraId="74F3E44C" w14:textId="77777777" w:rsidR="0072282A" w:rsidRPr="00084F2E" w:rsidRDefault="00AB1BEC">
      <w:pPr>
        <w:pStyle w:val="ng-star-inserted"/>
        <w:spacing w:line="360" w:lineRule="auto"/>
        <w:jc w:val="both"/>
        <w:rPr>
          <w:rStyle w:val="ng-star-inserted1"/>
        </w:rPr>
      </w:pPr>
      <w:r w:rsidRPr="00084F2E">
        <w:rPr>
          <w:rStyle w:val="ng-star-inserted1"/>
        </w:rPr>
        <w:t>To summarize, the ECM provides an in-depth view of the long-run determinants of Export Value and short-run adjustment processes.  It is evident from the analysis that any economic policies designed to support the long-term growth of exports should consider lagged effects and the adjustment process. Strong GDP growth, national savings rate, and government debt management appear to support long-term growth of exports, while the long-run adverse effect of indirect taxes and the unexpected negative long-run relationship with control of corruption require careful policy considerations and further investigation into the mechanics behind possible strategies. Short-run dynamics can be complex and deviate greatly from long-run dynamics; this is yet another reason for an advanced and nuanced level of economic policy to ensure proper implementation of those policies.</w:t>
      </w:r>
    </w:p>
    <w:p w14:paraId="4B8A27A0" w14:textId="77777777" w:rsidR="0072282A" w:rsidRPr="00084F2E" w:rsidRDefault="00AB1BEC">
      <w:pPr>
        <w:pStyle w:val="Heading2"/>
      </w:pPr>
      <w:bookmarkStart w:id="74" w:name="_Toc220662035"/>
      <w:r w:rsidRPr="00084F2E">
        <w:t>4.6 Model Assumption tests</w:t>
      </w:r>
      <w:bookmarkEnd w:id="74"/>
    </w:p>
    <w:p w14:paraId="0E1F143F" w14:textId="77777777" w:rsidR="0072282A" w:rsidRPr="00084F2E" w:rsidRDefault="00AB1BEC">
      <w:pPr>
        <w:pStyle w:val="Heading3"/>
      </w:pPr>
      <w:bookmarkStart w:id="75" w:name="_Toc220662036"/>
      <w:r w:rsidRPr="00084F2E">
        <w:t>4.6.1 Information Criteria (AIC &amp; BIC)</w:t>
      </w:r>
      <w:bookmarkEnd w:id="75"/>
    </w:p>
    <w:p w14:paraId="595876AC" w14:textId="77777777" w:rsidR="0072282A" w:rsidRPr="00084F2E" w:rsidRDefault="00AB1BEC">
      <w:pPr>
        <w:spacing w:before="100" w:beforeAutospacing="1" w:after="100" w:afterAutospacing="1" w:line="360" w:lineRule="auto"/>
        <w:jc w:val="both"/>
        <w:outlineLvl w:val="2"/>
        <w:rPr>
          <w:rFonts w:cs="Times New Roman"/>
          <w:bCs/>
          <w:sz w:val="27"/>
          <w:szCs w:val="27"/>
          <w:lang w:val="en-US"/>
        </w:rPr>
      </w:pPr>
      <w:bookmarkStart w:id="76" w:name="_Toc214281273"/>
      <w:bookmarkStart w:id="77" w:name="_Toc219118653"/>
      <w:bookmarkStart w:id="78" w:name="_Toc220662037"/>
      <w:r w:rsidRPr="00084F2E">
        <w:rPr>
          <w:rFonts w:cs="Times New Roman"/>
          <w:bCs/>
          <w:sz w:val="27"/>
          <w:szCs w:val="27"/>
          <w:lang w:val="en-US"/>
        </w:rPr>
        <w:t>Table 2: Model Selection Criteria</w:t>
      </w:r>
      <w:bookmarkEnd w:id="76"/>
      <w:bookmarkEnd w:id="77"/>
      <w:bookmarkEnd w:id="78"/>
    </w:p>
    <w:p w14:paraId="31CD90C2"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The following table displays the Akaike Information Criterion (AIC) and Bayesian Information Criterion (BIC) for the estimated ARDL model.</w:t>
      </w:r>
    </w:p>
    <w:tbl>
      <w:tblPr>
        <w:tblStyle w:val="TableGrid"/>
        <w:tblW w:w="7763" w:type="dxa"/>
        <w:tblLook w:val="04A0" w:firstRow="1" w:lastRow="0" w:firstColumn="1" w:lastColumn="0" w:noHBand="0" w:noVBand="1"/>
      </w:tblPr>
      <w:tblGrid>
        <w:gridCol w:w="6015"/>
        <w:gridCol w:w="1748"/>
      </w:tblGrid>
      <w:tr w:rsidR="00084F2E" w:rsidRPr="00084F2E" w14:paraId="079F9D1B" w14:textId="77777777">
        <w:trPr>
          <w:trHeight w:val="410"/>
        </w:trPr>
        <w:tc>
          <w:tcPr>
            <w:tcW w:w="0" w:type="auto"/>
          </w:tcPr>
          <w:p w14:paraId="36372803" w14:textId="77777777" w:rsidR="0072282A" w:rsidRPr="00084F2E" w:rsidRDefault="00AB1BEC">
            <w:pPr>
              <w:spacing w:line="360" w:lineRule="auto"/>
              <w:jc w:val="both"/>
              <w:rPr>
                <w:rFonts w:cs="Times New Roman"/>
                <w:b w:val="0"/>
                <w:lang w:val="en-US"/>
              </w:rPr>
            </w:pPr>
            <w:r w:rsidRPr="00084F2E">
              <w:rPr>
                <w:rFonts w:cs="Times New Roman"/>
                <w:b w:val="0"/>
                <w:lang w:val="en-US"/>
              </w:rPr>
              <w:t>Criterion</w:t>
            </w:r>
          </w:p>
        </w:tc>
        <w:tc>
          <w:tcPr>
            <w:tcW w:w="0" w:type="auto"/>
          </w:tcPr>
          <w:p w14:paraId="7D06C424" w14:textId="77777777" w:rsidR="0072282A" w:rsidRPr="00084F2E" w:rsidRDefault="00AB1BEC">
            <w:pPr>
              <w:spacing w:line="360" w:lineRule="auto"/>
              <w:jc w:val="both"/>
              <w:rPr>
                <w:rFonts w:cs="Times New Roman"/>
                <w:b w:val="0"/>
                <w:lang w:val="en-US"/>
              </w:rPr>
            </w:pPr>
            <w:r w:rsidRPr="00084F2E">
              <w:rPr>
                <w:rFonts w:cs="Times New Roman"/>
                <w:b w:val="0"/>
                <w:lang w:val="en-US"/>
              </w:rPr>
              <w:t>Value</w:t>
            </w:r>
          </w:p>
        </w:tc>
      </w:tr>
      <w:tr w:rsidR="00084F2E" w:rsidRPr="00084F2E" w14:paraId="67244820" w14:textId="77777777">
        <w:trPr>
          <w:trHeight w:val="410"/>
        </w:trPr>
        <w:tc>
          <w:tcPr>
            <w:tcW w:w="0" w:type="auto"/>
          </w:tcPr>
          <w:p w14:paraId="115ACA63" w14:textId="77777777" w:rsidR="0072282A" w:rsidRPr="00084F2E" w:rsidRDefault="00AB1BEC">
            <w:pPr>
              <w:spacing w:line="360" w:lineRule="auto"/>
              <w:jc w:val="both"/>
              <w:rPr>
                <w:rFonts w:cs="Times New Roman"/>
                <w:b w:val="0"/>
                <w:lang w:val="en-US"/>
              </w:rPr>
            </w:pPr>
            <w:r w:rsidRPr="00084F2E">
              <w:rPr>
                <w:rFonts w:cs="Times New Roman"/>
                <w:b w:val="0"/>
                <w:lang w:val="en-US"/>
              </w:rPr>
              <w:t>Number of Observations (Obs)</w:t>
            </w:r>
          </w:p>
        </w:tc>
        <w:tc>
          <w:tcPr>
            <w:tcW w:w="0" w:type="auto"/>
          </w:tcPr>
          <w:p w14:paraId="6312E692" w14:textId="77777777" w:rsidR="0072282A" w:rsidRPr="00084F2E" w:rsidRDefault="00AB1BEC">
            <w:pPr>
              <w:spacing w:line="360" w:lineRule="auto"/>
              <w:jc w:val="both"/>
              <w:rPr>
                <w:rFonts w:cs="Times New Roman"/>
                <w:b w:val="0"/>
                <w:lang w:val="en-US"/>
              </w:rPr>
            </w:pPr>
            <w:r w:rsidRPr="00084F2E">
              <w:rPr>
                <w:rFonts w:cs="Times New Roman"/>
                <w:b w:val="0"/>
                <w:lang w:val="en-US"/>
              </w:rPr>
              <w:t>28</w:t>
            </w:r>
          </w:p>
        </w:tc>
      </w:tr>
      <w:tr w:rsidR="00084F2E" w:rsidRPr="00084F2E" w14:paraId="2F4A4E0B" w14:textId="77777777">
        <w:trPr>
          <w:trHeight w:val="422"/>
        </w:trPr>
        <w:tc>
          <w:tcPr>
            <w:tcW w:w="0" w:type="auto"/>
          </w:tcPr>
          <w:p w14:paraId="75EFF2B3" w14:textId="77777777" w:rsidR="0072282A" w:rsidRPr="00084F2E" w:rsidRDefault="00AB1BEC">
            <w:pPr>
              <w:spacing w:line="360" w:lineRule="auto"/>
              <w:jc w:val="both"/>
              <w:rPr>
                <w:rFonts w:cs="Times New Roman"/>
                <w:b w:val="0"/>
                <w:lang w:val="en-US"/>
              </w:rPr>
            </w:pPr>
            <w:r w:rsidRPr="00084F2E">
              <w:rPr>
                <w:rFonts w:cs="Times New Roman"/>
                <w:b w:val="0"/>
                <w:lang w:val="en-US"/>
              </w:rPr>
              <w:t>Log-likelihood (Null Model)</w:t>
            </w:r>
          </w:p>
        </w:tc>
        <w:tc>
          <w:tcPr>
            <w:tcW w:w="0" w:type="auto"/>
          </w:tcPr>
          <w:p w14:paraId="113EBFA1" w14:textId="77777777" w:rsidR="0072282A" w:rsidRPr="00084F2E" w:rsidRDefault="00AB1BEC">
            <w:pPr>
              <w:spacing w:line="360" w:lineRule="auto"/>
              <w:jc w:val="both"/>
              <w:rPr>
                <w:rFonts w:cs="Times New Roman"/>
                <w:b w:val="0"/>
                <w:lang w:val="en-US"/>
              </w:rPr>
            </w:pPr>
            <w:r w:rsidRPr="00084F2E">
              <w:rPr>
                <w:rFonts w:cs="Times New Roman"/>
                <w:b w:val="0"/>
                <w:lang w:val="en-US"/>
              </w:rPr>
              <w:t>-7.8083</w:t>
            </w:r>
          </w:p>
        </w:tc>
      </w:tr>
      <w:tr w:rsidR="00084F2E" w:rsidRPr="00084F2E" w14:paraId="16F6C4E1" w14:textId="77777777">
        <w:trPr>
          <w:trHeight w:val="410"/>
        </w:trPr>
        <w:tc>
          <w:tcPr>
            <w:tcW w:w="0" w:type="auto"/>
          </w:tcPr>
          <w:p w14:paraId="50A0CB92" w14:textId="77777777" w:rsidR="0072282A" w:rsidRPr="00084F2E" w:rsidRDefault="00AB1BEC">
            <w:pPr>
              <w:spacing w:line="360" w:lineRule="auto"/>
              <w:jc w:val="both"/>
              <w:rPr>
                <w:rFonts w:cs="Times New Roman"/>
                <w:b w:val="0"/>
                <w:lang w:val="en-US"/>
              </w:rPr>
            </w:pPr>
            <w:r w:rsidRPr="00084F2E">
              <w:rPr>
                <w:rFonts w:cs="Times New Roman"/>
                <w:b w:val="0"/>
                <w:lang w:val="en-US"/>
              </w:rPr>
              <w:t>Log-likelihood (Fitted Model)</w:t>
            </w:r>
          </w:p>
        </w:tc>
        <w:tc>
          <w:tcPr>
            <w:tcW w:w="0" w:type="auto"/>
          </w:tcPr>
          <w:p w14:paraId="43AE7622" w14:textId="77777777" w:rsidR="0072282A" w:rsidRPr="00084F2E" w:rsidRDefault="00AB1BEC">
            <w:pPr>
              <w:spacing w:line="360" w:lineRule="auto"/>
              <w:jc w:val="both"/>
              <w:rPr>
                <w:rFonts w:cs="Times New Roman"/>
                <w:b w:val="0"/>
                <w:lang w:val="en-US"/>
              </w:rPr>
            </w:pPr>
            <w:r w:rsidRPr="00084F2E">
              <w:rPr>
                <w:rFonts w:cs="Times New Roman"/>
                <w:b w:val="0"/>
                <w:lang w:val="en-US"/>
              </w:rPr>
              <w:t>73.1457</w:t>
            </w:r>
          </w:p>
        </w:tc>
      </w:tr>
      <w:tr w:rsidR="00084F2E" w:rsidRPr="00084F2E" w14:paraId="0E0545F1" w14:textId="77777777">
        <w:trPr>
          <w:trHeight w:val="410"/>
        </w:trPr>
        <w:tc>
          <w:tcPr>
            <w:tcW w:w="0" w:type="auto"/>
          </w:tcPr>
          <w:p w14:paraId="13EBAD01" w14:textId="77777777" w:rsidR="0072282A" w:rsidRPr="00084F2E" w:rsidRDefault="00AB1BEC">
            <w:pPr>
              <w:spacing w:line="360" w:lineRule="auto"/>
              <w:jc w:val="both"/>
              <w:rPr>
                <w:rFonts w:cs="Times New Roman"/>
                <w:b w:val="0"/>
                <w:lang w:val="en-US"/>
              </w:rPr>
            </w:pPr>
            <w:r w:rsidRPr="00084F2E">
              <w:rPr>
                <w:rFonts w:cs="Times New Roman"/>
                <w:b w:val="0"/>
                <w:lang w:val="en-US"/>
              </w:rPr>
              <w:lastRenderedPageBreak/>
              <w:t>Degrees of Freedom (df)</w:t>
            </w:r>
          </w:p>
        </w:tc>
        <w:tc>
          <w:tcPr>
            <w:tcW w:w="0" w:type="auto"/>
          </w:tcPr>
          <w:p w14:paraId="5358BADB" w14:textId="77777777" w:rsidR="0072282A" w:rsidRPr="00084F2E" w:rsidRDefault="00AB1BEC">
            <w:pPr>
              <w:spacing w:line="360" w:lineRule="auto"/>
              <w:jc w:val="both"/>
              <w:rPr>
                <w:rFonts w:cs="Times New Roman"/>
                <w:b w:val="0"/>
                <w:lang w:val="en-US"/>
              </w:rPr>
            </w:pPr>
            <w:r w:rsidRPr="00084F2E">
              <w:rPr>
                <w:rFonts w:cs="Times New Roman"/>
                <w:b w:val="0"/>
                <w:lang w:val="en-US"/>
              </w:rPr>
              <w:t>20</w:t>
            </w:r>
          </w:p>
        </w:tc>
      </w:tr>
      <w:tr w:rsidR="00084F2E" w:rsidRPr="00084F2E" w14:paraId="0F4CD5C9" w14:textId="77777777">
        <w:trPr>
          <w:trHeight w:val="422"/>
        </w:trPr>
        <w:tc>
          <w:tcPr>
            <w:tcW w:w="0" w:type="auto"/>
          </w:tcPr>
          <w:p w14:paraId="7B58F4FB" w14:textId="77777777" w:rsidR="0072282A" w:rsidRPr="00084F2E" w:rsidRDefault="00AB1BEC">
            <w:pPr>
              <w:spacing w:line="360" w:lineRule="auto"/>
              <w:jc w:val="both"/>
              <w:rPr>
                <w:rFonts w:cs="Times New Roman"/>
                <w:b w:val="0"/>
                <w:lang w:val="en-US"/>
              </w:rPr>
            </w:pPr>
            <w:r w:rsidRPr="00084F2E">
              <w:rPr>
                <w:rFonts w:cs="Times New Roman"/>
                <w:bCs/>
                <w:lang w:val="en-US"/>
              </w:rPr>
              <w:t>Akaike Information Criterion (AIC)</w:t>
            </w:r>
          </w:p>
        </w:tc>
        <w:tc>
          <w:tcPr>
            <w:tcW w:w="0" w:type="auto"/>
          </w:tcPr>
          <w:p w14:paraId="1EBB377F" w14:textId="77777777" w:rsidR="0072282A" w:rsidRPr="00084F2E" w:rsidRDefault="00AB1BEC">
            <w:pPr>
              <w:spacing w:line="360" w:lineRule="auto"/>
              <w:jc w:val="both"/>
              <w:rPr>
                <w:rFonts w:cs="Times New Roman"/>
                <w:b w:val="0"/>
                <w:lang w:val="en-US"/>
              </w:rPr>
            </w:pPr>
            <w:r w:rsidRPr="00084F2E">
              <w:rPr>
                <w:rFonts w:cs="Times New Roman"/>
                <w:bCs/>
                <w:lang w:val="en-US"/>
              </w:rPr>
              <w:t>-106.2913</w:t>
            </w:r>
          </w:p>
        </w:tc>
      </w:tr>
      <w:tr w:rsidR="00084F2E" w:rsidRPr="00084F2E" w14:paraId="4CC0C904" w14:textId="77777777">
        <w:trPr>
          <w:trHeight w:val="422"/>
        </w:trPr>
        <w:tc>
          <w:tcPr>
            <w:tcW w:w="0" w:type="auto"/>
          </w:tcPr>
          <w:p w14:paraId="11B240E9" w14:textId="77777777" w:rsidR="0072282A" w:rsidRPr="00084F2E" w:rsidRDefault="00AB1BEC">
            <w:pPr>
              <w:spacing w:line="360" w:lineRule="auto"/>
              <w:jc w:val="both"/>
              <w:rPr>
                <w:rFonts w:cs="Times New Roman"/>
                <w:b w:val="0"/>
                <w:lang w:val="en-US"/>
              </w:rPr>
            </w:pPr>
            <w:r w:rsidRPr="00084F2E">
              <w:rPr>
                <w:rFonts w:cs="Times New Roman"/>
                <w:bCs/>
                <w:lang w:val="en-US"/>
              </w:rPr>
              <w:t>Bayesian Information Criterion (BIC)</w:t>
            </w:r>
          </w:p>
        </w:tc>
        <w:tc>
          <w:tcPr>
            <w:tcW w:w="0" w:type="auto"/>
          </w:tcPr>
          <w:p w14:paraId="7E70E9A8" w14:textId="77777777" w:rsidR="0072282A" w:rsidRPr="00084F2E" w:rsidRDefault="00AB1BEC">
            <w:pPr>
              <w:spacing w:line="360" w:lineRule="auto"/>
              <w:jc w:val="both"/>
              <w:rPr>
                <w:rFonts w:cs="Times New Roman"/>
                <w:b w:val="0"/>
                <w:lang w:val="en-US"/>
              </w:rPr>
            </w:pPr>
            <w:r w:rsidRPr="00084F2E">
              <w:rPr>
                <w:rFonts w:cs="Times New Roman"/>
                <w:bCs/>
                <w:lang w:val="en-US"/>
              </w:rPr>
              <w:t>-79.6472</w:t>
            </w:r>
          </w:p>
        </w:tc>
      </w:tr>
    </w:tbl>
    <w:p w14:paraId="1AEC8961" w14:textId="763BF973"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 xml:space="preserve">The estat ic provides crucial information criteria, namely Akaike's Information Criterion (AIC) and the Bayesian Information Criterion (BIC), which are widely used statistical tools for model selection. These criteria balance the fit of a statistical model with its complexity and penalize models with more parameters to prevent overfitting. For the </w:t>
      </w:r>
      <w:r w:rsidR="00DF3DF8" w:rsidRPr="00084F2E">
        <w:rPr>
          <w:rFonts w:cs="Times New Roman"/>
          <w:b w:val="0"/>
          <w:lang w:val="en-US"/>
        </w:rPr>
        <w:t>ARDL (</w:t>
      </w:r>
      <w:r w:rsidRPr="00084F2E">
        <w:rPr>
          <w:rFonts w:cs="Times New Roman"/>
          <w:b w:val="0"/>
          <w:lang w:val="en-US"/>
        </w:rPr>
        <w:t>1,2,2,2,0,2,2,1) regression model, estimated with 28 observations, these statistics provide a valuable view of its simplicity and predictive power.</w:t>
      </w:r>
      <w:r w:rsidR="003E7B8C" w:rsidRPr="00084F2E">
        <w:rPr>
          <w:rFonts w:cs="Times New Roman"/>
          <w:b w:val="0"/>
          <w:lang w:val="en-US"/>
        </w:rPr>
        <w:t xml:space="preserve"> Lower</w:t>
      </w:r>
      <w:r w:rsidR="00AE4858" w:rsidRPr="00084F2E">
        <w:rPr>
          <w:rFonts w:cs="Times New Roman"/>
          <w:b w:val="0"/>
          <w:lang w:val="en-US"/>
        </w:rPr>
        <w:t xml:space="preserve"> information criteria </w:t>
      </w:r>
      <w:r w:rsidR="00B72072" w:rsidRPr="00084F2E">
        <w:rPr>
          <w:rFonts w:cs="Times New Roman"/>
          <w:b w:val="0"/>
          <w:lang w:val="en-US"/>
        </w:rPr>
        <w:t>indicate</w:t>
      </w:r>
      <w:r w:rsidR="00AE4858" w:rsidRPr="00084F2E">
        <w:rPr>
          <w:rFonts w:cs="Times New Roman"/>
          <w:b w:val="0"/>
          <w:lang w:val="en-US"/>
        </w:rPr>
        <w:t xml:space="preserve"> better fit</w:t>
      </w:r>
      <w:r w:rsidR="006537CD" w:rsidRPr="00084F2E">
        <w:rPr>
          <w:rFonts w:cs="Times New Roman"/>
          <w:b w:val="0"/>
          <w:lang w:val="en-US"/>
        </w:rPr>
        <w:t xml:space="preserve"> model, so AIC was selected.</w:t>
      </w:r>
    </w:p>
    <w:p w14:paraId="7F5F096E"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 xml:space="preserve">The log-likelihood of the model, ll(model), is 73.14566. The log-likelihood measures how well the model explains the observed data. Higher values indicate a better fit. The model uses 20 degrees of freedom, which corresponds to the number of estimated parameters. This includes the coefficients for the lags of Export_value, GDP, corruptioncontrol, ConsumerPriceIndex, FDI, Gross_nationalsavings, Indirect_tax_revenue, Gornt_debt, and the constant term. This illustrates the intricacies of the defined ARDL structure. </w:t>
      </w:r>
    </w:p>
    <w:p w14:paraId="7BF9ADD4"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The AIC for the model is -106.2913. AIC is the total parameter number and is the maximized likelihood of the model. A lower AIC value suggests a model is preferred. Thus, having a negative value is not unexpected, with the overall negative sign depending on the scale and size of the log-likelihood. AIC is trying to find a model that has the best prediction to future data, or if you prefer it to have, a good balance of bias and variance in predictions. In particular AIC will be useful if you're trying to assess models that find themselves as competing models, as often the model with the lowest AIC is view as the best for prediction (Akaike, 1974). In the context of time series analysis, selecting to use a model with a lower AIC is helping to ensure that the lag structure you select for the model is just enough to capture the underlying dynamics without, in estimates, adding too much noise from too many parameters.</w:t>
      </w:r>
    </w:p>
    <w:p w14:paraId="348E9B5F"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 xml:space="preserve">The BIC (Bayesian Information Criterion) value for the model is -79.64724. It is calculated similarly as AIC (Akaike Information Criterion) and based upon number of observations. Just like AIC, a lower value of BIC is preferred, but BIC places a greater penalty on the number of </w:t>
      </w:r>
      <w:r w:rsidRPr="00084F2E">
        <w:rPr>
          <w:rFonts w:cs="Times New Roman"/>
          <w:b w:val="0"/>
          <w:lang w:val="en-US"/>
        </w:rPr>
        <w:lastRenderedPageBreak/>
        <w:t>parameters and that penalty increases more quickly as the sample size increases. Because of that, BIC will generally place a higher value on a simpler model with fewer parameters compared to AIC (Schwarz, 1978). The larger penalty with BIC means that it is thought to be more consistent in the identification of the true model among a set of candidate models if the true model is present. In this case the BIC value is larger (less negative) than AIC, which is expected since BIC has a penalty term that increases more rapidly with number of parameters and observations. In simple terms, the fit of this model was good (low AIC value for prediction) but complexity is being penalized more in BIC. Given these thoughts, a simpler model may better suit the purpose of identifying the true data-generating process (DGP) rather than merely maximizing predictive accuracy.</w:t>
      </w:r>
    </w:p>
    <w:p w14:paraId="5DEB6101"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In practice, both AIC and BIC are useful for model selection. If the objective is to achieve the best prediction of future Export Value, then AIC might be a better choice. Conversely, if the goal is to find a simpler model that reflects the underlying causal relationships accurately and conveys a clear explanation of the data-generating process, then BIC's preference for simpler models might be a better choice. AIC vs. BIC recommendation is generally decided based on the type of analysis. For instance, for an economic forecast, AIC would be more desirable since it improves predictive accuracy for future values, while for a structural model, BIC would favor simplicity and consistency (Burnham &amp; Anderson, 2002). As macroeconomic relationships and exploration are multi-dimensional, it is very helpful to possess a model that presents a trade-off between fit and reasonable complexity for prediction and interpretation.</w:t>
      </w:r>
    </w:p>
    <w:p w14:paraId="29F546DF" w14:textId="77777777" w:rsidR="0072282A" w:rsidRPr="00084F2E" w:rsidRDefault="00AB1BEC">
      <w:pPr>
        <w:spacing w:before="100" w:beforeAutospacing="1" w:after="100" w:afterAutospacing="1" w:line="360" w:lineRule="auto"/>
        <w:jc w:val="both"/>
        <w:rPr>
          <w:rFonts w:cs="Times New Roman"/>
          <w:lang w:val="en-US"/>
        </w:rPr>
      </w:pPr>
      <w:r w:rsidRPr="00084F2E">
        <w:rPr>
          <w:rFonts w:cs="Times New Roman"/>
          <w:lang w:val="en-US"/>
        </w:rPr>
        <w:t>VAR Lag Order Selection Results</w:t>
      </w:r>
    </w:p>
    <w:p w14:paraId="41AC94E1" w14:textId="77777777" w:rsidR="0072282A" w:rsidRPr="00084F2E" w:rsidRDefault="00AB1BEC">
      <w:pPr>
        <w:spacing w:before="100" w:beforeAutospacing="1" w:after="100" w:afterAutospacing="1" w:line="360" w:lineRule="auto"/>
        <w:jc w:val="both"/>
        <w:outlineLvl w:val="2"/>
        <w:rPr>
          <w:rFonts w:cs="Times New Roman"/>
          <w:bCs/>
          <w:sz w:val="27"/>
          <w:szCs w:val="27"/>
          <w:lang w:val="en-US"/>
        </w:rPr>
      </w:pPr>
      <w:bookmarkStart w:id="79" w:name="_Toc214281274"/>
      <w:bookmarkStart w:id="80" w:name="_Toc219118654"/>
      <w:bookmarkStart w:id="81" w:name="_Toc220662038"/>
      <w:r w:rsidRPr="00084F2E">
        <w:rPr>
          <w:rFonts w:cs="Times New Roman"/>
          <w:bCs/>
          <w:sz w:val="27"/>
          <w:szCs w:val="27"/>
          <w:lang w:val="en-US"/>
        </w:rPr>
        <w:t>Table 3: Optimal Lag Length Selection Criteria</w:t>
      </w:r>
      <w:bookmarkEnd w:id="79"/>
      <w:bookmarkEnd w:id="80"/>
      <w:bookmarkEnd w:id="81"/>
    </w:p>
    <w:p w14:paraId="7FACEEEA" w14:textId="12311ADF" w:rsidR="002A39A6" w:rsidRPr="00084F2E" w:rsidRDefault="00AB1BEC" w:rsidP="002A39A6">
      <w:pPr>
        <w:spacing w:before="100" w:beforeAutospacing="1" w:after="100" w:afterAutospacing="1" w:line="360" w:lineRule="auto"/>
        <w:jc w:val="both"/>
        <w:rPr>
          <w:rFonts w:cs="Times New Roman"/>
          <w:b w:val="0"/>
          <w:lang w:val="en-US"/>
        </w:rPr>
      </w:pPr>
      <w:r w:rsidRPr="00084F2E">
        <w:rPr>
          <w:rFonts w:cs="Times New Roman"/>
          <w:b w:val="0"/>
          <w:lang w:val="en-US"/>
        </w:rPr>
        <w:t>This table presents the results from the Vector Autoregression (VAR) lag order selection criteria to determine the optimal number of lags to include in the model. The analysis is based on a sample period from 1997 to 2022 with 26 observations.</w:t>
      </w:r>
    </w:p>
    <w:tbl>
      <w:tblPr>
        <w:tblStyle w:val="TableGridLight"/>
        <w:tblW w:w="8536" w:type="dxa"/>
        <w:tblLook w:val="04A0" w:firstRow="1" w:lastRow="0" w:firstColumn="1" w:lastColumn="0" w:noHBand="0" w:noVBand="1"/>
      </w:tblPr>
      <w:tblGrid>
        <w:gridCol w:w="627"/>
        <w:gridCol w:w="1060"/>
        <w:gridCol w:w="3102"/>
        <w:gridCol w:w="1145"/>
        <w:gridCol w:w="1145"/>
        <w:gridCol w:w="1457"/>
      </w:tblGrid>
      <w:tr w:rsidR="00084F2E" w:rsidRPr="00084F2E" w14:paraId="0D27DACC" w14:textId="77777777" w:rsidTr="002A39A6">
        <w:trPr>
          <w:trHeight w:val="550"/>
        </w:trPr>
        <w:tc>
          <w:tcPr>
            <w:tcW w:w="0" w:type="auto"/>
            <w:hideMark/>
          </w:tcPr>
          <w:p w14:paraId="285684F7" w14:textId="77777777" w:rsidR="002A39A6" w:rsidRPr="00084F2E" w:rsidRDefault="002A39A6" w:rsidP="002A39A6">
            <w:pPr>
              <w:spacing w:line="360" w:lineRule="auto"/>
              <w:rPr>
                <w:rFonts w:cs="Times New Roman"/>
                <w:b w:val="0"/>
                <w:lang w:val="en-US"/>
              </w:rPr>
            </w:pPr>
            <w:r w:rsidRPr="00084F2E">
              <w:rPr>
                <w:rFonts w:cs="Times New Roman"/>
                <w:b w:val="0"/>
                <w:lang w:val="en-US"/>
              </w:rPr>
              <w:t>Lag</w:t>
            </w:r>
          </w:p>
        </w:tc>
        <w:tc>
          <w:tcPr>
            <w:tcW w:w="0" w:type="auto"/>
            <w:hideMark/>
          </w:tcPr>
          <w:p w14:paraId="1A37B83F" w14:textId="77777777" w:rsidR="002A39A6" w:rsidRPr="00084F2E" w:rsidRDefault="002A39A6" w:rsidP="002A39A6">
            <w:pPr>
              <w:spacing w:line="360" w:lineRule="auto"/>
              <w:rPr>
                <w:rFonts w:cs="Times New Roman"/>
                <w:b w:val="0"/>
                <w:lang w:val="en-US"/>
              </w:rPr>
            </w:pPr>
            <w:r w:rsidRPr="00084F2E">
              <w:rPr>
                <w:rFonts w:cs="Times New Roman"/>
                <w:b w:val="0"/>
                <w:lang w:val="en-US"/>
              </w:rPr>
              <w:t>LR</w:t>
            </w:r>
          </w:p>
        </w:tc>
        <w:tc>
          <w:tcPr>
            <w:tcW w:w="0" w:type="auto"/>
            <w:hideMark/>
          </w:tcPr>
          <w:p w14:paraId="66A40B6C" w14:textId="77777777" w:rsidR="002A39A6" w:rsidRPr="00084F2E" w:rsidRDefault="002A39A6" w:rsidP="002A39A6">
            <w:pPr>
              <w:spacing w:line="360" w:lineRule="auto"/>
              <w:rPr>
                <w:rFonts w:cs="Times New Roman"/>
                <w:b w:val="0"/>
                <w:lang w:val="en-US"/>
              </w:rPr>
            </w:pPr>
            <w:r w:rsidRPr="00084F2E">
              <w:rPr>
                <w:rFonts w:cs="Times New Roman"/>
                <w:b w:val="0"/>
                <w:lang w:val="en-US"/>
              </w:rPr>
              <w:t>FPE</w:t>
            </w:r>
          </w:p>
        </w:tc>
        <w:tc>
          <w:tcPr>
            <w:tcW w:w="0" w:type="auto"/>
            <w:hideMark/>
          </w:tcPr>
          <w:p w14:paraId="3E571377" w14:textId="77777777" w:rsidR="002A39A6" w:rsidRPr="00084F2E" w:rsidRDefault="002A39A6" w:rsidP="002A39A6">
            <w:pPr>
              <w:spacing w:line="360" w:lineRule="auto"/>
              <w:rPr>
                <w:rFonts w:cs="Times New Roman"/>
                <w:b w:val="0"/>
                <w:lang w:val="en-US"/>
              </w:rPr>
            </w:pPr>
            <w:r w:rsidRPr="00084F2E">
              <w:rPr>
                <w:rFonts w:cs="Times New Roman"/>
                <w:b w:val="0"/>
                <w:lang w:val="en-US"/>
              </w:rPr>
              <w:t>AIC</w:t>
            </w:r>
          </w:p>
        </w:tc>
        <w:tc>
          <w:tcPr>
            <w:tcW w:w="0" w:type="auto"/>
            <w:hideMark/>
          </w:tcPr>
          <w:p w14:paraId="2D927EEB" w14:textId="77777777" w:rsidR="002A39A6" w:rsidRPr="00084F2E" w:rsidRDefault="002A39A6" w:rsidP="002A39A6">
            <w:pPr>
              <w:spacing w:line="360" w:lineRule="auto"/>
              <w:rPr>
                <w:rFonts w:cs="Times New Roman"/>
                <w:b w:val="0"/>
                <w:lang w:val="en-US"/>
              </w:rPr>
            </w:pPr>
            <w:r w:rsidRPr="00084F2E">
              <w:rPr>
                <w:rFonts w:cs="Times New Roman"/>
                <w:b w:val="0"/>
                <w:lang w:val="en-US"/>
              </w:rPr>
              <w:t>HQIC</w:t>
            </w:r>
          </w:p>
        </w:tc>
        <w:tc>
          <w:tcPr>
            <w:tcW w:w="0" w:type="auto"/>
            <w:hideMark/>
          </w:tcPr>
          <w:p w14:paraId="681BCA2C" w14:textId="77777777" w:rsidR="002A39A6" w:rsidRPr="00084F2E" w:rsidRDefault="002A39A6" w:rsidP="002A39A6">
            <w:pPr>
              <w:spacing w:line="360" w:lineRule="auto"/>
              <w:rPr>
                <w:rFonts w:cs="Times New Roman"/>
                <w:b w:val="0"/>
                <w:lang w:val="en-US"/>
              </w:rPr>
            </w:pPr>
            <w:r w:rsidRPr="00084F2E">
              <w:rPr>
                <w:rFonts w:cs="Times New Roman"/>
                <w:b w:val="0"/>
                <w:lang w:val="en-US"/>
              </w:rPr>
              <w:t>SBIC (BIC)</w:t>
            </w:r>
          </w:p>
        </w:tc>
      </w:tr>
      <w:tr w:rsidR="00084F2E" w:rsidRPr="00084F2E" w14:paraId="31C75C6F" w14:textId="77777777" w:rsidTr="002A39A6">
        <w:trPr>
          <w:trHeight w:val="566"/>
        </w:trPr>
        <w:tc>
          <w:tcPr>
            <w:tcW w:w="0" w:type="auto"/>
            <w:hideMark/>
          </w:tcPr>
          <w:p w14:paraId="4D016B4C" w14:textId="77777777" w:rsidR="002A39A6" w:rsidRPr="00084F2E" w:rsidRDefault="002A39A6" w:rsidP="002A39A6">
            <w:pPr>
              <w:spacing w:line="360" w:lineRule="auto"/>
              <w:rPr>
                <w:rFonts w:cs="Times New Roman"/>
                <w:b w:val="0"/>
                <w:lang w:val="en-US"/>
              </w:rPr>
            </w:pPr>
            <w:r w:rsidRPr="00084F2E">
              <w:rPr>
                <w:rFonts w:cs="Times New Roman"/>
                <w:bCs/>
                <w:lang w:val="en-US"/>
              </w:rPr>
              <w:t>0</w:t>
            </w:r>
          </w:p>
        </w:tc>
        <w:tc>
          <w:tcPr>
            <w:tcW w:w="0" w:type="auto"/>
            <w:hideMark/>
          </w:tcPr>
          <w:p w14:paraId="4A7E1C60" w14:textId="77777777" w:rsidR="002A39A6" w:rsidRPr="00084F2E" w:rsidRDefault="002A39A6" w:rsidP="002A39A6">
            <w:pPr>
              <w:spacing w:line="360" w:lineRule="auto"/>
              <w:rPr>
                <w:rFonts w:cs="Times New Roman"/>
                <w:b w:val="0"/>
                <w:lang w:val="en-US"/>
              </w:rPr>
            </w:pPr>
          </w:p>
        </w:tc>
        <w:tc>
          <w:tcPr>
            <w:tcW w:w="0" w:type="auto"/>
            <w:hideMark/>
          </w:tcPr>
          <w:p w14:paraId="63135994" w14:textId="77777777" w:rsidR="002A39A6" w:rsidRPr="00084F2E" w:rsidRDefault="002A39A6" w:rsidP="002A39A6">
            <w:pPr>
              <w:spacing w:line="360" w:lineRule="auto"/>
              <w:rPr>
                <w:rFonts w:cs="Times New Roman"/>
                <w:b w:val="0"/>
                <w:lang w:val="en-US"/>
              </w:rPr>
            </w:pPr>
            <w:r w:rsidRPr="00084F2E">
              <w:rPr>
                <w:rFonts w:cs="Times New Roman"/>
                <w:b w:val="0"/>
                <w:lang w:val="en-US"/>
              </w:rPr>
              <w:t>0.00000000000000114</w:t>
            </w:r>
          </w:p>
        </w:tc>
        <w:tc>
          <w:tcPr>
            <w:tcW w:w="0" w:type="auto"/>
            <w:hideMark/>
          </w:tcPr>
          <w:p w14:paraId="78606046" w14:textId="77777777" w:rsidR="002A39A6" w:rsidRPr="00084F2E" w:rsidRDefault="002A39A6" w:rsidP="002A39A6">
            <w:pPr>
              <w:spacing w:line="360" w:lineRule="auto"/>
              <w:rPr>
                <w:rFonts w:cs="Times New Roman"/>
                <w:b w:val="0"/>
                <w:lang w:val="en-US"/>
              </w:rPr>
            </w:pPr>
            <w:r w:rsidRPr="00084F2E">
              <w:rPr>
                <w:rFonts w:cs="Times New Roman"/>
                <w:b w:val="0"/>
                <w:lang w:val="en-US"/>
              </w:rPr>
              <w:t>-11.2448</w:t>
            </w:r>
          </w:p>
        </w:tc>
        <w:tc>
          <w:tcPr>
            <w:tcW w:w="0" w:type="auto"/>
            <w:hideMark/>
          </w:tcPr>
          <w:p w14:paraId="245A51A5" w14:textId="77777777" w:rsidR="002A39A6" w:rsidRPr="00084F2E" w:rsidRDefault="002A39A6" w:rsidP="002A39A6">
            <w:pPr>
              <w:spacing w:line="360" w:lineRule="auto"/>
              <w:rPr>
                <w:rFonts w:cs="Times New Roman"/>
                <w:b w:val="0"/>
                <w:lang w:val="en-US"/>
              </w:rPr>
            </w:pPr>
            <w:r w:rsidRPr="00084F2E">
              <w:rPr>
                <w:rFonts w:cs="Times New Roman"/>
                <w:b w:val="0"/>
                <w:lang w:val="en-US"/>
              </w:rPr>
              <w:t>-11.1333</w:t>
            </w:r>
          </w:p>
        </w:tc>
        <w:tc>
          <w:tcPr>
            <w:tcW w:w="0" w:type="auto"/>
            <w:hideMark/>
          </w:tcPr>
          <w:p w14:paraId="37FAF64B" w14:textId="77777777" w:rsidR="002A39A6" w:rsidRPr="00084F2E" w:rsidRDefault="002A39A6" w:rsidP="002A39A6">
            <w:pPr>
              <w:spacing w:line="360" w:lineRule="auto"/>
              <w:rPr>
                <w:rFonts w:cs="Times New Roman"/>
                <w:b w:val="0"/>
                <w:lang w:val="en-US"/>
              </w:rPr>
            </w:pPr>
            <w:r w:rsidRPr="00084F2E">
              <w:rPr>
                <w:rFonts w:cs="Times New Roman"/>
                <w:b w:val="0"/>
                <w:lang w:val="en-US"/>
              </w:rPr>
              <w:t>-10.8877</w:t>
            </w:r>
          </w:p>
        </w:tc>
      </w:tr>
      <w:tr w:rsidR="00084F2E" w:rsidRPr="00084F2E" w14:paraId="72D62A4A" w14:textId="77777777" w:rsidTr="002A39A6">
        <w:trPr>
          <w:trHeight w:val="550"/>
        </w:trPr>
        <w:tc>
          <w:tcPr>
            <w:tcW w:w="0" w:type="auto"/>
            <w:hideMark/>
          </w:tcPr>
          <w:p w14:paraId="4831E936" w14:textId="77777777" w:rsidR="002A39A6" w:rsidRPr="00084F2E" w:rsidRDefault="002A39A6" w:rsidP="002A39A6">
            <w:pPr>
              <w:spacing w:line="360" w:lineRule="auto"/>
              <w:rPr>
                <w:rFonts w:cs="Times New Roman"/>
                <w:b w:val="0"/>
                <w:lang w:val="en-US"/>
              </w:rPr>
            </w:pPr>
            <w:r w:rsidRPr="00084F2E">
              <w:rPr>
                <w:rFonts w:cs="Times New Roman"/>
                <w:bCs/>
                <w:lang w:val="en-US"/>
              </w:rPr>
              <w:lastRenderedPageBreak/>
              <w:t>1</w:t>
            </w:r>
          </w:p>
        </w:tc>
        <w:tc>
          <w:tcPr>
            <w:tcW w:w="0" w:type="auto"/>
            <w:hideMark/>
          </w:tcPr>
          <w:p w14:paraId="3DCCA31F" w14:textId="77777777" w:rsidR="002A39A6" w:rsidRPr="00084F2E" w:rsidRDefault="002A39A6" w:rsidP="002A39A6">
            <w:pPr>
              <w:spacing w:line="360" w:lineRule="auto"/>
              <w:rPr>
                <w:rFonts w:cs="Times New Roman"/>
                <w:b w:val="0"/>
                <w:lang w:val="en-US"/>
              </w:rPr>
            </w:pPr>
            <w:r w:rsidRPr="00084F2E">
              <w:rPr>
                <w:rFonts w:cs="Times New Roman"/>
                <w:b w:val="0"/>
                <w:lang w:val="en-US"/>
              </w:rPr>
              <w:t>320.627</w:t>
            </w:r>
          </w:p>
        </w:tc>
        <w:tc>
          <w:tcPr>
            <w:tcW w:w="0" w:type="auto"/>
            <w:hideMark/>
          </w:tcPr>
          <w:p w14:paraId="6E9AA251" w14:textId="77777777" w:rsidR="002A39A6" w:rsidRPr="00084F2E" w:rsidRDefault="002A39A6" w:rsidP="002A39A6">
            <w:pPr>
              <w:spacing w:line="360" w:lineRule="auto"/>
              <w:rPr>
                <w:rFonts w:cs="Times New Roman"/>
                <w:b w:val="0"/>
                <w:lang w:val="en-US"/>
              </w:rPr>
            </w:pPr>
            <w:r w:rsidRPr="00084F2E">
              <w:rPr>
                <w:rFonts w:cs="Times New Roman"/>
                <w:b w:val="0"/>
                <w:lang w:val="en-US"/>
              </w:rPr>
              <w:t>0.000000000000000000876</w:t>
            </w:r>
          </w:p>
        </w:tc>
        <w:tc>
          <w:tcPr>
            <w:tcW w:w="0" w:type="auto"/>
            <w:hideMark/>
          </w:tcPr>
          <w:p w14:paraId="3D51F742" w14:textId="77777777" w:rsidR="002A39A6" w:rsidRPr="00084F2E" w:rsidRDefault="002A39A6" w:rsidP="002A39A6">
            <w:pPr>
              <w:spacing w:line="360" w:lineRule="auto"/>
              <w:rPr>
                <w:rFonts w:cs="Times New Roman"/>
                <w:b w:val="0"/>
                <w:lang w:val="en-US"/>
              </w:rPr>
            </w:pPr>
            <w:r w:rsidRPr="00084F2E">
              <w:rPr>
                <w:rFonts w:cs="Times New Roman"/>
                <w:b w:val="0"/>
                <w:lang w:val="en-US"/>
              </w:rPr>
              <w:t>-19.1292</w:t>
            </w:r>
          </w:p>
        </w:tc>
        <w:tc>
          <w:tcPr>
            <w:tcW w:w="0" w:type="auto"/>
            <w:hideMark/>
          </w:tcPr>
          <w:p w14:paraId="0C87864E" w14:textId="77777777" w:rsidR="002A39A6" w:rsidRPr="00084F2E" w:rsidRDefault="002A39A6" w:rsidP="002A39A6">
            <w:pPr>
              <w:spacing w:line="360" w:lineRule="auto"/>
              <w:rPr>
                <w:rFonts w:cs="Times New Roman"/>
                <w:b w:val="0"/>
                <w:lang w:val="en-US"/>
              </w:rPr>
            </w:pPr>
            <w:r w:rsidRPr="00084F2E">
              <w:rPr>
                <w:rFonts w:cs="Times New Roman"/>
                <w:b w:val="0"/>
                <w:lang w:val="en-US"/>
              </w:rPr>
              <w:t>-18.1209</w:t>
            </w:r>
          </w:p>
        </w:tc>
        <w:tc>
          <w:tcPr>
            <w:tcW w:w="0" w:type="auto"/>
            <w:hideMark/>
          </w:tcPr>
          <w:p w14:paraId="46382452" w14:textId="77777777" w:rsidR="002A39A6" w:rsidRPr="00084F2E" w:rsidRDefault="002A39A6" w:rsidP="002A39A6">
            <w:pPr>
              <w:spacing w:line="360" w:lineRule="auto"/>
              <w:rPr>
                <w:rFonts w:cs="Times New Roman"/>
                <w:b w:val="0"/>
                <w:lang w:val="en-US"/>
              </w:rPr>
            </w:pPr>
            <w:r w:rsidRPr="00084F2E">
              <w:rPr>
                <w:rFonts w:cs="Times New Roman"/>
                <w:b w:val="0"/>
                <w:lang w:val="en-US"/>
              </w:rPr>
              <w:t>-15.6412</w:t>
            </w:r>
          </w:p>
        </w:tc>
      </w:tr>
      <w:tr w:rsidR="00084F2E" w:rsidRPr="00084F2E" w14:paraId="4947304D" w14:textId="77777777" w:rsidTr="002A39A6">
        <w:trPr>
          <w:trHeight w:val="550"/>
        </w:trPr>
        <w:tc>
          <w:tcPr>
            <w:tcW w:w="0" w:type="auto"/>
            <w:hideMark/>
          </w:tcPr>
          <w:p w14:paraId="1D21442F" w14:textId="77777777" w:rsidR="002A39A6" w:rsidRPr="00084F2E" w:rsidRDefault="002A39A6" w:rsidP="002A39A6">
            <w:pPr>
              <w:spacing w:line="360" w:lineRule="auto"/>
              <w:rPr>
                <w:rFonts w:cs="Times New Roman"/>
                <w:b w:val="0"/>
                <w:lang w:val="en-US"/>
              </w:rPr>
            </w:pPr>
            <w:r w:rsidRPr="00084F2E">
              <w:rPr>
                <w:rFonts w:cs="Times New Roman"/>
                <w:bCs/>
                <w:lang w:val="en-US"/>
              </w:rPr>
              <w:t>2</w:t>
            </w:r>
          </w:p>
        </w:tc>
        <w:tc>
          <w:tcPr>
            <w:tcW w:w="0" w:type="auto"/>
            <w:hideMark/>
          </w:tcPr>
          <w:p w14:paraId="204176C0" w14:textId="0E6C3B34" w:rsidR="002A39A6" w:rsidRPr="00084F2E" w:rsidRDefault="002A39A6" w:rsidP="002A39A6">
            <w:pPr>
              <w:spacing w:line="360" w:lineRule="auto"/>
              <w:rPr>
                <w:rFonts w:cs="Times New Roman"/>
                <w:b w:val="0"/>
                <w:lang w:val="en-US"/>
              </w:rPr>
            </w:pPr>
            <w:r w:rsidRPr="00084F2E">
              <w:rPr>
                <w:rFonts w:cs="Times New Roman"/>
                <w:b w:val="0"/>
                <w:lang w:val="en-US"/>
              </w:rPr>
              <w:t>494.117</w:t>
            </w:r>
          </w:p>
        </w:tc>
        <w:tc>
          <w:tcPr>
            <w:tcW w:w="0" w:type="auto"/>
            <w:hideMark/>
          </w:tcPr>
          <w:p w14:paraId="0A7555A8" w14:textId="0C3187C4" w:rsidR="002A39A6" w:rsidRPr="00084F2E" w:rsidRDefault="002A39A6" w:rsidP="002A39A6">
            <w:pPr>
              <w:spacing w:line="360" w:lineRule="auto"/>
              <w:rPr>
                <w:rFonts w:cs="Times New Roman"/>
                <w:b w:val="0"/>
                <w:lang w:val="en-US"/>
              </w:rPr>
            </w:pPr>
            <w:r w:rsidRPr="00084F2E">
              <w:rPr>
                <w:rFonts w:cs="Times New Roman"/>
                <w:b w:val="0"/>
                <w:lang w:val="en-US"/>
              </w:rPr>
              <w:t>0.00000000000000000346</w:t>
            </w:r>
          </w:p>
        </w:tc>
        <w:tc>
          <w:tcPr>
            <w:tcW w:w="0" w:type="auto"/>
            <w:hideMark/>
          </w:tcPr>
          <w:p w14:paraId="5263C075" w14:textId="77777777" w:rsidR="002A39A6" w:rsidRPr="00084F2E" w:rsidRDefault="002A39A6" w:rsidP="002A39A6">
            <w:pPr>
              <w:spacing w:line="360" w:lineRule="auto"/>
              <w:rPr>
                <w:rFonts w:cs="Times New Roman"/>
                <w:b w:val="0"/>
                <w:lang w:val="en-US"/>
              </w:rPr>
            </w:pPr>
            <w:r w:rsidRPr="00084F2E">
              <w:rPr>
                <w:rFonts w:cs="Times New Roman"/>
                <w:b w:val="0"/>
                <w:lang w:val="en-US"/>
              </w:rPr>
              <w:t>-27.5623</w:t>
            </w:r>
          </w:p>
        </w:tc>
        <w:tc>
          <w:tcPr>
            <w:tcW w:w="0" w:type="auto"/>
            <w:hideMark/>
          </w:tcPr>
          <w:p w14:paraId="57DB2BB5" w14:textId="77777777" w:rsidR="002A39A6" w:rsidRPr="00084F2E" w:rsidRDefault="002A39A6" w:rsidP="002A39A6">
            <w:pPr>
              <w:spacing w:line="360" w:lineRule="auto"/>
              <w:rPr>
                <w:rFonts w:cs="Times New Roman"/>
                <w:b w:val="0"/>
                <w:lang w:val="en-US"/>
              </w:rPr>
            </w:pPr>
            <w:r w:rsidRPr="00084F2E">
              <w:rPr>
                <w:rFonts w:cs="Times New Roman"/>
                <w:b w:val="0"/>
                <w:lang w:val="en-US"/>
              </w:rPr>
              <w:t>-20.6473</w:t>
            </w:r>
          </w:p>
        </w:tc>
        <w:tc>
          <w:tcPr>
            <w:tcW w:w="0" w:type="auto"/>
            <w:hideMark/>
          </w:tcPr>
          <w:p w14:paraId="0E28AB7A" w14:textId="77777777" w:rsidR="002A39A6" w:rsidRPr="00084F2E" w:rsidRDefault="002A39A6" w:rsidP="002A39A6">
            <w:pPr>
              <w:spacing w:line="360" w:lineRule="auto"/>
              <w:rPr>
                <w:rFonts w:cs="Times New Roman"/>
                <w:b w:val="0"/>
                <w:lang w:val="en-US"/>
              </w:rPr>
            </w:pPr>
            <w:r w:rsidRPr="00084F2E">
              <w:rPr>
                <w:rFonts w:cs="Times New Roman"/>
                <w:b w:val="0"/>
                <w:lang w:val="en-US"/>
              </w:rPr>
              <w:t>-20.9615</w:t>
            </w:r>
          </w:p>
        </w:tc>
      </w:tr>
      <w:tr w:rsidR="00084F2E" w:rsidRPr="00084F2E" w14:paraId="09E98147" w14:textId="77777777" w:rsidTr="002A39A6">
        <w:trPr>
          <w:trHeight w:val="566"/>
        </w:trPr>
        <w:tc>
          <w:tcPr>
            <w:tcW w:w="0" w:type="auto"/>
            <w:hideMark/>
          </w:tcPr>
          <w:p w14:paraId="4B14D0AA" w14:textId="77777777" w:rsidR="002A39A6" w:rsidRPr="00084F2E" w:rsidRDefault="002A39A6" w:rsidP="002A39A6">
            <w:pPr>
              <w:spacing w:line="360" w:lineRule="auto"/>
              <w:rPr>
                <w:rFonts w:cs="Times New Roman"/>
                <w:b w:val="0"/>
                <w:lang w:val="en-US"/>
              </w:rPr>
            </w:pPr>
            <w:r w:rsidRPr="00084F2E">
              <w:rPr>
                <w:rFonts w:cs="Times New Roman"/>
                <w:bCs/>
                <w:lang w:val="en-US"/>
              </w:rPr>
              <w:t>3</w:t>
            </w:r>
          </w:p>
        </w:tc>
        <w:tc>
          <w:tcPr>
            <w:tcW w:w="0" w:type="auto"/>
            <w:hideMark/>
          </w:tcPr>
          <w:p w14:paraId="7895E9AA" w14:textId="77777777" w:rsidR="002A39A6" w:rsidRPr="00084F2E" w:rsidRDefault="002A39A6" w:rsidP="002A39A6">
            <w:pPr>
              <w:spacing w:line="360" w:lineRule="auto"/>
              <w:rPr>
                <w:rFonts w:cs="Times New Roman"/>
                <w:b w:val="0"/>
                <w:lang w:val="en-US"/>
              </w:rPr>
            </w:pPr>
            <w:r w:rsidRPr="00084F2E">
              <w:rPr>
                <w:rFonts w:cs="Times New Roman"/>
                <w:b w:val="0"/>
                <w:lang w:val="en-US"/>
              </w:rPr>
              <w:t>.</w:t>
            </w:r>
          </w:p>
        </w:tc>
        <w:tc>
          <w:tcPr>
            <w:tcW w:w="0" w:type="auto"/>
            <w:hideMark/>
          </w:tcPr>
          <w:p w14:paraId="2A320BC8" w14:textId="77777777" w:rsidR="002A39A6" w:rsidRPr="00084F2E" w:rsidRDefault="002A39A6" w:rsidP="002A39A6">
            <w:pPr>
              <w:spacing w:line="360" w:lineRule="auto"/>
              <w:rPr>
                <w:rFonts w:cs="Times New Roman"/>
                <w:b w:val="0"/>
                <w:lang w:val="en-US"/>
              </w:rPr>
            </w:pPr>
            <w:r w:rsidRPr="00084F2E">
              <w:rPr>
                <w:rFonts w:cs="Times New Roman"/>
                <w:b w:val="0"/>
                <w:lang w:val="en-US"/>
              </w:rPr>
              <w:t>0.000000000000306</w:t>
            </w:r>
          </w:p>
        </w:tc>
        <w:tc>
          <w:tcPr>
            <w:tcW w:w="0" w:type="auto"/>
            <w:hideMark/>
          </w:tcPr>
          <w:p w14:paraId="5CFAB638" w14:textId="77777777" w:rsidR="002A39A6" w:rsidRPr="00084F2E" w:rsidRDefault="002A39A6" w:rsidP="002A39A6">
            <w:pPr>
              <w:spacing w:line="360" w:lineRule="auto"/>
              <w:rPr>
                <w:rFonts w:cs="Times New Roman"/>
                <w:b w:val="0"/>
                <w:lang w:val="en-US"/>
              </w:rPr>
            </w:pPr>
            <w:r w:rsidRPr="00084F2E">
              <w:rPr>
                <w:rFonts w:cs="Times New Roman"/>
                <w:b w:val="0"/>
                <w:lang w:val="en-US"/>
              </w:rPr>
              <w:t>.</w:t>
            </w:r>
          </w:p>
        </w:tc>
        <w:tc>
          <w:tcPr>
            <w:tcW w:w="0" w:type="auto"/>
            <w:hideMark/>
          </w:tcPr>
          <w:p w14:paraId="192D75E3" w14:textId="77777777" w:rsidR="002A39A6" w:rsidRPr="00084F2E" w:rsidRDefault="002A39A6" w:rsidP="002A39A6">
            <w:pPr>
              <w:spacing w:line="360" w:lineRule="auto"/>
              <w:rPr>
                <w:rFonts w:cs="Times New Roman"/>
                <w:b w:val="0"/>
                <w:lang w:val="en-US"/>
              </w:rPr>
            </w:pPr>
            <w:r w:rsidRPr="00084F2E">
              <w:rPr>
                <w:rFonts w:cs="Times New Roman"/>
                <w:b w:val="0"/>
                <w:lang w:val="en-US"/>
              </w:rPr>
              <w:t>.</w:t>
            </w:r>
          </w:p>
        </w:tc>
        <w:tc>
          <w:tcPr>
            <w:tcW w:w="0" w:type="auto"/>
            <w:hideMark/>
          </w:tcPr>
          <w:p w14:paraId="00103C64" w14:textId="77777777" w:rsidR="002A39A6" w:rsidRPr="00084F2E" w:rsidRDefault="002A39A6" w:rsidP="002A39A6">
            <w:pPr>
              <w:spacing w:line="360" w:lineRule="auto"/>
              <w:rPr>
                <w:rFonts w:cs="Times New Roman"/>
                <w:b w:val="0"/>
                <w:lang w:val="en-US"/>
              </w:rPr>
            </w:pPr>
            <w:r w:rsidRPr="00084F2E">
              <w:rPr>
                <w:rFonts w:cs="Times New Roman"/>
                <w:b w:val="0"/>
                <w:lang w:val="en-US"/>
              </w:rPr>
              <w:t>.</w:t>
            </w:r>
          </w:p>
        </w:tc>
      </w:tr>
      <w:tr w:rsidR="00084F2E" w:rsidRPr="00084F2E" w14:paraId="0CE922A0" w14:textId="77777777" w:rsidTr="002A39A6">
        <w:trPr>
          <w:trHeight w:val="550"/>
        </w:trPr>
        <w:tc>
          <w:tcPr>
            <w:tcW w:w="0" w:type="auto"/>
            <w:hideMark/>
          </w:tcPr>
          <w:p w14:paraId="5E113611" w14:textId="77777777" w:rsidR="002A39A6" w:rsidRPr="00084F2E" w:rsidRDefault="002A39A6" w:rsidP="002A39A6">
            <w:pPr>
              <w:spacing w:line="360" w:lineRule="auto"/>
              <w:rPr>
                <w:rFonts w:cs="Times New Roman"/>
                <w:b w:val="0"/>
                <w:lang w:val="en-US"/>
              </w:rPr>
            </w:pPr>
            <w:r w:rsidRPr="00084F2E">
              <w:rPr>
                <w:rFonts w:cs="Times New Roman"/>
                <w:bCs/>
                <w:lang w:val="en-US"/>
              </w:rPr>
              <w:t>4</w:t>
            </w:r>
          </w:p>
        </w:tc>
        <w:tc>
          <w:tcPr>
            <w:tcW w:w="0" w:type="auto"/>
            <w:hideMark/>
          </w:tcPr>
          <w:p w14:paraId="5554174A" w14:textId="77777777" w:rsidR="002A39A6" w:rsidRPr="00084F2E" w:rsidRDefault="002A39A6" w:rsidP="002A39A6">
            <w:pPr>
              <w:spacing w:line="360" w:lineRule="auto"/>
              <w:rPr>
                <w:rFonts w:cs="Times New Roman"/>
                <w:b w:val="0"/>
                <w:lang w:val="en-US"/>
              </w:rPr>
            </w:pPr>
            <w:r w:rsidRPr="00084F2E">
              <w:rPr>
                <w:rFonts w:cs="Times New Roman"/>
                <w:b w:val="0"/>
                <w:lang w:val="en-US"/>
              </w:rPr>
              <w:t>6346.59</w:t>
            </w:r>
          </w:p>
        </w:tc>
        <w:tc>
          <w:tcPr>
            <w:tcW w:w="0" w:type="auto"/>
            <w:hideMark/>
          </w:tcPr>
          <w:p w14:paraId="160E55D7" w14:textId="77777777" w:rsidR="002A39A6" w:rsidRPr="00084F2E" w:rsidRDefault="002A39A6" w:rsidP="002A39A6">
            <w:pPr>
              <w:spacing w:line="360" w:lineRule="auto"/>
              <w:rPr>
                <w:rFonts w:cs="Times New Roman"/>
                <w:b w:val="0"/>
                <w:lang w:val="en-US"/>
              </w:rPr>
            </w:pPr>
            <w:r w:rsidRPr="00084F2E">
              <w:rPr>
                <w:rFonts w:cs="Times New Roman"/>
                <w:b w:val="0"/>
                <w:lang w:val="en-US"/>
              </w:rPr>
              <w:t>.</w:t>
            </w:r>
          </w:p>
        </w:tc>
        <w:tc>
          <w:tcPr>
            <w:tcW w:w="0" w:type="auto"/>
            <w:hideMark/>
          </w:tcPr>
          <w:p w14:paraId="3EFFD86C" w14:textId="1759DA30" w:rsidR="002A39A6" w:rsidRPr="00084F2E" w:rsidRDefault="002A39A6" w:rsidP="002A39A6">
            <w:pPr>
              <w:spacing w:line="360" w:lineRule="auto"/>
              <w:rPr>
                <w:rFonts w:cs="Times New Roman"/>
                <w:b w:val="0"/>
                <w:lang w:val="en-US"/>
              </w:rPr>
            </w:pPr>
            <w:r w:rsidRPr="00084F2E">
              <w:rPr>
                <w:rFonts w:cs="Times New Roman"/>
                <w:b w:val="0"/>
                <w:lang w:val="en-US"/>
              </w:rPr>
              <w:t>-472.199</w:t>
            </w:r>
          </w:p>
        </w:tc>
        <w:tc>
          <w:tcPr>
            <w:tcW w:w="0" w:type="auto"/>
            <w:hideMark/>
          </w:tcPr>
          <w:p w14:paraId="781E6D5D" w14:textId="7E345864" w:rsidR="002A39A6" w:rsidRPr="00084F2E" w:rsidRDefault="002A39A6" w:rsidP="002A39A6">
            <w:pPr>
              <w:spacing w:line="360" w:lineRule="auto"/>
              <w:rPr>
                <w:rFonts w:cs="Times New Roman"/>
                <w:b w:val="0"/>
                <w:lang w:val="en-US"/>
              </w:rPr>
            </w:pPr>
            <w:r w:rsidRPr="00084F2E">
              <w:rPr>
                <w:rFonts w:cs="Times New Roman"/>
                <w:b w:val="0"/>
                <w:lang w:val="en-US"/>
              </w:rPr>
              <w:t>-469.301</w:t>
            </w:r>
          </w:p>
        </w:tc>
        <w:tc>
          <w:tcPr>
            <w:tcW w:w="0" w:type="auto"/>
            <w:hideMark/>
          </w:tcPr>
          <w:p w14:paraId="42568996" w14:textId="6927F5AE" w:rsidR="002A39A6" w:rsidRPr="00084F2E" w:rsidRDefault="002A39A6" w:rsidP="002A39A6">
            <w:pPr>
              <w:spacing w:line="360" w:lineRule="auto"/>
              <w:rPr>
                <w:rFonts w:cs="Times New Roman"/>
                <w:b w:val="0"/>
                <w:lang w:val="en-US"/>
              </w:rPr>
            </w:pPr>
            <w:r w:rsidRPr="00084F2E">
              <w:rPr>
                <w:rFonts w:cs="Times New Roman"/>
                <w:b w:val="0"/>
                <w:lang w:val="en-US"/>
              </w:rPr>
              <w:t>-462.134</w:t>
            </w:r>
          </w:p>
        </w:tc>
      </w:tr>
    </w:tbl>
    <w:p w14:paraId="14660669"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The output from the `varsoc` command is crucial for determining the optimal lag length in a Vector Autoregression (VAR) model that incorporates several macroeconomic variables. This analysis focuses on endogenous variables such as Export Value, GDP, Corruption Control, Consumer Price Index (CPI), Foreign Direct Investment (FDI), Gross National Savings, Indirect Tax Revenue, and Government Debt. The data spans from 1997 to 2022, encompassing a total of 26 observations. Understanding the appropriate lag length is essential for accurately capturing the dynamic relationships among these variables.</w:t>
      </w:r>
    </w:p>
    <w:p w14:paraId="2910B179" w14:textId="77777777" w:rsidR="0072282A" w:rsidRPr="00084F2E" w:rsidRDefault="00AB1BEC">
      <w:pPr>
        <w:spacing w:before="100" w:beforeAutospacing="1" w:after="100" w:afterAutospacing="1" w:line="360" w:lineRule="auto"/>
        <w:jc w:val="both"/>
        <w:rPr>
          <w:rFonts w:cs="Times New Roman"/>
          <w:lang w:val="en-US"/>
        </w:rPr>
      </w:pPr>
      <w:r w:rsidRPr="00084F2E">
        <w:rPr>
          <w:rFonts w:cs="Times New Roman"/>
          <w:lang w:val="en-US"/>
        </w:rPr>
        <w:t>Overview of Selection Criteria</w:t>
      </w:r>
    </w:p>
    <w:p w14:paraId="0075358B"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 xml:space="preserve">The table presents several selection criteria that aid in identifying the optimal lag length for the VAR model. Key metrics include Log Likelihood (LL), Likelihood Ratio (LR), Degrees of Freedom (df), Final Prediction Error (FPE), Akaike Information Criterion (AIC), Hannan-Quinn Information Criterion (HQIC), and Schwarz Bayesian Information Criterion (SBIC). </w:t>
      </w:r>
    </w:p>
    <w:p w14:paraId="2B93CD05"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Log Likelihood (LL) reflects the goodness of fit of the model, with higher values indicating a better fit to the data. The Likelihood Ratio (LR) tests the null hypothesis that a simpler model (with fewer lags) is sufficient. A significant LR statistic, accompanied by a low p-value, suggests that adding more lags enhances the model's fit. Degrees of Freedom (df) represents the number of restrictions imposed by the inclusion of additional lags.</w:t>
      </w:r>
    </w:p>
    <w:p w14:paraId="602D0325"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 xml:space="preserve">Final Prediction Error (FPE) serves as a criterion for model selection, where lower values indicate better predictive performance. The Akaike Information Criterion (AIC) penalizes model complexity, where lower values are preferred as they indicate a better trade-off between fit and complexity. The Hannan-Quinn Information Criterion (HQIC) is similar to AIC but applies a </w:t>
      </w:r>
      <w:r w:rsidRPr="00084F2E">
        <w:rPr>
          <w:rFonts w:cs="Times New Roman"/>
          <w:b w:val="0"/>
          <w:lang w:val="en-US"/>
        </w:rPr>
        <w:lastRenderedPageBreak/>
        <w:t>different penalty for complexity. Lastly, the Schwarz Bayesian Information Criterion (SBIC) also penalizes for complexity, providing further insights into model selection.</w:t>
      </w:r>
    </w:p>
    <w:p w14:paraId="39DE8EFA"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Starting with Lag 0, the model yields a Log Likelihood (LL) of 154.182 and an AIC of -11.2448. These values suggest that this model fails to adequately capture the relationships among the variables, indicating that further lags are necessary for a more accurate representation.</w:t>
      </w:r>
    </w:p>
    <w:p w14:paraId="2A1FD79A"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Moving to Lag 1, the LL increases to 320.627, with a significant LR statistic of 332.89 (p = 0.000). The AIC decreases to -19.1252, demonstrating a notable improvement in model fit. This suggests that adding one lag significantly enhances the model's ability to explain the dynamics among the variables.</w:t>
      </w:r>
    </w:p>
    <w:p w14:paraId="229EED10"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The introduction of a second lag further elevates the LL to 494.050, supported by an LR statistic of 346.85 (p = 0.000). The AIC reaches -27.5423, indicating that this model captures additional dynamics effectively. The strong performance of the second lag positions it as a compelling candidate for the optimal lag length.</w:t>
      </w:r>
    </w:p>
    <w:p w14:paraId="45F9488B"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For Lag 3, the absence of log likelihood and LR statistics raises concerns about the model's viability. This could imply that the model may be overfitting or that the data does not support such complexity. The lack of results suggests that further lags may not be necessary or beneficial.</w:t>
      </w:r>
    </w:p>
    <w:p w14:paraId="0760CC26"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In the case of Lag 4, the log likelihood is exceptionally high at 6346.59, but the FPE is alarmingly low (-3.e-131). This discrepancy raises red flags regarding overfitting, as the model might be capturing noise rather than meaningful relationships. The absence of significant LR statistics further supports the notion that this model may not provide reliable insights.</w:t>
      </w:r>
    </w:p>
    <w:p w14:paraId="27848481"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In light of the above analysis, it is evident that Lag 2 emerges as the optimal choice for the VAR model. This conclusion is grounded in the significant improvements observed in log likelihood, AIC, and the consistent reduction in FPE as more lags are incorporated. While lag 4 presents a notably high log likelihood, the associated risks of overfitting and lack of robustness in its results warrant caution against its use. Thus, adopting a lag length of 2 is advisable for further analysis, as it effectively balances model complexity with predictive accuracy.</w:t>
      </w:r>
    </w:p>
    <w:p w14:paraId="12DBFFB5" w14:textId="3D0912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In summary, the results from the VAR lag order selection provide a clear framework for modeling the intricate interrelationships among the selected macroeconomic variables. This approach enables a more nuanced understanding of their interactions over time, ultimately contributing to more informed economic policy decisions and strategic planning. The findings highlight the importance of careful model specification, ensuring that the selected lag length captures the essential dynamics without introducing unnecessary complexity.</w:t>
      </w:r>
    </w:p>
    <w:p w14:paraId="1CED7ABA" w14:textId="77777777" w:rsidR="0072282A" w:rsidRPr="00084F2E" w:rsidRDefault="00AB1BEC">
      <w:pPr>
        <w:pStyle w:val="Heading3"/>
        <w:rPr>
          <w:lang w:val="en-US"/>
        </w:rPr>
      </w:pPr>
      <w:bookmarkStart w:id="82" w:name="_Toc220662039"/>
      <w:r w:rsidRPr="00084F2E">
        <w:rPr>
          <w:lang w:val="en-US"/>
        </w:rPr>
        <w:t>4.6.2. Test of auto correlation</w:t>
      </w:r>
      <w:bookmarkEnd w:id="82"/>
      <w:r w:rsidRPr="00084F2E">
        <w:rPr>
          <w:lang w:val="en-US"/>
        </w:rPr>
        <w:t xml:space="preserve"> </w:t>
      </w:r>
    </w:p>
    <w:p w14:paraId="5D89FF58" w14:textId="77777777" w:rsidR="0072282A" w:rsidRPr="00084F2E" w:rsidRDefault="00AB1BEC">
      <w:pPr>
        <w:spacing w:before="100" w:beforeAutospacing="1" w:after="100" w:afterAutospacing="1" w:line="360" w:lineRule="auto"/>
        <w:jc w:val="both"/>
        <w:outlineLvl w:val="2"/>
        <w:rPr>
          <w:rFonts w:cs="Times New Roman"/>
          <w:bCs/>
          <w:sz w:val="27"/>
          <w:szCs w:val="27"/>
          <w:lang w:val="en-US"/>
        </w:rPr>
      </w:pPr>
      <w:bookmarkStart w:id="83" w:name="_Toc214281276"/>
      <w:bookmarkStart w:id="84" w:name="_Toc219118656"/>
      <w:bookmarkStart w:id="85" w:name="_Toc220662040"/>
      <w:r w:rsidRPr="00084F2E">
        <w:rPr>
          <w:rFonts w:cs="Times New Roman"/>
          <w:bCs/>
          <w:sz w:val="27"/>
          <w:szCs w:val="27"/>
          <w:lang w:val="en-US"/>
        </w:rPr>
        <w:t>Table 4: Breusch-Godfrey LM Test for Autocorrelation</w:t>
      </w:r>
      <w:bookmarkEnd w:id="83"/>
      <w:bookmarkEnd w:id="84"/>
      <w:bookmarkEnd w:id="85"/>
    </w:p>
    <w:p w14:paraId="08B11879" w14:textId="303288F0" w:rsidR="00F41FF6"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This table presents the results of the Breusch-Godfrey Lagrange Multiplier (LM) test, used to check for the presence of serial correlation in the residuals of the estimated model.</w:t>
      </w:r>
    </w:p>
    <w:tbl>
      <w:tblPr>
        <w:tblStyle w:val="TableGrid"/>
        <w:tblW w:w="0" w:type="auto"/>
        <w:tblLook w:val="04A0" w:firstRow="1" w:lastRow="0" w:firstColumn="1" w:lastColumn="0" w:noHBand="0" w:noVBand="1"/>
      </w:tblPr>
      <w:tblGrid>
        <w:gridCol w:w="2096"/>
        <w:gridCol w:w="2596"/>
        <w:gridCol w:w="2278"/>
      </w:tblGrid>
      <w:tr w:rsidR="00084F2E" w:rsidRPr="00084F2E" w14:paraId="38978D47" w14:textId="77777777">
        <w:tc>
          <w:tcPr>
            <w:tcW w:w="0" w:type="auto"/>
          </w:tcPr>
          <w:p w14:paraId="67B26EEB" w14:textId="77777777" w:rsidR="0072282A" w:rsidRPr="00084F2E" w:rsidRDefault="00AB1BEC">
            <w:pPr>
              <w:spacing w:line="360" w:lineRule="auto"/>
              <w:jc w:val="both"/>
              <w:rPr>
                <w:rFonts w:cs="Times New Roman"/>
                <w:b w:val="0"/>
                <w:lang w:val="en-US"/>
              </w:rPr>
            </w:pPr>
            <w:r w:rsidRPr="00084F2E">
              <w:rPr>
                <w:rFonts w:cs="Times New Roman"/>
                <w:b w:val="0"/>
                <w:lang w:val="en-US"/>
              </w:rPr>
              <w:t>Test Statistic (chi2)</w:t>
            </w:r>
          </w:p>
        </w:tc>
        <w:tc>
          <w:tcPr>
            <w:tcW w:w="0" w:type="auto"/>
          </w:tcPr>
          <w:p w14:paraId="43560C01" w14:textId="77777777" w:rsidR="0072282A" w:rsidRPr="00084F2E" w:rsidRDefault="00AB1BEC">
            <w:pPr>
              <w:spacing w:line="360" w:lineRule="auto"/>
              <w:jc w:val="both"/>
              <w:rPr>
                <w:rFonts w:cs="Times New Roman"/>
                <w:b w:val="0"/>
                <w:lang w:val="en-US"/>
              </w:rPr>
            </w:pPr>
            <w:r w:rsidRPr="00084F2E">
              <w:rPr>
                <w:rFonts w:cs="Times New Roman"/>
                <w:b w:val="0"/>
                <w:lang w:val="en-US"/>
              </w:rPr>
              <w:t>Degrees of Freedom (df)</w:t>
            </w:r>
          </w:p>
        </w:tc>
        <w:tc>
          <w:tcPr>
            <w:tcW w:w="0" w:type="auto"/>
          </w:tcPr>
          <w:p w14:paraId="57176C03" w14:textId="77777777" w:rsidR="0072282A" w:rsidRPr="00084F2E" w:rsidRDefault="00AB1BEC">
            <w:pPr>
              <w:spacing w:line="360" w:lineRule="auto"/>
              <w:jc w:val="both"/>
              <w:rPr>
                <w:rFonts w:cs="Times New Roman"/>
                <w:b w:val="0"/>
                <w:lang w:val="en-US"/>
              </w:rPr>
            </w:pPr>
            <w:r w:rsidRPr="00084F2E">
              <w:rPr>
                <w:rFonts w:cs="Times New Roman"/>
                <w:b w:val="0"/>
                <w:lang w:val="en-US"/>
              </w:rPr>
              <w:t>p-value (Prob &gt; chi2)</w:t>
            </w:r>
          </w:p>
        </w:tc>
      </w:tr>
      <w:tr w:rsidR="00084F2E" w:rsidRPr="00084F2E" w14:paraId="3153A68E" w14:textId="77777777">
        <w:tc>
          <w:tcPr>
            <w:tcW w:w="0" w:type="auto"/>
          </w:tcPr>
          <w:p w14:paraId="29139CA2" w14:textId="77777777" w:rsidR="0072282A" w:rsidRPr="00084F2E" w:rsidRDefault="00AB1BEC">
            <w:pPr>
              <w:spacing w:line="360" w:lineRule="auto"/>
              <w:jc w:val="both"/>
              <w:rPr>
                <w:rFonts w:cs="Times New Roman"/>
                <w:b w:val="0"/>
                <w:lang w:val="en-US"/>
              </w:rPr>
            </w:pPr>
            <w:r w:rsidRPr="00084F2E">
              <w:rPr>
                <w:rFonts w:cs="Times New Roman"/>
                <w:b w:val="0"/>
                <w:lang w:val="en-US"/>
              </w:rPr>
              <w:t>28.000</w:t>
            </w:r>
          </w:p>
        </w:tc>
        <w:tc>
          <w:tcPr>
            <w:tcW w:w="0" w:type="auto"/>
          </w:tcPr>
          <w:p w14:paraId="706CC366" w14:textId="77777777" w:rsidR="0072282A" w:rsidRPr="00084F2E" w:rsidRDefault="00AB1BEC">
            <w:pPr>
              <w:spacing w:line="360" w:lineRule="auto"/>
              <w:jc w:val="both"/>
              <w:rPr>
                <w:rFonts w:cs="Times New Roman"/>
                <w:b w:val="0"/>
                <w:lang w:val="en-US"/>
              </w:rPr>
            </w:pPr>
            <w:r w:rsidRPr="00084F2E">
              <w:rPr>
                <w:rFonts w:cs="Times New Roman"/>
                <w:b w:val="0"/>
                <w:lang w:val="en-US"/>
              </w:rPr>
              <w:t>20</w:t>
            </w:r>
          </w:p>
        </w:tc>
        <w:tc>
          <w:tcPr>
            <w:tcW w:w="0" w:type="auto"/>
          </w:tcPr>
          <w:p w14:paraId="17910403" w14:textId="77777777" w:rsidR="0072282A" w:rsidRPr="00084F2E" w:rsidRDefault="00AB1BEC">
            <w:pPr>
              <w:spacing w:line="360" w:lineRule="auto"/>
              <w:jc w:val="both"/>
              <w:rPr>
                <w:rFonts w:cs="Times New Roman"/>
                <w:b w:val="0"/>
                <w:lang w:val="en-US"/>
              </w:rPr>
            </w:pPr>
            <w:r w:rsidRPr="00084F2E">
              <w:rPr>
                <w:rFonts w:cs="Times New Roman"/>
                <w:b w:val="0"/>
                <w:lang w:val="en-US"/>
              </w:rPr>
              <w:t>0.1094</w:t>
            </w:r>
          </w:p>
        </w:tc>
      </w:tr>
    </w:tbl>
    <w:p w14:paraId="712969A7"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 xml:space="preserve">The Breusch-Godfrey Lagrange Multiplier (LM) test is used to test for higher-order serial correlation in the residuals of the ARDL model, specifically up to 20 lags based on AIC of the model. It is important because serial correlation violates an important classical assumption resulting in unreliable standard errors and invalid statistical conclusions (Breusch, 1978; Godfrey, 1978). </w:t>
      </w:r>
    </w:p>
    <w:p w14:paraId="5CC7243A"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 xml:space="preserve">For this Breusch-Godfrey test, the chi-squared test statistic is 28.000 with 20 degrees of freedom (df), this is equal to the number of lags being tested. The primary output to interpret is the p-value (Prob &gt; chi2), which was 0.1094. The null hypothesis tested in the Breusch-Godfrey test states that no serial correlation exists up to the lag order being tested. </w:t>
      </w:r>
    </w:p>
    <w:p w14:paraId="5EC5A8F3"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 xml:space="preserve">With a p-value of 0.1094, which is larger than the generally accepted levels of significance (i.e., 0.05, 0.10), we do not reject the null hypothesis. This means there is not enough statistical evidence to suggest that serial correlation exists in the residuals when considering up to 20 lags. In contrast to the previous test for first-order autocorrelation, which indicated significant serial correlation at lag 1, this result suggests that while short-range dependence might exist, the longer-range (up to </w:t>
      </w:r>
      <w:r w:rsidRPr="00084F2E">
        <w:rPr>
          <w:rFonts w:cs="Times New Roman"/>
          <w:b w:val="0"/>
          <w:lang w:val="en-US"/>
        </w:rPr>
        <w:lastRenderedPageBreak/>
        <w:t>20 lags) autocorrelation is not statistically significant. This could mean that the ARDL model, with its specified lag structure, has effectively captured most of the long-term dynamic dependencies in the data, leaving only some residual short-term (e.g., first-order) autocorrelation unresolved. Therefore, while a minor issue of first-order serial correlation might still warrant attention (perhaps through robust standard errors), the model appears largely free from pervasive higher-order autocorrelation, which enhances confidence in the long-run estimates (Wooldridge, 2013).</w:t>
      </w:r>
    </w:p>
    <w:p w14:paraId="5FEF50FC" w14:textId="77777777" w:rsidR="0072282A" w:rsidRPr="00084F2E" w:rsidRDefault="00AB1BEC">
      <w:pPr>
        <w:pStyle w:val="Heading3"/>
        <w:rPr>
          <w:lang w:val="en-US"/>
        </w:rPr>
      </w:pPr>
      <w:bookmarkStart w:id="86" w:name="_Toc220662041"/>
      <w:r w:rsidRPr="00084F2E">
        <w:rPr>
          <w:lang w:val="en-US"/>
        </w:rPr>
        <w:t>4.6.3 Heteroskedasticity</w:t>
      </w:r>
      <w:bookmarkEnd w:id="86"/>
    </w:p>
    <w:tbl>
      <w:tblPr>
        <w:tblStyle w:val="TableGrid"/>
        <w:tblW w:w="0" w:type="auto"/>
        <w:tblLook w:val="04A0" w:firstRow="1" w:lastRow="0" w:firstColumn="1" w:lastColumn="0" w:noHBand="0" w:noVBand="1"/>
      </w:tblPr>
      <w:tblGrid>
        <w:gridCol w:w="5901"/>
        <w:gridCol w:w="876"/>
      </w:tblGrid>
      <w:tr w:rsidR="00084F2E" w:rsidRPr="00084F2E" w14:paraId="246B8585" w14:textId="77777777">
        <w:tc>
          <w:tcPr>
            <w:tcW w:w="0" w:type="auto"/>
          </w:tcPr>
          <w:p w14:paraId="7B02C429" w14:textId="77777777" w:rsidR="0072282A" w:rsidRPr="00084F2E" w:rsidRDefault="00AB1BEC">
            <w:pPr>
              <w:spacing w:line="360" w:lineRule="auto"/>
              <w:jc w:val="center"/>
              <w:rPr>
                <w:rFonts w:cs="Times New Roman"/>
                <w:bCs/>
                <w:szCs w:val="23"/>
                <w:lang w:val="en-US"/>
              </w:rPr>
            </w:pPr>
            <w:r w:rsidRPr="00084F2E">
              <w:rPr>
                <w:rFonts w:cs="Times New Roman"/>
                <w:bCs/>
                <w:szCs w:val="23"/>
                <w:lang w:val="en-US"/>
              </w:rPr>
              <w:t>Test</w:t>
            </w:r>
          </w:p>
        </w:tc>
        <w:tc>
          <w:tcPr>
            <w:tcW w:w="0" w:type="auto"/>
          </w:tcPr>
          <w:p w14:paraId="342C5953" w14:textId="77777777" w:rsidR="0072282A" w:rsidRPr="00084F2E" w:rsidRDefault="00AB1BEC">
            <w:pPr>
              <w:spacing w:line="360" w:lineRule="auto"/>
              <w:jc w:val="center"/>
              <w:rPr>
                <w:rFonts w:cs="Times New Roman"/>
                <w:bCs/>
                <w:szCs w:val="23"/>
                <w:lang w:val="en-US"/>
              </w:rPr>
            </w:pPr>
            <w:r w:rsidRPr="00084F2E">
              <w:rPr>
                <w:rFonts w:cs="Times New Roman"/>
                <w:bCs/>
                <w:szCs w:val="23"/>
                <w:lang w:val="en-US"/>
              </w:rPr>
              <w:t>Value</w:t>
            </w:r>
          </w:p>
        </w:tc>
      </w:tr>
      <w:tr w:rsidR="00084F2E" w:rsidRPr="00084F2E" w14:paraId="327D419F" w14:textId="77777777">
        <w:tc>
          <w:tcPr>
            <w:tcW w:w="0" w:type="auto"/>
          </w:tcPr>
          <w:p w14:paraId="4BEDF3EA"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Breusch-Pagan / Cook-Weisberg test for heteroskedasticity</w:t>
            </w:r>
          </w:p>
        </w:tc>
        <w:tc>
          <w:tcPr>
            <w:tcW w:w="0" w:type="auto"/>
          </w:tcPr>
          <w:p w14:paraId="02B3457B"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w:t>
            </w:r>
          </w:p>
        </w:tc>
      </w:tr>
      <w:tr w:rsidR="00084F2E" w:rsidRPr="00084F2E" w14:paraId="395D32D5" w14:textId="77777777">
        <w:tc>
          <w:tcPr>
            <w:tcW w:w="0" w:type="auto"/>
          </w:tcPr>
          <w:p w14:paraId="0A4B449D"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Ho: Constant variance</w:t>
            </w:r>
          </w:p>
        </w:tc>
        <w:tc>
          <w:tcPr>
            <w:tcW w:w="0" w:type="auto"/>
          </w:tcPr>
          <w:p w14:paraId="0493E8F8"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w:t>
            </w:r>
          </w:p>
        </w:tc>
      </w:tr>
      <w:tr w:rsidR="00084F2E" w:rsidRPr="00084F2E" w14:paraId="51727B57" w14:textId="77777777">
        <w:tc>
          <w:tcPr>
            <w:tcW w:w="0" w:type="auto"/>
          </w:tcPr>
          <w:p w14:paraId="4773ECD2"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Variables: fitted values of Export_value</w:t>
            </w:r>
          </w:p>
        </w:tc>
        <w:tc>
          <w:tcPr>
            <w:tcW w:w="0" w:type="auto"/>
          </w:tcPr>
          <w:p w14:paraId="45510D27"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w:t>
            </w:r>
          </w:p>
        </w:tc>
      </w:tr>
      <w:tr w:rsidR="00084F2E" w:rsidRPr="00084F2E" w14:paraId="6AA52ED7" w14:textId="77777777">
        <w:tc>
          <w:tcPr>
            <w:tcW w:w="0" w:type="auto"/>
          </w:tcPr>
          <w:p w14:paraId="2FF2A135"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chi2 (1)</w:t>
            </w:r>
          </w:p>
        </w:tc>
        <w:tc>
          <w:tcPr>
            <w:tcW w:w="0" w:type="auto"/>
          </w:tcPr>
          <w:p w14:paraId="0A1F379D"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0.00</w:t>
            </w:r>
          </w:p>
        </w:tc>
      </w:tr>
      <w:tr w:rsidR="00084F2E" w:rsidRPr="00084F2E" w14:paraId="16A6BD1E" w14:textId="77777777">
        <w:tc>
          <w:tcPr>
            <w:tcW w:w="0" w:type="auto"/>
          </w:tcPr>
          <w:p w14:paraId="5E02DFC5"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Prob &gt; chi2</w:t>
            </w:r>
          </w:p>
        </w:tc>
        <w:tc>
          <w:tcPr>
            <w:tcW w:w="0" w:type="auto"/>
          </w:tcPr>
          <w:p w14:paraId="2F4F7776"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0.9589</w:t>
            </w:r>
          </w:p>
        </w:tc>
      </w:tr>
    </w:tbl>
    <w:p w14:paraId="15B1D3CF"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The Breusch-Pagan / Cook-Weisberg test for heteroskedasticity, a vital diagnostic check in regression analysis. Heteroskedasticity occurs when the variance of the error terms is not constant across all levels of the independent variables, violating one of the core assumptions of Ordinary Least Squares (OLS) regression (Breusch &amp; Pagan, 1979; Cook &amp; Weisberg, 1983). If heteroskedasticity is present, OLS estimates remain unbiased and consistent, but they are no longer efficient, and the standard errors are biased, leading to potentially incorrect statistical inferences (Wooldridge, 2013).</w:t>
      </w:r>
    </w:p>
    <w:p w14:paraId="6217709B"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The null hypothesis of the Breusch-Pagan / Cook-Weisberg test is that of constant variance (homoskedasticity). The test was conducted using the fitted values of D.Export_value as the auxiliary variable to assess if the error variance depends on the predicted values of the dependent variable. The test yielded a chi-squared statistic of 0.06 with 1 degree of freedom.</w:t>
      </w:r>
    </w:p>
    <w:p w14:paraId="3847E44B"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 xml:space="preserve">The p-value (Prob &gt; chi2) associated with this statistic is 0.8078. Since this p-value is considerably greater than conventional significance levels (e.g., 0.01, 0.05, or 0.10), we fail to reject the null hypothesis of constant variance. This provides strong evidence that there is no statistically significant heteroskedasticity in the residuals of the ARDL model, based on the fitted values. The </w:t>
      </w:r>
      <w:r w:rsidRPr="00084F2E">
        <w:rPr>
          <w:rFonts w:cs="Times New Roman"/>
          <w:b w:val="0"/>
          <w:lang w:val="en-US"/>
        </w:rPr>
        <w:lastRenderedPageBreak/>
        <w:t>implication of this finding is positive: the standard errors and, consequently, the t-statistics and p-values of the estimated coefficients are likely reliable, and the OLS estimator remains efficient. This outcome enhances confidence in the validity of the statistical inferences drawn from the ARDL model regarding the long-run and short-run relationships between Export Value and its determinants.</w:t>
      </w:r>
    </w:p>
    <w:p w14:paraId="390DDFFF" w14:textId="77777777" w:rsidR="0072282A" w:rsidRPr="00084F2E" w:rsidRDefault="00AB1BEC">
      <w:pPr>
        <w:pStyle w:val="Heading3"/>
        <w:rPr>
          <w:lang w:val="en-US"/>
        </w:rPr>
      </w:pPr>
      <w:bookmarkStart w:id="87" w:name="_Toc220662042"/>
      <w:r w:rsidRPr="00084F2E">
        <w:rPr>
          <w:lang w:val="en-US"/>
        </w:rPr>
        <w:t>4.6.4 Normality test</w:t>
      </w:r>
      <w:bookmarkEnd w:id="87"/>
      <w:r w:rsidRPr="00084F2E">
        <w:rPr>
          <w:lang w:val="en-US"/>
        </w:rPr>
        <w:t xml:space="preserve"> </w:t>
      </w:r>
    </w:p>
    <w:p w14:paraId="64570FCD" w14:textId="77777777" w:rsidR="0072282A" w:rsidRPr="00084F2E" w:rsidRDefault="0072282A">
      <w:pPr>
        <w:rPr>
          <w:lang w:val="en-US"/>
        </w:rPr>
      </w:pPr>
    </w:p>
    <w:tbl>
      <w:tblPr>
        <w:tblStyle w:val="TableGrid"/>
        <w:tblW w:w="7833" w:type="dxa"/>
        <w:tblLook w:val="04A0" w:firstRow="1" w:lastRow="0" w:firstColumn="1" w:lastColumn="0" w:noHBand="0" w:noVBand="1"/>
      </w:tblPr>
      <w:tblGrid>
        <w:gridCol w:w="2003"/>
        <w:gridCol w:w="1097"/>
        <w:gridCol w:w="1734"/>
        <w:gridCol w:w="1317"/>
        <w:gridCol w:w="1682"/>
      </w:tblGrid>
      <w:tr w:rsidR="00084F2E" w:rsidRPr="00084F2E" w14:paraId="7F960767" w14:textId="77777777">
        <w:trPr>
          <w:trHeight w:val="490"/>
        </w:trPr>
        <w:tc>
          <w:tcPr>
            <w:tcW w:w="0" w:type="auto"/>
          </w:tcPr>
          <w:p w14:paraId="7B062753" w14:textId="77777777" w:rsidR="0072282A" w:rsidRPr="00084F2E" w:rsidRDefault="00AB1BEC">
            <w:pPr>
              <w:spacing w:line="360" w:lineRule="auto"/>
              <w:jc w:val="center"/>
              <w:rPr>
                <w:rFonts w:cs="Times New Roman"/>
                <w:bCs/>
                <w:szCs w:val="23"/>
                <w:lang w:val="en-US"/>
              </w:rPr>
            </w:pPr>
            <w:r w:rsidRPr="00084F2E">
              <w:rPr>
                <w:rFonts w:cs="Times New Roman"/>
                <w:bCs/>
                <w:szCs w:val="23"/>
                <w:lang w:val="en-US"/>
              </w:rPr>
              <w:t>Variable</w:t>
            </w:r>
          </w:p>
        </w:tc>
        <w:tc>
          <w:tcPr>
            <w:tcW w:w="0" w:type="auto"/>
          </w:tcPr>
          <w:p w14:paraId="361FA505" w14:textId="77777777" w:rsidR="0072282A" w:rsidRPr="00084F2E" w:rsidRDefault="00AB1BEC">
            <w:pPr>
              <w:spacing w:line="360" w:lineRule="auto"/>
              <w:jc w:val="center"/>
              <w:rPr>
                <w:rFonts w:cs="Times New Roman"/>
                <w:bCs/>
                <w:szCs w:val="23"/>
                <w:lang w:val="en-US"/>
              </w:rPr>
            </w:pPr>
            <w:r w:rsidRPr="00084F2E">
              <w:rPr>
                <w:rFonts w:cs="Times New Roman"/>
                <w:bCs/>
                <w:szCs w:val="23"/>
                <w:lang w:val="en-US"/>
              </w:rPr>
              <w:t>Obs</w:t>
            </w:r>
          </w:p>
        </w:tc>
        <w:tc>
          <w:tcPr>
            <w:tcW w:w="0" w:type="auto"/>
          </w:tcPr>
          <w:p w14:paraId="770A930B" w14:textId="77777777" w:rsidR="0072282A" w:rsidRPr="00084F2E" w:rsidRDefault="00AB1BEC">
            <w:pPr>
              <w:spacing w:line="360" w:lineRule="auto"/>
              <w:jc w:val="center"/>
              <w:rPr>
                <w:rFonts w:cs="Times New Roman"/>
                <w:bCs/>
                <w:szCs w:val="23"/>
                <w:lang w:val="en-US"/>
              </w:rPr>
            </w:pPr>
            <w:r w:rsidRPr="00084F2E">
              <w:rPr>
                <w:rFonts w:cs="Times New Roman"/>
                <w:bCs/>
                <w:szCs w:val="23"/>
                <w:lang w:val="en-US"/>
              </w:rPr>
              <w:t>V</w:t>
            </w:r>
          </w:p>
        </w:tc>
        <w:tc>
          <w:tcPr>
            <w:tcW w:w="0" w:type="auto"/>
          </w:tcPr>
          <w:p w14:paraId="6BB81237" w14:textId="77777777" w:rsidR="0072282A" w:rsidRPr="00084F2E" w:rsidRDefault="00AB1BEC">
            <w:pPr>
              <w:spacing w:line="360" w:lineRule="auto"/>
              <w:jc w:val="center"/>
              <w:rPr>
                <w:rFonts w:cs="Times New Roman"/>
                <w:bCs/>
                <w:szCs w:val="23"/>
                <w:lang w:val="en-US"/>
              </w:rPr>
            </w:pPr>
            <w:r w:rsidRPr="00084F2E">
              <w:rPr>
                <w:rFonts w:cs="Times New Roman"/>
                <w:bCs/>
                <w:szCs w:val="23"/>
                <w:lang w:val="en-US"/>
              </w:rPr>
              <w:t>Z</w:t>
            </w:r>
          </w:p>
        </w:tc>
        <w:tc>
          <w:tcPr>
            <w:tcW w:w="0" w:type="auto"/>
          </w:tcPr>
          <w:p w14:paraId="0F9FC6B0" w14:textId="77777777" w:rsidR="0072282A" w:rsidRPr="00084F2E" w:rsidRDefault="00AB1BEC">
            <w:pPr>
              <w:spacing w:line="360" w:lineRule="auto"/>
              <w:jc w:val="center"/>
              <w:rPr>
                <w:rFonts w:cs="Times New Roman"/>
                <w:bCs/>
                <w:szCs w:val="23"/>
                <w:lang w:val="en-US"/>
              </w:rPr>
            </w:pPr>
            <w:r w:rsidRPr="00084F2E">
              <w:rPr>
                <w:rFonts w:cs="Times New Roman"/>
                <w:bCs/>
                <w:szCs w:val="23"/>
                <w:lang w:val="en-US"/>
              </w:rPr>
              <w:t>Prob&gt;z</w:t>
            </w:r>
          </w:p>
        </w:tc>
      </w:tr>
      <w:tr w:rsidR="0072282A" w:rsidRPr="00084F2E" w14:paraId="3A6F06B1" w14:textId="77777777">
        <w:trPr>
          <w:trHeight w:val="504"/>
        </w:trPr>
        <w:tc>
          <w:tcPr>
            <w:tcW w:w="0" w:type="auto"/>
          </w:tcPr>
          <w:p w14:paraId="39A706D6"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Residuals</w:t>
            </w:r>
          </w:p>
        </w:tc>
        <w:tc>
          <w:tcPr>
            <w:tcW w:w="0" w:type="auto"/>
          </w:tcPr>
          <w:p w14:paraId="57BE0281"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28</w:t>
            </w:r>
          </w:p>
        </w:tc>
        <w:tc>
          <w:tcPr>
            <w:tcW w:w="0" w:type="auto"/>
          </w:tcPr>
          <w:p w14:paraId="2F72E2A2"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0.94933</w:t>
            </w:r>
          </w:p>
        </w:tc>
        <w:tc>
          <w:tcPr>
            <w:tcW w:w="0" w:type="auto"/>
          </w:tcPr>
          <w:p w14:paraId="656D3D89"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1.530</w:t>
            </w:r>
          </w:p>
        </w:tc>
        <w:tc>
          <w:tcPr>
            <w:tcW w:w="0" w:type="auto"/>
          </w:tcPr>
          <w:p w14:paraId="2ADEA50F" w14:textId="77777777" w:rsidR="0072282A" w:rsidRPr="00084F2E" w:rsidRDefault="00AB1BEC">
            <w:pPr>
              <w:spacing w:line="360" w:lineRule="auto"/>
              <w:rPr>
                <w:rFonts w:cs="Times New Roman"/>
                <w:b w:val="0"/>
                <w:szCs w:val="23"/>
                <w:lang w:val="en-US"/>
              </w:rPr>
            </w:pPr>
            <w:r w:rsidRPr="00084F2E">
              <w:rPr>
                <w:rFonts w:cs="Times New Roman"/>
                <w:b w:val="0"/>
                <w:szCs w:val="23"/>
                <w:lang w:val="en-US"/>
              </w:rPr>
              <w:t>0.876</w:t>
            </w:r>
          </w:p>
        </w:tc>
      </w:tr>
    </w:tbl>
    <w:p w14:paraId="506090C3" w14:textId="77777777" w:rsidR="0072282A" w:rsidRPr="00084F2E" w:rsidRDefault="0072282A">
      <w:pPr>
        <w:rPr>
          <w:lang w:val="en-US"/>
        </w:rPr>
      </w:pPr>
    </w:p>
    <w:p w14:paraId="239E683A"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The Shapiro-Wilk W test, a widely recognized statistical test used to assess whether a sample comes from a normally distributed population. For regression residuals, the assumption of normality, particularly in smaller samples, is important for the validity of hypothesis tests and confidence intervals, although the Central Limit Theorem often mitigates its importance in large samples (Shapiro &amp; Wilk, 1965).</w:t>
      </w:r>
    </w:p>
    <w:p w14:paraId="0F113551"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For the residuals of the ARDL model, based on 28 observations, the Shapiro-Wilk W test yielded a W statistic of 0.94933. The associated z-score is 0.876, and the crucial p-value (Prob&gt;z) is 0.19058. The null hypothesis of the Shapiro-Wilk test is that the data are drawn from a normally distributed population.</w:t>
      </w:r>
    </w:p>
    <w:p w14:paraId="22371967" w14:textId="77777777" w:rsidR="0072282A" w:rsidRPr="00084F2E" w:rsidRDefault="00AB1BEC">
      <w:pPr>
        <w:spacing w:before="100" w:beforeAutospacing="1" w:after="100" w:afterAutospacing="1" w:line="360" w:lineRule="auto"/>
        <w:jc w:val="both"/>
        <w:rPr>
          <w:rFonts w:cs="Times New Roman"/>
          <w:b w:val="0"/>
          <w:lang w:val="en-US"/>
        </w:rPr>
      </w:pPr>
      <w:r w:rsidRPr="00084F2E">
        <w:rPr>
          <w:rFonts w:cs="Times New Roman"/>
          <w:b w:val="0"/>
          <w:lang w:val="en-US"/>
        </w:rPr>
        <w:t>Given the p-value of 0.19058, which is greater than conventional significance levels (e.g., 0.01, 0.05, or 0.10), we fail to reject the null hypothesis. This shows that there is not enough statistical evidence to say the residuals differ significantly from a normal distribution. Stated differently, the model residuals of the ARDL model can be interpreted as being approximately normally distributed. This is a positive sign for this model because it supports the idea of normally distributed error terms. This is crucial for the accuracy of the t-tests and F-tests in small to moderate sample sizes. The normality goes to the strength and trustworthiness of conclusions drawn from a model's coefficients in terms of significance levels and confidence intervals. This further supports the overall validity of the ARDL model to explaining Export Value dynamics. (Hair et al., 2010).</w:t>
      </w:r>
    </w:p>
    <w:p w14:paraId="5595220F" w14:textId="77777777" w:rsidR="0072282A" w:rsidRPr="00084F2E" w:rsidRDefault="00AB1BEC">
      <w:pPr>
        <w:pStyle w:val="Heading1"/>
        <w:rPr>
          <w:lang w:val="en-US"/>
        </w:rPr>
      </w:pPr>
      <w:bookmarkStart w:id="88" w:name="_Toc220662043"/>
      <w:r w:rsidRPr="00084F2E">
        <w:rPr>
          <w:rFonts w:eastAsia="Times New Roman"/>
          <w:lang w:val="en-US"/>
        </w:rPr>
        <w:lastRenderedPageBreak/>
        <w:t>CHAPTER FIVE</w:t>
      </w:r>
      <w:bookmarkEnd w:id="88"/>
    </w:p>
    <w:p w14:paraId="55486F2B" w14:textId="77777777" w:rsidR="0072282A" w:rsidRPr="00084F2E" w:rsidRDefault="00AB1BEC">
      <w:pPr>
        <w:pStyle w:val="Heading1"/>
        <w:rPr>
          <w:lang w:val="en-US"/>
        </w:rPr>
      </w:pPr>
      <w:bookmarkStart w:id="89" w:name="_Toc220662044"/>
      <w:r w:rsidRPr="00084F2E">
        <w:rPr>
          <w:rFonts w:eastAsia="Times New Roman"/>
          <w:lang w:val="en-US"/>
        </w:rPr>
        <w:t>SUMMARY OF FINDINGS, CONCLUSION, AND RECOMMENDATIONS</w:t>
      </w:r>
      <w:bookmarkEnd w:id="89"/>
    </w:p>
    <w:p w14:paraId="56DD96AB" w14:textId="77777777" w:rsidR="0072282A" w:rsidRPr="00084F2E" w:rsidRDefault="00AB1BEC">
      <w:pPr>
        <w:pStyle w:val="Heading2"/>
        <w:rPr>
          <w:lang w:val="en-US"/>
        </w:rPr>
      </w:pPr>
      <w:bookmarkStart w:id="90" w:name="_Toc220662045"/>
      <w:r w:rsidRPr="00084F2E">
        <w:rPr>
          <w:rFonts w:eastAsia="Times New Roman"/>
          <w:lang w:val="en-US"/>
        </w:rPr>
        <w:t>5.1. Summary of Findings</w:t>
      </w:r>
      <w:bookmarkEnd w:id="90"/>
    </w:p>
    <w:p w14:paraId="4FE622F1" w14:textId="77777777" w:rsidR="007C6B9A" w:rsidRPr="00084F2E" w:rsidRDefault="007C6B9A" w:rsidP="007C6B9A">
      <w:pPr>
        <w:spacing w:before="100" w:beforeAutospacing="1" w:after="100" w:afterAutospacing="1" w:line="360" w:lineRule="auto"/>
        <w:jc w:val="both"/>
        <w:rPr>
          <w:rFonts w:cs="Times New Roman"/>
          <w:b w:val="0"/>
          <w:lang w:val="en-US"/>
        </w:rPr>
      </w:pPr>
      <w:r w:rsidRPr="00084F2E">
        <w:rPr>
          <w:rFonts w:cs="Times New Roman"/>
          <w:b w:val="0"/>
          <w:lang w:val="en-US"/>
        </w:rPr>
        <w:t>This research examined the determinants of agricultural export performance in Ethiopia from 1993 to 2022 using an Autoregressive Distributed Lag (ARDL) model and an Error Correction Mechanism (ECM). The study aimed to capture both short-run and long-run economic relationships within a robust analytical framework. By evaluating these dynamics, the paper provides a comprehensive understanding of how specific macroeconomic factors and institutional variables influence the nation's trade potential and economic resilience.</w:t>
      </w:r>
    </w:p>
    <w:p w14:paraId="4AD75117" w14:textId="77777777" w:rsidR="007C6B9A" w:rsidRPr="00084F2E" w:rsidRDefault="007C6B9A" w:rsidP="007C6B9A">
      <w:pPr>
        <w:spacing w:before="100" w:beforeAutospacing="1" w:after="100" w:afterAutospacing="1" w:line="360" w:lineRule="auto"/>
        <w:jc w:val="both"/>
        <w:rPr>
          <w:rFonts w:cs="Times New Roman"/>
          <w:b w:val="0"/>
          <w:lang w:val="en-US"/>
        </w:rPr>
      </w:pPr>
      <w:r w:rsidRPr="00084F2E">
        <w:rPr>
          <w:rFonts w:cs="Times New Roman"/>
          <w:b w:val="0"/>
          <w:lang w:val="en-US"/>
        </w:rPr>
        <w:t>Initial descriptive analysis revealed significant volatility within Ethiopia’s macroeconomic environment, particularly regarding export values, Foreign Direct Investment (FDI), and the Consumer Price Index (CPI). Stationarity tests indicated that most key variables—including GDP, government debt, corruption control, and indirect tax revenue—were integrated of order one [I(1)], qualifying them for ARDL estimation. However, agricultural employment and exchange rates remained non-stationary, suggesting these variables possess distinct time-series properties that may require alternative modeling approaches in future research.</w:t>
      </w:r>
    </w:p>
    <w:p w14:paraId="414EBB84" w14:textId="77777777" w:rsidR="007C6B9A" w:rsidRPr="00084F2E" w:rsidRDefault="007C6B9A" w:rsidP="007C6B9A">
      <w:pPr>
        <w:spacing w:before="100" w:beforeAutospacing="1" w:after="100" w:afterAutospacing="1" w:line="360" w:lineRule="auto"/>
        <w:jc w:val="both"/>
        <w:rPr>
          <w:rFonts w:cs="Times New Roman"/>
          <w:b w:val="0"/>
          <w:lang w:val="en-US"/>
        </w:rPr>
      </w:pPr>
      <w:r w:rsidRPr="00084F2E">
        <w:rPr>
          <w:rFonts w:cs="Times New Roman"/>
          <w:b w:val="0"/>
          <w:lang w:val="en-US"/>
        </w:rPr>
        <w:t>The ARDL model, which exhibited a very high R-squared value of 0.9969, identified GDP, gross national savings, and government debt as significant long-term drivers of export performance. These findings suggest that broader economic growth and domestic capital formation provide the necessary foundation for expanding trade. Conversely, indirect tax revenue emerged as a formidable long-term obstacle, significantly increasing production costs and diminishing the international competitiveness of Ethiopian agricultural products.</w:t>
      </w:r>
    </w:p>
    <w:p w14:paraId="047CA0D5" w14:textId="77777777" w:rsidR="007C6B9A" w:rsidRPr="00084F2E" w:rsidRDefault="007C6B9A" w:rsidP="007C6B9A">
      <w:pPr>
        <w:spacing w:before="100" w:beforeAutospacing="1" w:after="100" w:afterAutospacing="1" w:line="360" w:lineRule="auto"/>
        <w:jc w:val="both"/>
        <w:rPr>
          <w:rFonts w:cs="Times New Roman"/>
          <w:b w:val="0"/>
          <w:lang w:val="en-US"/>
        </w:rPr>
      </w:pPr>
      <w:r w:rsidRPr="00084F2E">
        <w:rPr>
          <w:rFonts w:cs="Times New Roman"/>
          <w:b w:val="0"/>
          <w:lang w:val="en-US"/>
        </w:rPr>
        <w:t xml:space="preserve">Short-run dynamics revealed intricate, lagged effects for corruption control and inflation, indicating that institutional changes and price shocks do not have immediate linear impacts on exports. While FDI showed a positive sign, it remained statistically insignificant in the long run. The ECM confirmed the existence of a stable long-run equilibrium with a robust adjustment speed </w:t>
      </w:r>
      <w:r w:rsidRPr="00084F2E">
        <w:rPr>
          <w:rFonts w:cs="Times New Roman"/>
          <w:b w:val="0"/>
          <w:lang w:val="en-US"/>
        </w:rPr>
        <w:lastRenderedPageBreak/>
        <w:t>of 67.25%, meaning that more than two-thirds of any short-term economic disequilibrium is corrected within a single year.</w:t>
      </w:r>
    </w:p>
    <w:p w14:paraId="3C32B1BE" w14:textId="77777777" w:rsidR="007C6B9A" w:rsidRPr="00084F2E" w:rsidRDefault="007C6B9A" w:rsidP="007C6B9A">
      <w:pPr>
        <w:spacing w:before="100" w:beforeAutospacing="1" w:after="100" w:afterAutospacing="1" w:line="360" w:lineRule="auto"/>
        <w:jc w:val="both"/>
        <w:rPr>
          <w:rFonts w:cs="Times New Roman"/>
          <w:b w:val="0"/>
          <w:lang w:val="en-US"/>
        </w:rPr>
      </w:pPr>
      <w:r w:rsidRPr="00084F2E">
        <w:rPr>
          <w:rFonts w:cs="Times New Roman"/>
          <w:b w:val="0"/>
          <w:lang w:val="en-US"/>
        </w:rPr>
        <w:t>Finally, the validity of the statistical inferences was confirmed through a rigorous battery of diagnostic tests. The Breusch-Godfrey LM test showed no pervasive serial correlation, while the Breusch-Pagan/Cook-Weisberg test proved the absence of heteroskedasticity. Furthermore, the Shapiro-Wilk W test established that the residuals were normally distributed. These diagnostic successes ensure that the model is well-specified and that the resulting policy recommendations are grounded in reliable data.</w:t>
      </w:r>
    </w:p>
    <w:p w14:paraId="131A3194" w14:textId="77777777" w:rsidR="0072282A" w:rsidRPr="00084F2E" w:rsidRDefault="00AB1BEC">
      <w:pPr>
        <w:pStyle w:val="Heading2"/>
        <w:rPr>
          <w:lang w:val="en-US"/>
        </w:rPr>
      </w:pPr>
      <w:bookmarkStart w:id="91" w:name="_Toc220662046"/>
      <w:r w:rsidRPr="00084F2E">
        <w:rPr>
          <w:lang w:val="en-US"/>
        </w:rPr>
        <w:t>5.2. Conclusion</w:t>
      </w:r>
      <w:bookmarkEnd w:id="91"/>
    </w:p>
    <w:p w14:paraId="6EECC0F9" w14:textId="77777777" w:rsidR="0072282A" w:rsidRPr="00084F2E" w:rsidRDefault="00AB1BEC">
      <w:pPr>
        <w:spacing w:after="200" w:line="360" w:lineRule="auto"/>
        <w:jc w:val="both"/>
        <w:rPr>
          <w:rFonts w:cs="Times New Roman"/>
          <w:b w:val="0"/>
          <w:lang w:val="en-US"/>
        </w:rPr>
      </w:pPr>
      <w:r w:rsidRPr="00084F2E">
        <w:rPr>
          <w:rFonts w:cs="Times New Roman"/>
          <w:b w:val="0"/>
          <w:lang w:val="en-US"/>
        </w:rPr>
        <w:t>As is clear from above, the export performance of Ethiopian agricultural products are shaped by a combination of both domestic and foreign macroeconomic determinants, and that these determinants capture the existence of striking contrasts in terms of their short and long-run performances.</w:t>
      </w:r>
    </w:p>
    <w:p w14:paraId="0BB3F1DE" w14:textId="77777777" w:rsidR="0072282A" w:rsidRPr="00084F2E" w:rsidRDefault="00AB1BEC">
      <w:pPr>
        <w:spacing w:after="200" w:line="360" w:lineRule="auto"/>
        <w:jc w:val="both"/>
        <w:rPr>
          <w:rFonts w:cs="Times New Roman"/>
          <w:b w:val="0"/>
          <w:lang w:val="en-US"/>
        </w:rPr>
      </w:pPr>
      <w:r w:rsidRPr="00084F2E">
        <w:rPr>
          <w:rFonts w:cs="Times New Roman"/>
          <w:b w:val="0"/>
          <w:lang w:val="en-US"/>
        </w:rPr>
        <w:t>Long-term aggregate growth drivers (GDP) and strong capital accumulation (gross national savings) appear to be a source of power behind export expansion, and this suggests there may be policies that are supportive to productivity and investment. As compared with savings and GDP growth, indirect tax collection by the government is always a burden on the medium-term competitiveness of exports, which suggests that taxation policies ought to be sensitively tuned not to devalue the competitiveness of export industries. The outcomes in terms of corruption control and the CPI trace a more complex picture.</w:t>
      </w:r>
    </w:p>
    <w:p w14:paraId="11528A39" w14:textId="77777777" w:rsidR="0072282A" w:rsidRPr="00084F2E" w:rsidRDefault="00AB1BEC">
      <w:pPr>
        <w:spacing w:after="200" w:line="360" w:lineRule="auto"/>
        <w:jc w:val="both"/>
        <w:rPr>
          <w:rFonts w:cs="Times New Roman"/>
          <w:b w:val="0"/>
          <w:lang w:val="en-US"/>
        </w:rPr>
      </w:pPr>
      <w:r w:rsidRPr="00084F2E">
        <w:rPr>
          <w:rFonts w:cs="Times New Roman"/>
          <w:b w:val="0"/>
          <w:lang w:val="en-US"/>
        </w:rPr>
        <w:t xml:space="preserve">Although sound governance usually encourages and enhances trade, the findings of this study reveal a negative long-term relationship with controls against corruption (CPI). This may be due to some contextual elements in Ethiopia such as being in transition currently or unforeseen challenges pertaining to bureaucracy due to the program against corruption. The CPI numbers did positively correlate with exports value in the long run even though it had a negative impact in the short run, and this can be nothing more than a "nominal" value change or changes in the efficiency of the exchange rate after inflation has been cleared as opposed to genuine competitiveness enhancements. Notably, FDI neither demonstrated a measurable long-term nor short-term effect in this model on total export value suggesting that the potential benefit of FDI is perhaps confined </w:t>
      </w:r>
      <w:r w:rsidRPr="00084F2E">
        <w:rPr>
          <w:rFonts w:cs="Times New Roman"/>
          <w:b w:val="0"/>
          <w:lang w:val="en-US"/>
        </w:rPr>
        <w:lastRenderedPageBreak/>
        <w:t xml:space="preserve">to niche markets nor even discounted by other macroeconomic factors. While debt also has the characteristic of creating more export flow in the short-term, its implications in the long-term are much more complex, and it has been found that the effects will be partially characterized by the aspect of the economy the debt is borrowed. Quite interestingly, the slope of the adjustment path suggests that the export sector in Ethiopia has a tendency to revert to their equilibrium path that signifies structural features and underlying economic conditions have command over long-run orientations. Nevertheless, the instability manifested in critical variables conveys the difficulty for policymakers in creating stability in the economy that may inspire a stable setting for exporters to continue growing. </w:t>
      </w:r>
    </w:p>
    <w:p w14:paraId="268D6581" w14:textId="77777777" w:rsidR="0072282A" w:rsidRPr="00084F2E" w:rsidRDefault="00AB1BEC">
      <w:pPr>
        <w:pStyle w:val="Heading2"/>
        <w:rPr>
          <w:lang w:val="en-US"/>
        </w:rPr>
      </w:pPr>
      <w:bookmarkStart w:id="92" w:name="_Toc220662047"/>
      <w:r w:rsidRPr="00084F2E">
        <w:rPr>
          <w:lang w:val="en-US"/>
        </w:rPr>
        <w:t>5.3. Recommendations</w:t>
      </w:r>
      <w:bookmarkEnd w:id="92"/>
    </w:p>
    <w:p w14:paraId="529A3458" w14:textId="77777777" w:rsidR="007C6B9A" w:rsidRPr="00084F2E" w:rsidRDefault="007C6B9A">
      <w:pPr>
        <w:spacing w:after="200" w:line="360" w:lineRule="auto"/>
        <w:jc w:val="both"/>
        <w:rPr>
          <w:rFonts w:cs="Times New Roman"/>
          <w:b w:val="0"/>
          <w:lang w:val="en-US"/>
        </w:rPr>
      </w:pPr>
      <w:r w:rsidRPr="00084F2E">
        <w:rPr>
          <w:rFonts w:cs="Times New Roman"/>
          <w:b w:val="0"/>
          <w:lang w:val="en-US"/>
        </w:rPr>
        <w:t>To enhance Ethiopia’s agricultural export performance, policymakers must adopt a multi-dimensional strategy that prioritizes high inclusive growth and domestic savings mobilization through prudent fiscal policies and financial sector development. A critical priority is the strategic reform of the indirect tax regime, where implementing targeted exemptions or rebates for exporters can mitigate the "tax trap" identified in this study and restore the international price competitiveness of Ethiopian agricultural products. Furthermore, governance reforms and anti-corruption measures should be carefully sequenced and supplemented by efforts to streamline bureaucracy and reduce transaction costs to ensure institutional changes do not inadvertently disrupt trade networks. Given the volatility of the CPI, the government must prioritize price stability through strategic exchange rate management to protect real incomes and provide market certainty. Additionally, attracting export-oriented Foreign Direct Investment (FDI) should be prioritized to facilitate technology transfer and integrate domestic producers into global value chains. Finally, the government must maintain a tactical approach to debt management, ensuring that borrowing is strictly channeled into productivity-enhancing infrastructure and agricultural R&amp;D while maintaining long-term debt sustainability and economic resilience against external shocks.</w:t>
      </w:r>
    </w:p>
    <w:p w14:paraId="442F1306" w14:textId="77777777" w:rsidR="0072282A" w:rsidRPr="00084F2E" w:rsidRDefault="00AB1BEC">
      <w:pPr>
        <w:pStyle w:val="Heading2"/>
        <w:rPr>
          <w:lang w:val="en-US"/>
        </w:rPr>
      </w:pPr>
      <w:bookmarkStart w:id="93" w:name="_Toc220662048"/>
      <w:r w:rsidRPr="00084F2E">
        <w:rPr>
          <w:lang w:val="en-US"/>
        </w:rPr>
        <w:t>5.4. Direction for Future Studies</w:t>
      </w:r>
      <w:bookmarkEnd w:id="93"/>
      <w:r w:rsidRPr="00084F2E">
        <w:rPr>
          <w:lang w:val="en-US"/>
        </w:rPr>
        <w:t xml:space="preserve"> </w:t>
      </w:r>
    </w:p>
    <w:p w14:paraId="5CF9A78B" w14:textId="77777777" w:rsidR="0072282A" w:rsidRPr="00084F2E" w:rsidRDefault="00AB1BEC">
      <w:pPr>
        <w:spacing w:after="200" w:line="360" w:lineRule="auto"/>
        <w:jc w:val="both"/>
        <w:rPr>
          <w:rFonts w:cs="Times New Roman"/>
          <w:b w:val="0"/>
          <w:lang w:val="en-US"/>
        </w:rPr>
      </w:pPr>
      <w:r w:rsidRPr="00084F2E">
        <w:rPr>
          <w:rFonts w:cs="Times New Roman"/>
          <w:b w:val="0"/>
          <w:lang w:val="en-US"/>
        </w:rPr>
        <w:t xml:space="preserve">Based on the findings of this research, subsequent research can widen the understanding of Ethiopia's agricultural export performance via several achievable means.   </w:t>
      </w:r>
    </w:p>
    <w:p w14:paraId="709D5B95" w14:textId="77777777" w:rsidR="0072282A" w:rsidRPr="00084F2E" w:rsidRDefault="00AB1BEC">
      <w:pPr>
        <w:spacing w:after="200" w:line="360" w:lineRule="auto"/>
        <w:jc w:val="both"/>
        <w:rPr>
          <w:rFonts w:cs="Times New Roman"/>
          <w:b w:val="0"/>
          <w:lang w:val="en-US"/>
        </w:rPr>
      </w:pPr>
      <w:r w:rsidRPr="00084F2E">
        <w:rPr>
          <w:rFonts w:cs="Times New Roman"/>
          <w:b w:val="0"/>
          <w:lang w:val="en-US"/>
        </w:rPr>
        <w:lastRenderedPageBreak/>
        <w:t>First, highly recommended is that there is a detailed sector-based analysis.</w:t>
      </w:r>
    </w:p>
    <w:p w14:paraId="5FCF4608" w14:textId="77777777" w:rsidR="0072282A" w:rsidRPr="00084F2E" w:rsidRDefault="00AB1BEC">
      <w:pPr>
        <w:spacing w:after="200" w:line="360" w:lineRule="auto"/>
        <w:jc w:val="both"/>
        <w:rPr>
          <w:rFonts w:cs="Times New Roman"/>
          <w:b w:val="0"/>
          <w:lang w:val="en-US"/>
        </w:rPr>
      </w:pPr>
      <w:r w:rsidRPr="00084F2E">
        <w:rPr>
          <w:rFonts w:cs="Times New Roman"/>
          <w:b w:val="0"/>
          <w:lang w:val="en-US"/>
        </w:rPr>
        <w:t>That is, it would be worthwhile to decompose agricultural exports into dominant subsectors (e.g., coffee, oilseeds, or horticulture) in a manner that will enable sector-specific determinants and corresponding implications for policy making that aggregate analysis is not likely to offer.</w:t>
      </w:r>
    </w:p>
    <w:p w14:paraId="2DBE981E" w14:textId="77777777" w:rsidR="0072282A" w:rsidRPr="00084F2E" w:rsidRDefault="00AB1BEC">
      <w:pPr>
        <w:spacing w:after="200" w:line="360" w:lineRule="auto"/>
        <w:jc w:val="both"/>
        <w:rPr>
          <w:rFonts w:cs="Times New Roman"/>
          <w:b w:val="0"/>
          <w:lang w:val="en-US"/>
        </w:rPr>
      </w:pPr>
      <w:r w:rsidRPr="00084F2E">
        <w:rPr>
          <w:rFonts w:cs="Times New Roman"/>
          <w:b w:val="0"/>
          <w:lang w:val="en-US"/>
        </w:rPr>
        <w:t>Second, for the fascinating long-run negative effect of corruption control, this warrants more qualitative investigation. In particular, a series of structured interviews with agricultural exporters, industry representative associations, or policy-makers could provide the relevant contextual standards wherein anti-corruption practice can be seen to hinder trade or to impose new bureaucratic obstacles. Third, analysis of the exchange rate mechanism used in Ethiopia would benefit significantly from a more in-depth examination of the mechanisms behind the generation of exchange rate instability. For example, the use of a wider set of exchange rate measures and more sophisticated econometric methods might be better able to capture the direct effects of the exchange rate on export competitiveness. To boot, future work should consider the impact of trade policies in specific sectors, the existence of regional trade agreements, and the changing global market access terms on agricultural export opportunities. The role of infrastructure development and logistics must also be considered. Understanding the impact of transport, cold chain logistics, and facilitation of trade on agricultural export competitiveness would provide valuable information for strategic investment decision-making that is well-informed. Since climate change is posing a grave threat, subsequent research should take into account how climate varies with agricultural productivity gains, as well as land use policy in Ethiopia impacts long term agricultural potential for export.</w:t>
      </w:r>
    </w:p>
    <w:p w14:paraId="03DE905E" w14:textId="77777777" w:rsidR="0072282A" w:rsidRPr="00084F2E" w:rsidRDefault="00AB1BEC">
      <w:pPr>
        <w:spacing w:after="200" w:line="360" w:lineRule="auto"/>
        <w:jc w:val="both"/>
        <w:rPr>
          <w:rFonts w:cs="Times New Roman"/>
          <w:b w:val="0"/>
          <w:lang w:val="en-US"/>
        </w:rPr>
      </w:pPr>
      <w:r w:rsidRPr="00084F2E">
        <w:rPr>
          <w:rFonts w:cs="Times New Roman"/>
          <w:b w:val="0"/>
          <w:lang w:val="en-US"/>
        </w:rPr>
        <w:t xml:space="preserve">Finally, and to clarify the complex causal relationships which are established, especially with complex lagged relationships, utilizing more sophisticated causality tests, e.g., Granger causality in panel dimension, or frequency domain causality will make the analysis stronger. </w:t>
      </w:r>
    </w:p>
    <w:p w14:paraId="0C5514FB" w14:textId="77777777" w:rsidR="0072282A" w:rsidRPr="00084F2E" w:rsidRDefault="00AB1BEC">
      <w:pPr>
        <w:spacing w:after="200" w:line="276" w:lineRule="auto"/>
        <w:rPr>
          <w:rFonts w:cs="Times New Roman"/>
          <w:b w:val="0"/>
          <w:lang w:val="en-US"/>
        </w:rPr>
      </w:pPr>
      <w:r w:rsidRPr="00084F2E">
        <w:rPr>
          <w:rFonts w:cs="Times New Roman"/>
          <w:b w:val="0"/>
          <w:lang w:val="en-US"/>
        </w:rPr>
        <w:br w:type="page"/>
      </w:r>
    </w:p>
    <w:p w14:paraId="1F09DA6D" w14:textId="77777777" w:rsidR="00771FD4" w:rsidRPr="00084F2E" w:rsidRDefault="00AB1BEC" w:rsidP="00771FD4">
      <w:pPr>
        <w:pStyle w:val="Heading1"/>
        <w:rPr>
          <w:lang w:val="en-US"/>
        </w:rPr>
      </w:pPr>
      <w:bookmarkStart w:id="94" w:name="_Toc220662049"/>
      <w:r w:rsidRPr="00084F2E">
        <w:rPr>
          <w:lang w:val="en-US"/>
        </w:rPr>
        <w:lastRenderedPageBreak/>
        <w:t>References</w:t>
      </w:r>
      <w:bookmarkEnd w:id="94"/>
    </w:p>
    <w:p w14:paraId="35135A3F" w14:textId="3926C2BF" w:rsidR="007B1CFD" w:rsidRPr="00084F2E" w:rsidRDefault="007B1CFD" w:rsidP="009C3A89">
      <w:pPr>
        <w:widowControl w:val="0"/>
        <w:autoSpaceDE w:val="0"/>
        <w:autoSpaceDN w:val="0"/>
        <w:adjustRightInd w:val="0"/>
        <w:spacing w:before="480" w:line="360" w:lineRule="auto"/>
        <w:rPr>
          <w:rFonts w:cs="Times New Roman"/>
          <w:b w:val="0"/>
          <w:lang w:val="en-US"/>
        </w:rPr>
      </w:pPr>
      <w:r w:rsidRPr="00084F2E">
        <w:rPr>
          <w:rFonts w:cs="Times New Roman"/>
          <w:b w:val="0"/>
          <w:lang w:val="en-US"/>
        </w:rPr>
        <w:fldChar w:fldCharType="begin" w:fldLock="1"/>
      </w:r>
      <w:r w:rsidRPr="00084F2E">
        <w:rPr>
          <w:rFonts w:cs="Times New Roman"/>
          <w:b w:val="0"/>
          <w:lang w:val="en-US"/>
        </w:rPr>
        <w:instrText xml:space="preserve">ADDIN Mendeley Bibliography CSL_BIBLIOGRAPHY </w:instrText>
      </w:r>
      <w:r w:rsidRPr="00084F2E">
        <w:rPr>
          <w:rFonts w:cs="Times New Roman"/>
          <w:b w:val="0"/>
          <w:lang w:val="en-US"/>
        </w:rPr>
        <w:fldChar w:fldCharType="separate"/>
      </w:r>
      <w:r w:rsidRPr="00084F2E">
        <w:rPr>
          <w:rFonts w:cs="Times New Roman"/>
          <w:b w:val="0"/>
          <w:lang w:val="en-US"/>
        </w:rPr>
        <w:t xml:space="preserve">Ababa, A. (2024). </w:t>
      </w:r>
      <w:r w:rsidRPr="00084F2E">
        <w:rPr>
          <w:rFonts w:cs="Times New Roman"/>
          <w:b w:val="0"/>
          <w:i/>
          <w:iCs/>
          <w:lang w:val="en-US"/>
        </w:rPr>
        <w:t>FEDERAL DEMOCRATIC REPUBLIC OF National Medium-Term Revenue Strategy</w:t>
      </w:r>
      <w:r w:rsidRPr="00084F2E">
        <w:rPr>
          <w:rFonts w:cs="Times New Roman"/>
          <w:b w:val="0"/>
          <w:lang w:val="en-US"/>
        </w:rPr>
        <w:t>. August, 1–69.</w:t>
      </w:r>
    </w:p>
    <w:p w14:paraId="4279E858"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Abate, G. T., &amp; Badiane, O. (2018). Determinants of African agricultural exports. </w:t>
      </w:r>
      <w:r w:rsidRPr="00084F2E">
        <w:rPr>
          <w:rFonts w:cs="Times New Roman"/>
          <w:b w:val="0"/>
          <w:i/>
          <w:iCs/>
          <w:lang w:val="en-US"/>
        </w:rPr>
        <w:t>Africa Agriculture Trade Monitor</w:t>
      </w:r>
      <w:r w:rsidRPr="00084F2E">
        <w:rPr>
          <w:rFonts w:cs="Times New Roman"/>
          <w:b w:val="0"/>
          <w:lang w:val="en-US"/>
        </w:rPr>
        <w:t>, 85–109.</w:t>
      </w:r>
    </w:p>
    <w:p w14:paraId="59D3606B"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Abate, G. T., Rashid, S., Borzaga, C., &amp; Getnet, K. (2016). Rural Finance and Agricultural Technology Adoption in Ethiopia: Does the Institutional Design of Lending Organizations Matter? </w:t>
      </w:r>
      <w:r w:rsidRPr="00084F2E">
        <w:rPr>
          <w:rFonts w:cs="Times New Roman"/>
          <w:b w:val="0"/>
          <w:i/>
          <w:iCs/>
          <w:lang w:val="en-US"/>
        </w:rPr>
        <w:t>World Development</w:t>
      </w:r>
      <w:r w:rsidRPr="00084F2E">
        <w:rPr>
          <w:rFonts w:cs="Times New Roman"/>
          <w:b w:val="0"/>
          <w:lang w:val="en-US"/>
        </w:rPr>
        <w:t xml:space="preserve">, </w:t>
      </w:r>
      <w:r w:rsidRPr="00084F2E">
        <w:rPr>
          <w:rFonts w:cs="Times New Roman"/>
          <w:b w:val="0"/>
          <w:i/>
          <w:iCs/>
          <w:lang w:val="en-US"/>
        </w:rPr>
        <w:t>84</w:t>
      </w:r>
      <w:r w:rsidRPr="00084F2E">
        <w:rPr>
          <w:rFonts w:cs="Times New Roman"/>
          <w:b w:val="0"/>
          <w:lang w:val="en-US"/>
        </w:rPr>
        <w:t xml:space="preserve">, 235–253. </w:t>
      </w:r>
      <w:hyperlink r:id="rId14" w:tgtFrame="_blank" w:history="1">
        <w:r w:rsidRPr="00084F2E">
          <w:rPr>
            <w:rFonts w:cs="Times New Roman"/>
            <w:b w:val="0"/>
            <w:u w:val="single"/>
            <w:lang w:val="en-US"/>
          </w:rPr>
          <w:t>https://doi.org/10.1016/j.worlddev.2016.03.003</w:t>
        </w:r>
      </w:hyperlink>
    </w:p>
    <w:p w14:paraId="1D26CAA8"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Abdelmeguid, M., Birch, C., King, C., Delbruck, F., Ferguson, J., Haralambous, D., Jakeman, M., Homme, A. L., Walker, P., &amp; Wood, R. (2022). </w:t>
      </w:r>
      <w:r w:rsidRPr="00084F2E">
        <w:rPr>
          <w:rFonts w:cs="Times New Roman"/>
          <w:b w:val="0"/>
          <w:i/>
          <w:iCs/>
          <w:lang w:val="en-US"/>
        </w:rPr>
        <w:t>Global outlook</w:t>
      </w:r>
      <w:r w:rsidRPr="00084F2E">
        <w:rPr>
          <w:rFonts w:cs="Times New Roman"/>
          <w:b w:val="0"/>
          <w:lang w:val="en-US"/>
        </w:rPr>
        <w:t>. January, 1–64.</w:t>
      </w:r>
    </w:p>
    <w:p w14:paraId="74394414"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Abdoussalami, A., Hu, Z., Islam, A. R. M. T., &amp; Wu, Z. (2023). Climate change and its impacts on banana production: a systematic analysis. In </w:t>
      </w:r>
      <w:r w:rsidRPr="00084F2E">
        <w:rPr>
          <w:rFonts w:cs="Times New Roman"/>
          <w:b w:val="0"/>
          <w:i/>
          <w:iCs/>
          <w:lang w:val="en-US"/>
        </w:rPr>
        <w:t>Environment, Development and Sustainability</w:t>
      </w:r>
      <w:r w:rsidRPr="00084F2E">
        <w:rPr>
          <w:rFonts w:cs="Times New Roman"/>
          <w:b w:val="0"/>
          <w:lang w:val="en-US"/>
        </w:rPr>
        <w:t xml:space="preserve"> (Vol. 25, Issue 11). Springer Netherlands. </w:t>
      </w:r>
      <w:hyperlink r:id="rId15" w:tgtFrame="_blank" w:history="1">
        <w:r w:rsidRPr="00084F2E">
          <w:rPr>
            <w:rFonts w:cs="Times New Roman"/>
            <w:b w:val="0"/>
            <w:u w:val="single"/>
            <w:lang w:val="en-US"/>
          </w:rPr>
          <w:t>https://doi.org/10.1007/s10668-023-03168-2</w:t>
        </w:r>
      </w:hyperlink>
    </w:p>
    <w:p w14:paraId="53F5A42F"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Abor, J. Y., Agbloyor, E. K., &amp; Kuipo, R. (2014). Bank finance and export activities of Small and Medium Enterprises. </w:t>
      </w:r>
      <w:r w:rsidRPr="00084F2E">
        <w:rPr>
          <w:rFonts w:cs="Times New Roman"/>
          <w:b w:val="0"/>
          <w:i/>
          <w:iCs/>
          <w:lang w:val="en-US"/>
        </w:rPr>
        <w:t>Review of Development Finance</w:t>
      </w:r>
      <w:r w:rsidRPr="00084F2E">
        <w:rPr>
          <w:rFonts w:cs="Times New Roman"/>
          <w:b w:val="0"/>
          <w:lang w:val="en-US"/>
        </w:rPr>
        <w:t xml:space="preserve">, </w:t>
      </w:r>
      <w:r w:rsidRPr="00084F2E">
        <w:rPr>
          <w:rFonts w:cs="Times New Roman"/>
          <w:b w:val="0"/>
          <w:i/>
          <w:iCs/>
          <w:lang w:val="en-US"/>
        </w:rPr>
        <w:t>4</w:t>
      </w:r>
      <w:r w:rsidRPr="00084F2E">
        <w:rPr>
          <w:rFonts w:cs="Times New Roman"/>
          <w:b w:val="0"/>
          <w:lang w:val="en-US"/>
        </w:rPr>
        <w:t xml:space="preserve">(2), 97–103. </w:t>
      </w:r>
      <w:hyperlink r:id="rId16" w:tgtFrame="_blank" w:history="1">
        <w:r w:rsidRPr="00084F2E">
          <w:rPr>
            <w:rFonts w:cs="Times New Roman"/>
            <w:b w:val="0"/>
            <w:u w:val="single"/>
            <w:lang w:val="en-US"/>
          </w:rPr>
          <w:t>https://doi.org/10.1016/j.rdf.2014.05.004</w:t>
        </w:r>
      </w:hyperlink>
    </w:p>
    <w:p w14:paraId="11A86EBA"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Adebayo, T. S., Alola, A. A., Ullah, S., &amp; Abbas, S. (2024). The growth impacts of agriculture value-added, energy utilization, and environmental degradation in Pakistan: Causality in continuous wavelet transform approach. </w:t>
      </w:r>
      <w:r w:rsidRPr="00084F2E">
        <w:rPr>
          <w:rFonts w:cs="Times New Roman"/>
          <w:b w:val="0"/>
          <w:i/>
          <w:iCs/>
          <w:lang w:val="en-US"/>
        </w:rPr>
        <w:t>Natural Resources Forum</w:t>
      </w:r>
      <w:r w:rsidRPr="00084F2E">
        <w:rPr>
          <w:rFonts w:cs="Times New Roman"/>
          <w:b w:val="0"/>
          <w:lang w:val="en-US"/>
        </w:rPr>
        <w:t xml:space="preserve">, </w:t>
      </w:r>
      <w:r w:rsidRPr="00084F2E">
        <w:rPr>
          <w:rFonts w:cs="Times New Roman"/>
          <w:b w:val="0"/>
          <w:i/>
          <w:iCs/>
          <w:lang w:val="en-US"/>
        </w:rPr>
        <w:t>48</w:t>
      </w:r>
      <w:r w:rsidRPr="00084F2E">
        <w:rPr>
          <w:rFonts w:cs="Times New Roman"/>
          <w:b w:val="0"/>
          <w:lang w:val="en-US"/>
        </w:rPr>
        <w:t xml:space="preserve">(2), 343–363. </w:t>
      </w:r>
      <w:hyperlink r:id="rId17" w:tgtFrame="_blank" w:history="1">
        <w:r w:rsidRPr="00084F2E">
          <w:rPr>
            <w:rFonts w:cs="Times New Roman"/>
            <w:b w:val="0"/>
            <w:u w:val="single"/>
            <w:lang w:val="en-US"/>
          </w:rPr>
          <w:t>https://doi.org/10.1111/1477-8947.12306</w:t>
        </w:r>
      </w:hyperlink>
    </w:p>
    <w:p w14:paraId="05AC8C46"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Ahmed, A. M. (2024). </w:t>
      </w:r>
      <w:r w:rsidRPr="00084F2E">
        <w:rPr>
          <w:rFonts w:cs="Times New Roman"/>
          <w:b w:val="0"/>
          <w:i/>
          <w:iCs/>
          <w:lang w:val="en-US"/>
        </w:rPr>
        <w:t>Impact of agricultural exports on economic growth in ethiopia: the case of coffee, oil seed and pulses</w:t>
      </w:r>
      <w:r w:rsidRPr="00084F2E">
        <w:rPr>
          <w:rFonts w:cs="Times New Roman"/>
          <w:b w:val="0"/>
          <w:lang w:val="en-US"/>
        </w:rPr>
        <w:t xml:space="preserve">. August. </w:t>
      </w:r>
      <w:hyperlink r:id="rId18" w:tgtFrame="_blank" w:history="1">
        <w:r w:rsidRPr="00084F2E">
          <w:rPr>
            <w:rFonts w:cs="Times New Roman"/>
            <w:b w:val="0"/>
            <w:u w:val="single"/>
            <w:lang w:val="en-US"/>
          </w:rPr>
          <w:t>https://doi.org/10.13140/RG.2.2.24164.18569</w:t>
        </w:r>
      </w:hyperlink>
    </w:p>
    <w:p w14:paraId="478DFD78"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Ahmed, Y. N., &amp; Delin, H. (2019). Current Situation of Egyptian Cotton: Econometrics Study Using ARDL Model. </w:t>
      </w:r>
      <w:r w:rsidRPr="00084F2E">
        <w:rPr>
          <w:rFonts w:cs="Times New Roman"/>
          <w:b w:val="0"/>
          <w:i/>
          <w:iCs/>
          <w:lang w:val="en-US"/>
        </w:rPr>
        <w:t>Journal of Agricultural Science</w:t>
      </w:r>
      <w:r w:rsidRPr="00084F2E">
        <w:rPr>
          <w:rFonts w:cs="Times New Roman"/>
          <w:b w:val="0"/>
          <w:lang w:val="en-US"/>
        </w:rPr>
        <w:t xml:space="preserve">, </w:t>
      </w:r>
      <w:r w:rsidRPr="00084F2E">
        <w:rPr>
          <w:rFonts w:cs="Times New Roman"/>
          <w:b w:val="0"/>
          <w:i/>
          <w:iCs/>
          <w:lang w:val="en-US"/>
        </w:rPr>
        <w:t>11</w:t>
      </w:r>
      <w:r w:rsidRPr="00084F2E">
        <w:rPr>
          <w:rFonts w:cs="Times New Roman"/>
          <w:b w:val="0"/>
          <w:lang w:val="en-US"/>
        </w:rPr>
        <w:t xml:space="preserve">(10), 88. </w:t>
      </w:r>
      <w:hyperlink r:id="rId19" w:tgtFrame="_blank" w:history="1">
        <w:r w:rsidRPr="00084F2E">
          <w:rPr>
            <w:rFonts w:cs="Times New Roman"/>
            <w:b w:val="0"/>
            <w:u w:val="single"/>
            <w:lang w:val="en-US"/>
          </w:rPr>
          <w:t>https://doi.org/10.5539/jas.v11n10p88</w:t>
        </w:r>
      </w:hyperlink>
    </w:p>
    <w:p w14:paraId="2D41CC98"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 xml:space="preserve">Ajewumi, O. E., Afolabi, J. A., &amp; Joe-akunne, I. (2024). Regional trade agreements and economic integration in Africa : assessing the impact of the African Continental Free Trade Area ( AFCFTA ). </w:t>
      </w:r>
      <w:r w:rsidRPr="00084F2E">
        <w:rPr>
          <w:rFonts w:cs="Times New Roman"/>
          <w:b w:val="0"/>
          <w:i/>
          <w:iCs/>
          <w:lang w:val="en-US"/>
        </w:rPr>
        <w:t>2028</w:t>
      </w:r>
      <w:r w:rsidRPr="00084F2E">
        <w:rPr>
          <w:rFonts w:cs="Times New Roman"/>
          <w:b w:val="0"/>
          <w:lang w:val="en-US"/>
        </w:rPr>
        <w:t>.</w:t>
      </w:r>
    </w:p>
    <w:p w14:paraId="5052C18E"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Akaike, H. (1974). A new look at the statistical model identification. </w:t>
      </w:r>
      <w:r w:rsidRPr="00084F2E">
        <w:rPr>
          <w:rFonts w:cs="Times New Roman"/>
          <w:b w:val="0"/>
          <w:i/>
          <w:iCs/>
          <w:lang w:val="en-US"/>
        </w:rPr>
        <w:t>IEEE Transactions on Automatic Control</w:t>
      </w:r>
      <w:r w:rsidRPr="00084F2E">
        <w:rPr>
          <w:rFonts w:cs="Times New Roman"/>
          <w:b w:val="0"/>
          <w:lang w:val="en-US"/>
        </w:rPr>
        <w:t xml:space="preserve">, </w:t>
      </w:r>
      <w:r w:rsidRPr="00084F2E">
        <w:rPr>
          <w:rFonts w:cs="Times New Roman"/>
          <w:b w:val="0"/>
          <w:i/>
          <w:iCs/>
          <w:lang w:val="en-US"/>
        </w:rPr>
        <w:t>19</w:t>
      </w:r>
      <w:r w:rsidRPr="00084F2E">
        <w:rPr>
          <w:rFonts w:cs="Times New Roman"/>
          <w:b w:val="0"/>
          <w:lang w:val="en-US"/>
        </w:rPr>
        <w:t>(6), 716-723.</w:t>
      </w:r>
    </w:p>
    <w:p w14:paraId="11D8325D"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Alder, S., &amp; Vaisey, A. (2023). </w:t>
      </w:r>
      <w:r w:rsidRPr="00084F2E">
        <w:rPr>
          <w:rFonts w:cs="Times New Roman"/>
          <w:b w:val="0"/>
          <w:i/>
          <w:iCs/>
          <w:lang w:val="en-US"/>
        </w:rPr>
        <w:t>The Impact of Ethiopia ’ s Road Investment Program on Economic Development and Land Use Evidence from Satellite Data</w:t>
      </w:r>
      <w:r w:rsidRPr="00084F2E">
        <w:rPr>
          <w:rFonts w:cs="Times New Roman"/>
          <w:b w:val="0"/>
          <w:lang w:val="en-US"/>
        </w:rPr>
        <w:t>. July.</w:t>
      </w:r>
    </w:p>
    <w:p w14:paraId="2E10E218"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Andarga, Y. T. (2023). </w:t>
      </w:r>
      <w:r w:rsidRPr="00084F2E">
        <w:rPr>
          <w:rFonts w:cs="Times New Roman"/>
          <w:b w:val="0"/>
          <w:i/>
          <w:iCs/>
          <w:lang w:val="en-US"/>
        </w:rPr>
        <w:t>The Impact of Foreign Direct Investment on the Performance of Agricultural Sector : The Case of Ethiopia July 2023</w:t>
      </w:r>
      <w:r w:rsidRPr="00084F2E">
        <w:rPr>
          <w:rFonts w:cs="Times New Roman"/>
          <w:b w:val="0"/>
          <w:lang w:val="en-US"/>
        </w:rPr>
        <w:t>. July.</w:t>
      </w:r>
    </w:p>
    <w:p w14:paraId="58BE710F"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Anega, N. M., &amp; Alemu, B. (2024). The effect of rural roads on consumption in Ethiopia. </w:t>
      </w:r>
      <w:r w:rsidRPr="00084F2E">
        <w:rPr>
          <w:rFonts w:cs="Times New Roman"/>
          <w:b w:val="0"/>
          <w:i/>
          <w:iCs/>
          <w:lang w:val="en-US"/>
        </w:rPr>
        <w:t>March 2023</w:t>
      </w:r>
      <w:r w:rsidRPr="00084F2E">
        <w:rPr>
          <w:rFonts w:cs="Times New Roman"/>
          <w:b w:val="0"/>
          <w:lang w:val="en-US"/>
        </w:rPr>
        <w:t xml:space="preserve">. </w:t>
      </w:r>
      <w:hyperlink r:id="rId20" w:tgtFrame="_blank" w:history="1">
        <w:r w:rsidRPr="00084F2E">
          <w:rPr>
            <w:rFonts w:cs="Times New Roman"/>
            <w:b w:val="0"/>
            <w:u w:val="single"/>
            <w:lang w:val="en-US"/>
          </w:rPr>
          <w:t>https://doi.org/10.1108/JED-10-2022-0213</w:t>
        </w:r>
      </w:hyperlink>
    </w:p>
    <w:p w14:paraId="1D042B16"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i/>
          <w:iCs/>
          <w:lang w:val="en-US"/>
        </w:rPr>
        <w:t>Annual Report 2022/23</w:t>
      </w:r>
      <w:r w:rsidRPr="00084F2E">
        <w:rPr>
          <w:rFonts w:cs="Times New Roman"/>
          <w:b w:val="0"/>
          <w:lang w:val="en-US"/>
        </w:rPr>
        <w:t>. (2022).</w:t>
      </w:r>
    </w:p>
    <w:p w14:paraId="43F5AE47"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Applestein, C., Caughlin, T., &amp; Germino, M. J. (2021). Final report Final report. In </w:t>
      </w:r>
      <w:r w:rsidRPr="00084F2E">
        <w:rPr>
          <w:rFonts w:cs="Times New Roman"/>
          <w:b w:val="0"/>
          <w:i/>
          <w:iCs/>
          <w:lang w:val="en-US"/>
        </w:rPr>
        <w:t>Review of 3D printing and potential red meat applications</w:t>
      </w:r>
      <w:r w:rsidRPr="00084F2E">
        <w:rPr>
          <w:rFonts w:cs="Times New Roman"/>
          <w:b w:val="0"/>
          <w:lang w:val="en-US"/>
        </w:rPr>
        <w:t xml:space="preserve"> (Vol. 2019, Issue 23 February 2021).</w:t>
      </w:r>
    </w:p>
    <w:p w14:paraId="432BB7FA"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Aragie, E., Balié, J., Morales, C., &amp; Pauw, K. (2023). Synergies and trade-offs between agricultural export promotion and food security: Evidence from African economies. </w:t>
      </w:r>
      <w:r w:rsidRPr="00084F2E">
        <w:rPr>
          <w:rFonts w:cs="Times New Roman"/>
          <w:b w:val="0"/>
          <w:i/>
          <w:iCs/>
          <w:lang w:val="en-US"/>
        </w:rPr>
        <w:t>World Development</w:t>
      </w:r>
      <w:r w:rsidRPr="00084F2E">
        <w:rPr>
          <w:rFonts w:cs="Times New Roman"/>
          <w:b w:val="0"/>
          <w:lang w:val="en-US"/>
        </w:rPr>
        <w:t xml:space="preserve">, </w:t>
      </w:r>
      <w:r w:rsidRPr="00084F2E">
        <w:rPr>
          <w:rFonts w:cs="Times New Roman"/>
          <w:b w:val="0"/>
          <w:i/>
          <w:iCs/>
          <w:lang w:val="en-US"/>
        </w:rPr>
        <w:t>172</w:t>
      </w:r>
      <w:r w:rsidRPr="00084F2E">
        <w:rPr>
          <w:rFonts w:cs="Times New Roman"/>
          <w:b w:val="0"/>
          <w:lang w:val="en-US"/>
        </w:rPr>
        <w:t xml:space="preserve">(August). </w:t>
      </w:r>
      <w:hyperlink r:id="rId21" w:tgtFrame="_blank" w:history="1">
        <w:r w:rsidRPr="00084F2E">
          <w:rPr>
            <w:rFonts w:cs="Times New Roman"/>
            <w:b w:val="0"/>
            <w:u w:val="single"/>
            <w:lang w:val="en-US"/>
          </w:rPr>
          <w:t>https://doi.org/10.1016/j.worlddev.2023.106368</w:t>
        </w:r>
      </w:hyperlink>
    </w:p>
    <w:p w14:paraId="7F3DD805"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Arora, R., &amp; Vamvakidis, A. (2018). </w:t>
      </w:r>
      <w:r w:rsidRPr="00084F2E">
        <w:rPr>
          <w:rFonts w:cs="Times New Roman"/>
          <w:b w:val="0"/>
          <w:i/>
          <w:iCs/>
          <w:lang w:val="en-US"/>
        </w:rPr>
        <w:t>Inflation and trade: The role of policy credibility</w:t>
      </w:r>
      <w:r w:rsidRPr="00084F2E">
        <w:rPr>
          <w:rFonts w:cs="Times New Roman"/>
          <w:b w:val="0"/>
          <w:lang w:val="en-US"/>
        </w:rPr>
        <w:t>. International Monetary Fund.</w:t>
      </w:r>
    </w:p>
    <w:p w14:paraId="02952EBB"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Ashine, S. G. (2024). Assessment of foreign direct investment inflows into Ethiopia in light of peace and security challenges from 2018 to 2022. </w:t>
      </w:r>
      <w:r w:rsidRPr="00084F2E">
        <w:rPr>
          <w:rFonts w:cs="Times New Roman"/>
          <w:b w:val="0"/>
          <w:i/>
          <w:iCs/>
          <w:lang w:val="en-US"/>
        </w:rPr>
        <w:t>Cogent Economics &amp; Finance</w:t>
      </w:r>
      <w:r w:rsidRPr="00084F2E">
        <w:rPr>
          <w:rFonts w:cs="Times New Roman"/>
          <w:b w:val="0"/>
          <w:lang w:val="en-US"/>
        </w:rPr>
        <w:t xml:space="preserve">, </w:t>
      </w:r>
      <w:r w:rsidRPr="00084F2E">
        <w:rPr>
          <w:rFonts w:cs="Times New Roman"/>
          <w:b w:val="0"/>
          <w:i/>
          <w:iCs/>
          <w:lang w:val="en-US"/>
        </w:rPr>
        <w:t>12</w:t>
      </w:r>
      <w:r w:rsidRPr="00084F2E">
        <w:rPr>
          <w:rFonts w:cs="Times New Roman"/>
          <w:b w:val="0"/>
          <w:lang w:val="en-US"/>
        </w:rPr>
        <w:t xml:space="preserve">(1). </w:t>
      </w:r>
      <w:hyperlink r:id="rId22" w:tgtFrame="_blank" w:history="1">
        <w:r w:rsidRPr="00084F2E">
          <w:rPr>
            <w:rFonts w:cs="Times New Roman"/>
            <w:b w:val="0"/>
            <w:u w:val="single"/>
            <w:lang w:val="en-US"/>
          </w:rPr>
          <w:t>https://doi.org/10.1080/23322039.2024.2308670</w:t>
        </w:r>
      </w:hyperlink>
    </w:p>
    <w:p w14:paraId="302E799A"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Assistant, V., Diego, S., Editor, A., &amp; Kr, M. (n.d.). No Title.</w:t>
      </w:r>
    </w:p>
    <w:p w14:paraId="01FBCF3C"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At, F. A. O. (2024). Opportunities and Challenges Posed by International Trade on Agriculture in Developing Nations : A Review.</w:t>
      </w:r>
    </w:p>
    <w:p w14:paraId="3449E373"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Ayele, G. M. (2022). The Effect of Everything But Arms Trade Preference on the Exports of Ethiopia: Empirical Evidence Using Gravity Model. </w:t>
      </w:r>
      <w:r w:rsidRPr="00084F2E">
        <w:rPr>
          <w:rFonts w:cs="Times New Roman"/>
          <w:b w:val="0"/>
          <w:i/>
          <w:iCs/>
          <w:lang w:val="en-US"/>
        </w:rPr>
        <w:t>The Ethiopian Economics Association (Eea), October 2021</w:t>
      </w:r>
      <w:r w:rsidRPr="00084F2E">
        <w:rPr>
          <w:rFonts w:cs="Times New Roman"/>
          <w:b w:val="0"/>
          <w:lang w:val="en-US"/>
        </w:rPr>
        <w:t>, 103.</w:t>
      </w:r>
    </w:p>
    <w:p w14:paraId="11A78488"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Bakhtsiyarava, M., &amp; Grace, K. (2021). Agricultural production diversity and child nutrition in Ethiopia. </w:t>
      </w:r>
      <w:r w:rsidRPr="00084F2E">
        <w:rPr>
          <w:rFonts w:cs="Times New Roman"/>
          <w:b w:val="0"/>
          <w:i/>
          <w:iCs/>
          <w:lang w:val="en-US"/>
        </w:rPr>
        <w:t>Food Security</w:t>
      </w:r>
      <w:r w:rsidRPr="00084F2E">
        <w:rPr>
          <w:rFonts w:cs="Times New Roman"/>
          <w:b w:val="0"/>
          <w:lang w:val="en-US"/>
        </w:rPr>
        <w:t xml:space="preserve">, </w:t>
      </w:r>
      <w:r w:rsidRPr="00084F2E">
        <w:rPr>
          <w:rFonts w:cs="Times New Roman"/>
          <w:b w:val="0"/>
          <w:i/>
          <w:iCs/>
          <w:lang w:val="en-US"/>
        </w:rPr>
        <w:t>13</w:t>
      </w:r>
      <w:r w:rsidRPr="00084F2E">
        <w:rPr>
          <w:rFonts w:cs="Times New Roman"/>
          <w:b w:val="0"/>
          <w:lang w:val="en-US"/>
        </w:rPr>
        <w:t xml:space="preserve">(6), 1407–1422. </w:t>
      </w:r>
      <w:hyperlink r:id="rId23" w:tgtFrame="_blank" w:history="1">
        <w:r w:rsidRPr="00084F2E">
          <w:rPr>
            <w:rFonts w:cs="Times New Roman"/>
            <w:b w:val="0"/>
            <w:u w:val="single"/>
            <w:lang w:val="en-US"/>
          </w:rPr>
          <w:t>https://doi.org/10.1007/s12571-021-01173-9</w:t>
        </w:r>
      </w:hyperlink>
    </w:p>
    <w:p w14:paraId="6294000A"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Balami, K. G., Studies, L. D., &amp; Studie, D. (2024). DOI: https: //doi.org/10.20372/mwu.jessd.2024.1561 Full Length Research Paper. </w:t>
      </w:r>
      <w:r w:rsidRPr="00084F2E">
        <w:rPr>
          <w:rFonts w:cs="Times New Roman"/>
          <w:b w:val="0"/>
          <w:i/>
          <w:iCs/>
          <w:lang w:val="en-US"/>
        </w:rPr>
        <w:t>7</w:t>
      </w:r>
      <w:r w:rsidRPr="00084F2E">
        <w:rPr>
          <w:rFonts w:cs="Times New Roman"/>
          <w:b w:val="0"/>
          <w:lang w:val="en-US"/>
        </w:rPr>
        <w:t>(2), 180–192.</w:t>
      </w:r>
    </w:p>
    <w:p w14:paraId="62D26708"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Balaguer, J., &amp; Cantavella-Jordá, M. (2022). Economic growth and export performance: An empirical analysis for Spain. </w:t>
      </w:r>
      <w:r w:rsidRPr="00084F2E">
        <w:rPr>
          <w:rFonts w:cs="Times New Roman"/>
          <w:b w:val="0"/>
          <w:i/>
          <w:iCs/>
          <w:lang w:val="en-US"/>
        </w:rPr>
        <w:t>Applied Economics Letters</w:t>
      </w:r>
      <w:r w:rsidRPr="00084F2E">
        <w:rPr>
          <w:rFonts w:cs="Times New Roman"/>
          <w:b w:val="0"/>
          <w:lang w:val="en-US"/>
        </w:rPr>
        <w:t xml:space="preserve">, </w:t>
      </w:r>
      <w:r w:rsidRPr="00084F2E">
        <w:rPr>
          <w:rFonts w:cs="Times New Roman"/>
          <w:b w:val="0"/>
          <w:i/>
          <w:iCs/>
          <w:lang w:val="en-US"/>
        </w:rPr>
        <w:t>29</w:t>
      </w:r>
      <w:r w:rsidRPr="00084F2E">
        <w:rPr>
          <w:rFonts w:cs="Times New Roman"/>
          <w:b w:val="0"/>
          <w:lang w:val="en-US"/>
        </w:rPr>
        <w:t>(14), 1333-1337.</w:t>
      </w:r>
    </w:p>
    <w:p w14:paraId="3CC79139"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Baltagi, B. H., Egger, P., &amp; Pfaffermayr, M. (2017). Estimating the impact of FDI on trade in services: A dynamic panel approach. </w:t>
      </w:r>
      <w:r w:rsidRPr="00084F2E">
        <w:rPr>
          <w:rFonts w:cs="Times New Roman"/>
          <w:b w:val="0"/>
          <w:i/>
          <w:iCs/>
          <w:lang w:val="en-US"/>
        </w:rPr>
        <w:t>Empirical Economics</w:t>
      </w:r>
      <w:r w:rsidRPr="00084F2E">
        <w:rPr>
          <w:rFonts w:cs="Times New Roman"/>
          <w:b w:val="0"/>
          <w:lang w:val="en-US"/>
        </w:rPr>
        <w:t xml:space="preserve">, </w:t>
      </w:r>
      <w:r w:rsidRPr="00084F2E">
        <w:rPr>
          <w:rFonts w:cs="Times New Roman"/>
          <w:b w:val="0"/>
          <w:i/>
          <w:iCs/>
          <w:lang w:val="en-US"/>
        </w:rPr>
        <w:t>52</w:t>
      </w:r>
      <w:r w:rsidRPr="00084F2E">
        <w:rPr>
          <w:rFonts w:cs="Times New Roman"/>
          <w:b w:val="0"/>
          <w:lang w:val="en-US"/>
        </w:rPr>
        <w:t>(1), 1-28.</w:t>
      </w:r>
    </w:p>
    <w:p w14:paraId="4F1B0016"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Bank, A. D. (2014). </w:t>
      </w:r>
      <w:r w:rsidRPr="00084F2E">
        <w:rPr>
          <w:rFonts w:cs="Times New Roman"/>
          <w:b w:val="0"/>
          <w:i/>
          <w:iCs/>
          <w:lang w:val="en-US"/>
        </w:rPr>
        <w:t>OPPORTUNITIES FOR ECONOMIC GROWTH AND JOB CREATION IN RELATION TO FOOD SECURITY AND NUTRITION Report to the G20 Development Working Group FAO and the OECD with inputs from Food security is critical to the G20 ’ s growth agenda . The G20 countries play a v</w:t>
      </w:r>
      <w:r w:rsidRPr="00084F2E">
        <w:rPr>
          <w:rFonts w:cs="Times New Roman"/>
          <w:b w:val="0"/>
          <w:lang w:val="en-US"/>
        </w:rPr>
        <w:t>. September.</w:t>
      </w:r>
    </w:p>
    <w:p w14:paraId="59DF37AA"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Barbosa de Andrade Aragão, R., Bastos Lima, M. G., Burns, G. L., Ross, H., &amp; Biggs, D. (2024). ‘Greenlash’ and reactionary stakeholders in environmental governance: An analysis of soy farmers against zero deforestation in Brazil. </w:t>
      </w:r>
      <w:r w:rsidRPr="00084F2E">
        <w:rPr>
          <w:rFonts w:cs="Times New Roman"/>
          <w:b w:val="0"/>
          <w:i/>
          <w:iCs/>
          <w:lang w:val="en-US"/>
        </w:rPr>
        <w:t>Forest Policy and Economics</w:t>
      </w:r>
      <w:r w:rsidRPr="00084F2E">
        <w:rPr>
          <w:rFonts w:cs="Times New Roman"/>
          <w:b w:val="0"/>
          <w:lang w:val="en-US"/>
        </w:rPr>
        <w:t xml:space="preserve">, </w:t>
      </w:r>
      <w:r w:rsidRPr="00084F2E">
        <w:rPr>
          <w:rFonts w:cs="Times New Roman"/>
          <w:b w:val="0"/>
          <w:i/>
          <w:iCs/>
          <w:lang w:val="en-US"/>
        </w:rPr>
        <w:t>166</w:t>
      </w:r>
      <w:r w:rsidRPr="00084F2E">
        <w:rPr>
          <w:rFonts w:cs="Times New Roman"/>
          <w:b w:val="0"/>
          <w:lang w:val="en-US"/>
        </w:rPr>
        <w:t xml:space="preserve">(May), 103267. </w:t>
      </w:r>
      <w:hyperlink r:id="rId24" w:tgtFrame="_blank" w:history="1">
        <w:r w:rsidRPr="00084F2E">
          <w:rPr>
            <w:rFonts w:cs="Times New Roman"/>
            <w:b w:val="0"/>
            <w:u w:val="single"/>
            <w:lang w:val="en-US"/>
          </w:rPr>
          <w:t>https://doi.org/10.1016/j.forpol.2024.103267</w:t>
        </w:r>
      </w:hyperlink>
    </w:p>
    <w:p w14:paraId="63674F45"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Beck, M., Van Bunnen, P., Bodart, S., Münch, A., Gorny, H., &amp; Badouix, M. (2024). </w:t>
      </w:r>
      <w:r w:rsidRPr="00084F2E">
        <w:rPr>
          <w:rFonts w:cs="Times New Roman"/>
          <w:b w:val="0"/>
          <w:i/>
          <w:iCs/>
          <w:lang w:val="en-US"/>
        </w:rPr>
        <w:t>Rural Areas-Levels of support and impact on competitiveness of farms</w:t>
      </w:r>
      <w:r w:rsidRPr="00084F2E">
        <w:rPr>
          <w:rFonts w:cs="Times New Roman"/>
          <w:b w:val="0"/>
          <w:lang w:val="en-US"/>
        </w:rPr>
        <w:t>. January.</w:t>
      </w:r>
    </w:p>
    <w:p w14:paraId="0D58F418"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Bekele, S., &amp; Ferede, T. (n.d.). </w:t>
      </w:r>
      <w:r w:rsidRPr="00084F2E">
        <w:rPr>
          <w:rFonts w:cs="Times New Roman"/>
          <w:b w:val="0"/>
          <w:i/>
          <w:iCs/>
          <w:lang w:val="en-US"/>
        </w:rPr>
        <w:t>Economy-wide Impact of Investment in Road Infrastructure in Ethiopia : A Recursive Dynamic CGE Approach</w:t>
      </w:r>
      <w:r w:rsidRPr="00084F2E">
        <w:rPr>
          <w:rFonts w:cs="Times New Roman"/>
          <w:b w:val="0"/>
          <w:lang w:val="en-US"/>
        </w:rPr>
        <w:t>.</w:t>
      </w:r>
    </w:p>
    <w:p w14:paraId="2898F105"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 xml:space="preserve">Beleska-Spasova, E. (2014). Determinants and Measures of Export Performance – Comprehensive Literature Review. </w:t>
      </w:r>
      <w:r w:rsidRPr="00084F2E">
        <w:rPr>
          <w:rFonts w:cs="Times New Roman"/>
          <w:b w:val="0"/>
          <w:i/>
          <w:iCs/>
          <w:lang w:val="en-US"/>
        </w:rPr>
        <w:t>Jcebi</w:t>
      </w:r>
      <w:r w:rsidRPr="00084F2E">
        <w:rPr>
          <w:rFonts w:cs="Times New Roman"/>
          <w:b w:val="0"/>
          <w:lang w:val="en-US"/>
        </w:rPr>
        <w:t xml:space="preserve">, </w:t>
      </w:r>
      <w:r w:rsidRPr="00084F2E">
        <w:rPr>
          <w:rFonts w:cs="Times New Roman"/>
          <w:b w:val="0"/>
          <w:i/>
          <w:iCs/>
          <w:lang w:val="en-US"/>
        </w:rPr>
        <w:t>1</w:t>
      </w:r>
      <w:r w:rsidRPr="00084F2E">
        <w:rPr>
          <w:rFonts w:cs="Times New Roman"/>
          <w:b w:val="0"/>
          <w:lang w:val="en-US"/>
        </w:rPr>
        <w:t>(1), 63–74.</w:t>
      </w:r>
    </w:p>
    <w:p w14:paraId="3E3E53E8" w14:textId="77777777" w:rsidR="00A312E8" w:rsidRPr="00084F2E" w:rsidRDefault="00A312E8" w:rsidP="007B1CFD">
      <w:pPr>
        <w:spacing w:before="100" w:beforeAutospacing="1" w:after="100" w:afterAutospacing="1" w:line="360" w:lineRule="auto"/>
        <w:jc w:val="both"/>
        <w:rPr>
          <w:rFonts w:cs="Times New Roman"/>
          <w:b w:val="0"/>
          <w:lang w:val="en-US"/>
        </w:rPr>
      </w:pPr>
      <w:r w:rsidRPr="00084F2E">
        <w:rPr>
          <w:rFonts w:cs="Times New Roman"/>
          <w:b w:val="0"/>
          <w:lang w:val="en-US"/>
        </w:rPr>
        <w:t>Beghin, J. C. (2017). Global Agricultural Trade and Policy: Transitions and Challenges. Routledge. (Supports the claim regarding the need for complex trade models).</w:t>
      </w:r>
    </w:p>
    <w:p w14:paraId="0E631E6B" w14:textId="2C9A8072"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Bleaney, M., &amp; Tian, M. (2022). The trade-GDP ratio as a measure of openness. </w:t>
      </w:r>
      <w:r w:rsidRPr="00084F2E">
        <w:rPr>
          <w:rFonts w:cs="Times New Roman"/>
          <w:b w:val="0"/>
          <w:i/>
          <w:iCs/>
          <w:lang w:val="en-US"/>
        </w:rPr>
        <w:t>September</w:t>
      </w:r>
      <w:r w:rsidRPr="00084F2E">
        <w:rPr>
          <w:rFonts w:cs="Times New Roman"/>
          <w:b w:val="0"/>
          <w:lang w:val="en-US"/>
        </w:rPr>
        <w:t xml:space="preserve">, 1319–1332. </w:t>
      </w:r>
      <w:hyperlink r:id="rId25" w:tgtFrame="_blank" w:history="1">
        <w:r w:rsidRPr="00084F2E">
          <w:rPr>
            <w:rFonts w:cs="Times New Roman"/>
            <w:b w:val="0"/>
            <w:u w:val="single"/>
            <w:lang w:val="en-US"/>
          </w:rPr>
          <w:t>https://doi.org/10.1111/twec.13352</w:t>
        </w:r>
      </w:hyperlink>
    </w:p>
    <w:p w14:paraId="0B929AEF"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Brief, F. A. (2022). Agricultural production statistics 2000–2021. </w:t>
      </w:r>
      <w:r w:rsidRPr="00084F2E">
        <w:rPr>
          <w:rFonts w:cs="Times New Roman"/>
          <w:b w:val="0"/>
          <w:i/>
          <w:iCs/>
          <w:lang w:val="en-US"/>
        </w:rPr>
        <w:t>Agricultural Production Statistics 2000–2021</w:t>
      </w:r>
      <w:r w:rsidRPr="00084F2E">
        <w:rPr>
          <w:rFonts w:cs="Times New Roman"/>
          <w:b w:val="0"/>
          <w:lang w:val="en-US"/>
        </w:rPr>
        <w:t xml:space="preserve">. </w:t>
      </w:r>
      <w:hyperlink r:id="rId26" w:tgtFrame="_blank" w:history="1">
        <w:r w:rsidRPr="00084F2E">
          <w:rPr>
            <w:rFonts w:cs="Times New Roman"/>
            <w:b w:val="0"/>
            <w:u w:val="single"/>
            <w:lang w:val="en-US"/>
          </w:rPr>
          <w:t>https://doi.org/10.4060/cc3751en</w:t>
        </w:r>
      </w:hyperlink>
    </w:p>
    <w:p w14:paraId="124E6ECF"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Breusch, T. S. (1978). Testing for autocorrelation in dynamic linear models. </w:t>
      </w:r>
      <w:r w:rsidRPr="00084F2E">
        <w:rPr>
          <w:rFonts w:cs="Times New Roman"/>
          <w:b w:val="0"/>
          <w:i/>
          <w:iCs/>
          <w:lang w:val="en-US"/>
        </w:rPr>
        <w:t>Australian Economic Papers</w:t>
      </w:r>
      <w:r w:rsidRPr="00084F2E">
        <w:rPr>
          <w:rFonts w:cs="Times New Roman"/>
          <w:b w:val="0"/>
          <w:lang w:val="en-US"/>
        </w:rPr>
        <w:t xml:space="preserve">, </w:t>
      </w:r>
      <w:r w:rsidRPr="00084F2E">
        <w:rPr>
          <w:rFonts w:cs="Times New Roman"/>
          <w:b w:val="0"/>
          <w:i/>
          <w:iCs/>
          <w:lang w:val="en-US"/>
        </w:rPr>
        <w:t>17</w:t>
      </w:r>
      <w:r w:rsidRPr="00084F2E">
        <w:rPr>
          <w:rFonts w:cs="Times New Roman"/>
          <w:b w:val="0"/>
          <w:lang w:val="en-US"/>
        </w:rPr>
        <w:t>(31), 334-355.</w:t>
      </w:r>
    </w:p>
    <w:p w14:paraId="65FDC693"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Breusch, T. S., &amp; Pagan, A. R. (1979). A simple test for heteroscedasticity and random coefficient variation. </w:t>
      </w:r>
      <w:r w:rsidRPr="00084F2E">
        <w:rPr>
          <w:rFonts w:cs="Times New Roman"/>
          <w:b w:val="0"/>
          <w:i/>
          <w:iCs/>
          <w:lang w:val="en-US"/>
        </w:rPr>
        <w:t>Econometrica: Journal of the Econometric Society</w:t>
      </w:r>
      <w:r w:rsidRPr="00084F2E">
        <w:rPr>
          <w:rFonts w:cs="Times New Roman"/>
          <w:b w:val="0"/>
          <w:lang w:val="en-US"/>
        </w:rPr>
        <w:t xml:space="preserve">, </w:t>
      </w:r>
      <w:r w:rsidRPr="00084F2E">
        <w:rPr>
          <w:rFonts w:cs="Times New Roman"/>
          <w:b w:val="0"/>
          <w:i/>
          <w:iCs/>
          <w:lang w:val="en-US"/>
        </w:rPr>
        <w:t>47</w:t>
      </w:r>
      <w:r w:rsidRPr="00084F2E">
        <w:rPr>
          <w:rFonts w:cs="Times New Roman"/>
          <w:b w:val="0"/>
          <w:lang w:val="en-US"/>
        </w:rPr>
        <w:t>(5), 1287-1294.</w:t>
      </w:r>
    </w:p>
    <w:p w14:paraId="53B7EB43"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Burnham, K. P., &amp; Anderson, D. R. (2002). </w:t>
      </w:r>
      <w:r w:rsidRPr="00084F2E">
        <w:rPr>
          <w:rFonts w:cs="Times New Roman"/>
          <w:b w:val="0"/>
          <w:i/>
          <w:iCs/>
          <w:lang w:val="en-US"/>
        </w:rPr>
        <w:t>Model selection and multimodel inference: A practical information-theoretic approach</w:t>
      </w:r>
      <w:r w:rsidRPr="00084F2E">
        <w:rPr>
          <w:rFonts w:cs="Times New Roman"/>
          <w:b w:val="0"/>
          <w:lang w:val="en-US"/>
        </w:rPr>
        <w:t>. Springer.</w:t>
      </w:r>
    </w:p>
    <w:p w14:paraId="51C95ED4"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Burns, T., &amp; Dalrymple, K. (2012). Land Sector Corruption in Ethiopia. In </w:t>
      </w:r>
      <w:r w:rsidRPr="00084F2E">
        <w:rPr>
          <w:rFonts w:cs="Times New Roman"/>
          <w:b w:val="0"/>
          <w:i/>
          <w:iCs/>
          <w:lang w:val="en-US"/>
        </w:rPr>
        <w:t>Diagnosing Corruption in Ethiopia: Perceptions, Realities, and the Way Forward for Key Sectors</w:t>
      </w:r>
      <w:r w:rsidRPr="00084F2E">
        <w:rPr>
          <w:rFonts w:cs="Times New Roman"/>
          <w:b w:val="0"/>
          <w:lang w:val="en-US"/>
        </w:rPr>
        <w:t xml:space="preserve">. </w:t>
      </w:r>
      <w:hyperlink r:id="rId27" w:tgtFrame="_blank" w:history="1">
        <w:r w:rsidRPr="00084F2E">
          <w:rPr>
            <w:rFonts w:cs="Times New Roman"/>
            <w:b w:val="0"/>
            <w:u w:val="single"/>
            <w:lang w:val="en-US"/>
          </w:rPr>
          <w:t>http://documents1.worldbank.org/curated/en/210171468024611636/pdf/699430PUB0Publ067869B09780821395318.pdf</w:t>
        </w:r>
      </w:hyperlink>
    </w:p>
    <w:p w14:paraId="3547BDAA"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Cachia, F. (2018). </w:t>
      </w:r>
      <w:r w:rsidRPr="00084F2E">
        <w:rPr>
          <w:rFonts w:cs="Times New Roman"/>
          <w:b w:val="0"/>
          <w:i/>
          <w:iCs/>
          <w:lang w:val="en-US"/>
        </w:rPr>
        <w:t>Guidelines for the measurement of productivity and efficiency</w:t>
      </w:r>
      <w:r w:rsidRPr="00084F2E">
        <w:rPr>
          <w:rFonts w:cs="Times New Roman"/>
          <w:b w:val="0"/>
          <w:lang w:val="en-US"/>
        </w:rPr>
        <w:t xml:space="preserve">. December. </w:t>
      </w:r>
      <w:hyperlink r:id="rId28" w:tgtFrame="_blank" w:history="1">
        <w:r w:rsidRPr="00084F2E">
          <w:rPr>
            <w:rFonts w:cs="Times New Roman"/>
            <w:b w:val="0"/>
            <w:u w:val="single"/>
            <w:lang w:val="en-US"/>
          </w:rPr>
          <w:t>https://doi.org/10.13140/RG.2.2.31566.72006</w:t>
        </w:r>
      </w:hyperlink>
    </w:p>
    <w:p w14:paraId="1C43E3A6"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Caldarelli, C. E., Gilio, L., &amp; Zilberman, D. (2019). The coffee market in Brazil: challenges and policy guidelines. </w:t>
      </w:r>
      <w:r w:rsidRPr="00084F2E">
        <w:rPr>
          <w:rFonts w:cs="Times New Roman"/>
          <w:b w:val="0"/>
          <w:i/>
          <w:iCs/>
          <w:lang w:val="en-US"/>
        </w:rPr>
        <w:t>Revista de Economia</w:t>
      </w:r>
      <w:r w:rsidRPr="00084F2E">
        <w:rPr>
          <w:rFonts w:cs="Times New Roman"/>
          <w:b w:val="0"/>
          <w:lang w:val="en-US"/>
        </w:rPr>
        <w:t xml:space="preserve">, </w:t>
      </w:r>
      <w:r w:rsidRPr="00084F2E">
        <w:rPr>
          <w:rFonts w:cs="Times New Roman"/>
          <w:b w:val="0"/>
          <w:i/>
          <w:iCs/>
          <w:lang w:val="en-US"/>
        </w:rPr>
        <w:t>39</w:t>
      </w:r>
      <w:r w:rsidRPr="00084F2E">
        <w:rPr>
          <w:rFonts w:cs="Times New Roman"/>
          <w:b w:val="0"/>
          <w:lang w:val="en-US"/>
        </w:rPr>
        <w:t xml:space="preserve">(69), 1–21. </w:t>
      </w:r>
      <w:hyperlink r:id="rId29" w:tgtFrame="_blank" w:history="1">
        <w:r w:rsidRPr="00084F2E">
          <w:rPr>
            <w:rFonts w:cs="Times New Roman"/>
            <w:b w:val="0"/>
            <w:u w:val="single"/>
            <w:lang w:val="en-US"/>
          </w:rPr>
          <w:t>https://doi.org/10.5380/re.v39i69.67891</w:t>
        </w:r>
      </w:hyperlink>
    </w:p>
    <w:p w14:paraId="73811651"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 xml:space="preserve">Carlos, J., Ninaquispe, M., Arbulú-ballesteros, M. A., Valle, M. G., Elizabeth, A., Morales, P., Edgardo, L., Salinas, C., Farfán-chilicaus, G. C., Daniel, H., Juárez, G., Ernesto, J., &amp; Sanchez, B. (2024). Diversification of Export Markets : A Literature Review. </w:t>
      </w:r>
      <w:r w:rsidRPr="00084F2E">
        <w:rPr>
          <w:rFonts w:cs="Times New Roman"/>
          <w:b w:val="0"/>
          <w:i/>
          <w:iCs/>
          <w:lang w:val="en-US"/>
        </w:rPr>
        <w:t>260–275</w:t>
      </w:r>
      <w:r w:rsidRPr="00084F2E">
        <w:rPr>
          <w:rFonts w:cs="Times New Roman"/>
          <w:b w:val="0"/>
          <w:lang w:val="en-US"/>
        </w:rPr>
        <w:t>.</w:t>
      </w:r>
    </w:p>
    <w:p w14:paraId="3A42186A"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Cen-, W. I., &amp; Bellemare, M. (2021). D IGITAL E XTENSION , P RICE R ISK , AND F ARM P ERFORMANCE : E XPERIMENTAL E VIDENCE FROM N IGERIA. </w:t>
      </w:r>
      <w:r w:rsidRPr="00084F2E">
        <w:rPr>
          <w:rFonts w:cs="Times New Roman"/>
          <w:b w:val="0"/>
          <w:i/>
          <w:iCs/>
          <w:lang w:val="en-US"/>
        </w:rPr>
        <w:t>00</w:t>
      </w:r>
      <w:r w:rsidRPr="00084F2E">
        <w:rPr>
          <w:rFonts w:cs="Times New Roman"/>
          <w:b w:val="0"/>
          <w:lang w:val="en-US"/>
        </w:rPr>
        <w:t xml:space="preserve">(00), 1–20. </w:t>
      </w:r>
      <w:hyperlink r:id="rId30" w:tgtFrame="_blank" w:history="1">
        <w:r w:rsidRPr="00084F2E">
          <w:rPr>
            <w:rFonts w:cs="Times New Roman"/>
            <w:b w:val="0"/>
            <w:u w:val="single"/>
            <w:lang w:val="en-US"/>
          </w:rPr>
          <w:t>https://doi.org/10.1111/ajae.12242</w:t>
        </w:r>
      </w:hyperlink>
    </w:p>
    <w:p w14:paraId="14AF5F12"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Conference, U. N. (2019). </w:t>
      </w:r>
      <w:r w:rsidRPr="00084F2E">
        <w:rPr>
          <w:rFonts w:cs="Times New Roman"/>
          <w:b w:val="0"/>
          <w:i/>
          <w:iCs/>
          <w:lang w:val="en-US"/>
        </w:rPr>
        <w:t>United Nations Conference on Trade and Development</w:t>
      </w:r>
      <w:r w:rsidRPr="00084F2E">
        <w:rPr>
          <w:rFonts w:cs="Times New Roman"/>
          <w:b w:val="0"/>
          <w:lang w:val="en-US"/>
        </w:rPr>
        <w:t>. 13540(August).</w:t>
      </w:r>
    </w:p>
    <w:p w14:paraId="26DEF0BC"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Cook, R. D., &amp; Weisberg, S. (1983). Diagnostics for heteroscedasticity in regression. </w:t>
      </w:r>
      <w:r w:rsidRPr="00084F2E">
        <w:rPr>
          <w:rFonts w:cs="Times New Roman"/>
          <w:b w:val="0"/>
          <w:i/>
          <w:iCs/>
          <w:lang w:val="en-US"/>
        </w:rPr>
        <w:t>Biometrika</w:t>
      </w:r>
      <w:r w:rsidRPr="00084F2E">
        <w:rPr>
          <w:rFonts w:cs="Times New Roman"/>
          <w:b w:val="0"/>
          <w:lang w:val="en-US"/>
        </w:rPr>
        <w:t xml:space="preserve">, </w:t>
      </w:r>
      <w:r w:rsidRPr="00084F2E">
        <w:rPr>
          <w:rFonts w:cs="Times New Roman"/>
          <w:b w:val="0"/>
          <w:i/>
          <w:iCs/>
          <w:lang w:val="en-US"/>
        </w:rPr>
        <w:t>70</w:t>
      </w:r>
      <w:r w:rsidRPr="00084F2E">
        <w:rPr>
          <w:rFonts w:cs="Times New Roman"/>
          <w:b w:val="0"/>
          <w:lang w:val="en-US"/>
        </w:rPr>
        <w:t>(1), 1-10.</w:t>
      </w:r>
    </w:p>
    <w:p w14:paraId="51C622CE"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Countries, L. I. (2024). </w:t>
      </w:r>
      <w:r w:rsidRPr="00084F2E">
        <w:rPr>
          <w:rFonts w:cs="Times New Roman"/>
          <w:b w:val="0"/>
          <w:i/>
          <w:iCs/>
          <w:lang w:val="en-US"/>
        </w:rPr>
        <w:t>Mp r a</w:t>
      </w:r>
      <w:r w:rsidRPr="00084F2E">
        <w:rPr>
          <w:rFonts w:cs="Times New Roman"/>
          <w:b w:val="0"/>
          <w:lang w:val="en-US"/>
        </w:rPr>
        <w:t>. 121631.</w:t>
      </w:r>
    </w:p>
    <w:p w14:paraId="39320FC1"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Dadi, V., Nikhil, S. R., Mor, R. S., &amp; Agarwal, T. (2021). Agri-Food 4 . 0 and Innovations : Revamping the Supply Chain Operations. </w:t>
      </w:r>
      <w:r w:rsidRPr="00084F2E">
        <w:rPr>
          <w:rFonts w:cs="Times New Roman"/>
          <w:b w:val="0"/>
          <w:i/>
          <w:iCs/>
          <w:lang w:val="en-US"/>
        </w:rPr>
        <w:t>27</w:t>
      </w:r>
      <w:r w:rsidRPr="00084F2E">
        <w:rPr>
          <w:rFonts w:cs="Times New Roman"/>
          <w:b w:val="0"/>
          <w:lang w:val="en-US"/>
        </w:rPr>
        <w:t xml:space="preserve">(2), 75–89. </w:t>
      </w:r>
      <w:hyperlink r:id="rId31" w:tgtFrame="_blank" w:history="1">
        <w:r w:rsidRPr="00084F2E">
          <w:rPr>
            <w:rFonts w:cs="Times New Roman"/>
            <w:b w:val="0"/>
            <w:u w:val="single"/>
            <w:lang w:val="en-US"/>
          </w:rPr>
          <w:t>https://doi.org/10.30657/pea.2021.27.10</w:t>
        </w:r>
      </w:hyperlink>
    </w:p>
    <w:p w14:paraId="50932D90"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Dat, P. M. (2023). Export of Some Key Agricultural Products of Vietnam. </w:t>
      </w:r>
      <w:r w:rsidRPr="00084F2E">
        <w:rPr>
          <w:rFonts w:cs="Times New Roman"/>
          <w:b w:val="0"/>
          <w:i/>
          <w:iCs/>
          <w:lang w:val="en-US"/>
        </w:rPr>
        <w:t>International Journal of Professional Business Review</w:t>
      </w:r>
      <w:r w:rsidRPr="00084F2E">
        <w:rPr>
          <w:rFonts w:cs="Times New Roman"/>
          <w:b w:val="0"/>
          <w:lang w:val="en-US"/>
        </w:rPr>
        <w:t xml:space="preserve">, </w:t>
      </w:r>
      <w:r w:rsidRPr="00084F2E">
        <w:rPr>
          <w:rFonts w:cs="Times New Roman"/>
          <w:b w:val="0"/>
          <w:i/>
          <w:iCs/>
          <w:lang w:val="en-US"/>
        </w:rPr>
        <w:t>8</w:t>
      </w:r>
      <w:r w:rsidRPr="00084F2E">
        <w:rPr>
          <w:rFonts w:cs="Times New Roman"/>
          <w:b w:val="0"/>
          <w:lang w:val="en-US"/>
        </w:rPr>
        <w:t xml:space="preserve">(1), 1–17. </w:t>
      </w:r>
      <w:hyperlink r:id="rId32" w:tgtFrame="_blank" w:history="1">
        <w:r w:rsidRPr="00084F2E">
          <w:rPr>
            <w:rFonts w:cs="Times New Roman"/>
            <w:b w:val="0"/>
            <w:u w:val="single"/>
            <w:lang w:val="en-US"/>
          </w:rPr>
          <w:t>https://doi.org/10.26668/businessreview/2023.v8i1.417</w:t>
        </w:r>
      </w:hyperlink>
    </w:p>
    <w:p w14:paraId="3947CDF9"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Diriba, G. (2020). </w:t>
      </w:r>
      <w:r w:rsidRPr="00084F2E">
        <w:rPr>
          <w:rFonts w:cs="Times New Roman"/>
          <w:b w:val="0"/>
          <w:i/>
          <w:iCs/>
          <w:lang w:val="en-US"/>
        </w:rPr>
        <w:t>Agricultural and Rural Transformation in Ethiopia Obstacles, Triggers and Reform Considerations Policy Working Paper</w:t>
      </w:r>
      <w:r w:rsidRPr="00084F2E">
        <w:rPr>
          <w:rFonts w:cs="Times New Roman"/>
          <w:b w:val="0"/>
          <w:lang w:val="en-US"/>
        </w:rPr>
        <w:t>. January, 52.</w:t>
      </w:r>
    </w:p>
    <w:p w14:paraId="12B58913"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Dutt, A., &amp; Khan, N. (2009). Trade and development. </w:t>
      </w:r>
      <w:r w:rsidRPr="00084F2E">
        <w:rPr>
          <w:rFonts w:cs="Times New Roman"/>
          <w:b w:val="0"/>
          <w:i/>
          <w:iCs/>
          <w:lang w:val="en-US"/>
        </w:rPr>
        <w:t>Elgar Encyclopedia of Post-Keynesian Economics</w:t>
      </w:r>
      <w:r w:rsidRPr="00084F2E">
        <w:rPr>
          <w:rFonts w:cs="Times New Roman"/>
          <w:b w:val="0"/>
          <w:lang w:val="en-US"/>
        </w:rPr>
        <w:t xml:space="preserve">, 416–417. </w:t>
      </w:r>
      <w:hyperlink r:id="rId33" w:tgtFrame="_blank" w:history="1">
        <w:r w:rsidRPr="00084F2E">
          <w:rPr>
            <w:rFonts w:cs="Times New Roman"/>
            <w:b w:val="0"/>
            <w:u w:val="single"/>
            <w:lang w:val="en-US"/>
          </w:rPr>
          <w:t>https://doi.org/10.4337/9781788973939.trade.and.development</w:t>
        </w:r>
      </w:hyperlink>
    </w:p>
    <w:p w14:paraId="5958598B"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Ebrill, L., Keen, M., Bodin, J. P., &amp; Summers, V. (2021). </w:t>
      </w:r>
      <w:r w:rsidRPr="00084F2E">
        <w:rPr>
          <w:rFonts w:cs="Times New Roman"/>
          <w:b w:val="0"/>
          <w:i/>
          <w:iCs/>
          <w:lang w:val="en-US"/>
        </w:rPr>
        <w:t>The modern VAT</w:t>
      </w:r>
      <w:r w:rsidRPr="00084F2E">
        <w:rPr>
          <w:rFonts w:cs="Times New Roman"/>
          <w:b w:val="0"/>
          <w:lang w:val="en-US"/>
        </w:rPr>
        <w:t>. International Monetary Fund.</w:t>
      </w:r>
    </w:p>
    <w:p w14:paraId="2D7019D1"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Ecija, N. (2021). EFFECTS OF INFRASTRUCTURE DEVELOPMENT PROJECTS IN JOB CREATION AND CROP PRODUCTION OF FARM FAMILIES IN THE SECOND DISTRICT OF. </w:t>
      </w:r>
      <w:r w:rsidRPr="00084F2E">
        <w:rPr>
          <w:rFonts w:cs="Times New Roman"/>
          <w:b w:val="0"/>
          <w:i/>
          <w:iCs/>
          <w:lang w:val="en-US"/>
        </w:rPr>
        <w:t>May 2022</w:t>
      </w:r>
      <w:r w:rsidRPr="00084F2E">
        <w:rPr>
          <w:rFonts w:cs="Times New Roman"/>
          <w:b w:val="0"/>
          <w:lang w:val="en-US"/>
        </w:rPr>
        <w:t xml:space="preserve">. </w:t>
      </w:r>
      <w:hyperlink r:id="rId34" w:tgtFrame="_blank" w:history="1">
        <w:r w:rsidRPr="00084F2E">
          <w:rPr>
            <w:rFonts w:cs="Times New Roman"/>
            <w:b w:val="0"/>
            <w:u w:val="single"/>
            <w:lang w:val="en-US"/>
          </w:rPr>
          <w:t>https://doi.org/10.2139/ssrn.3828886</w:t>
        </w:r>
      </w:hyperlink>
    </w:p>
    <w:p w14:paraId="409B251E"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 xml:space="preserve">Edwards, L. (2005). South Africa ’ s Export Performance : Determinants of Export supply by Lawrence Edwards and Phil Alves University of Cape Town D ECEMBER 2005. </w:t>
      </w:r>
      <w:r w:rsidRPr="00084F2E">
        <w:rPr>
          <w:rFonts w:cs="Times New Roman"/>
          <w:b w:val="0"/>
          <w:i/>
          <w:iCs/>
          <w:lang w:val="en-US"/>
        </w:rPr>
        <w:t>Africa Region Working Paper</w:t>
      </w:r>
      <w:r w:rsidRPr="00084F2E">
        <w:rPr>
          <w:rFonts w:cs="Times New Roman"/>
          <w:b w:val="0"/>
          <w:lang w:val="en-US"/>
        </w:rPr>
        <w:t xml:space="preserve">, </w:t>
      </w:r>
      <w:r w:rsidRPr="00084F2E">
        <w:rPr>
          <w:rFonts w:cs="Times New Roman"/>
          <w:b w:val="0"/>
          <w:i/>
          <w:iCs/>
          <w:lang w:val="en-US"/>
        </w:rPr>
        <w:t>Vol 95</w:t>
      </w:r>
      <w:r w:rsidRPr="00084F2E">
        <w:rPr>
          <w:rFonts w:cs="Times New Roman"/>
          <w:b w:val="0"/>
          <w:lang w:val="en-US"/>
        </w:rPr>
        <w:t>(95), pp 1-60.</w:t>
      </w:r>
    </w:p>
    <w:p w14:paraId="1AEBC099"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El Hafdaoui, H., Khallaayoun, A., &amp; Ouazzani, K. (2024). Long-term low carbon strategy of Morocco: A review of future scenarios and energy measures. </w:t>
      </w:r>
      <w:r w:rsidRPr="00084F2E">
        <w:rPr>
          <w:rFonts w:cs="Times New Roman"/>
          <w:b w:val="0"/>
          <w:i/>
          <w:iCs/>
          <w:lang w:val="en-US"/>
        </w:rPr>
        <w:t>Results in Engineering</w:t>
      </w:r>
      <w:r w:rsidRPr="00084F2E">
        <w:rPr>
          <w:rFonts w:cs="Times New Roman"/>
          <w:b w:val="0"/>
          <w:lang w:val="en-US"/>
        </w:rPr>
        <w:t xml:space="preserve">, </w:t>
      </w:r>
      <w:r w:rsidRPr="00084F2E">
        <w:rPr>
          <w:rFonts w:cs="Times New Roman"/>
          <w:b w:val="0"/>
          <w:i/>
          <w:iCs/>
          <w:lang w:val="en-US"/>
        </w:rPr>
        <w:t>21</w:t>
      </w:r>
      <w:r w:rsidRPr="00084F2E">
        <w:rPr>
          <w:rFonts w:cs="Times New Roman"/>
          <w:b w:val="0"/>
          <w:lang w:val="en-US"/>
        </w:rPr>
        <w:t xml:space="preserve">(December 2023), 101724. </w:t>
      </w:r>
      <w:hyperlink r:id="rId35" w:tgtFrame="_blank" w:history="1">
        <w:r w:rsidRPr="00084F2E">
          <w:rPr>
            <w:rFonts w:cs="Times New Roman"/>
            <w:b w:val="0"/>
            <w:u w:val="single"/>
            <w:lang w:val="en-US"/>
          </w:rPr>
          <w:t>https://doi.org/10.1016/j.rineng.2023.101724</w:t>
        </w:r>
      </w:hyperlink>
    </w:p>
    <w:p w14:paraId="6148791C"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i/>
          <w:iCs/>
          <w:lang w:val="en-US"/>
        </w:rPr>
        <w:t>Ethiopia : Macroeconomic and Social Indicators</w:t>
      </w:r>
      <w:r w:rsidRPr="00084F2E">
        <w:rPr>
          <w:rFonts w:cs="Times New Roman"/>
          <w:b w:val="0"/>
          <w:lang w:val="en-US"/>
        </w:rPr>
        <w:t>. (2004). 05(1997).</w:t>
      </w:r>
    </w:p>
    <w:p w14:paraId="345B049C"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Eyitayo Raji, Tochukwu Ignatius Ijomah, &amp; Osemeike Gloria Eyieyien. (2024). Improving agricultural practices and productivity through extension services and innovative training programs. </w:t>
      </w:r>
      <w:r w:rsidRPr="00084F2E">
        <w:rPr>
          <w:rFonts w:cs="Times New Roman"/>
          <w:b w:val="0"/>
          <w:i/>
          <w:iCs/>
          <w:lang w:val="en-US"/>
        </w:rPr>
        <w:t>International Journal of Applied Research in Social Sciences</w:t>
      </w:r>
      <w:r w:rsidRPr="00084F2E">
        <w:rPr>
          <w:rFonts w:cs="Times New Roman"/>
          <w:b w:val="0"/>
          <w:lang w:val="en-US"/>
        </w:rPr>
        <w:t xml:space="preserve">, </w:t>
      </w:r>
      <w:r w:rsidRPr="00084F2E">
        <w:rPr>
          <w:rFonts w:cs="Times New Roman"/>
          <w:b w:val="0"/>
          <w:i/>
          <w:iCs/>
          <w:lang w:val="en-US"/>
        </w:rPr>
        <w:t>6</w:t>
      </w:r>
      <w:r w:rsidRPr="00084F2E">
        <w:rPr>
          <w:rFonts w:cs="Times New Roman"/>
          <w:b w:val="0"/>
          <w:lang w:val="en-US"/>
        </w:rPr>
        <w:t xml:space="preserve">(7), 1297–1309. </w:t>
      </w:r>
      <w:hyperlink r:id="rId36" w:tgtFrame="_blank" w:history="1">
        <w:r w:rsidRPr="00084F2E">
          <w:rPr>
            <w:rFonts w:cs="Times New Roman"/>
            <w:b w:val="0"/>
            <w:u w:val="single"/>
            <w:lang w:val="en-US"/>
          </w:rPr>
          <w:t>https://doi.org/10.51594/ijarss.v6i7.1267</w:t>
        </w:r>
      </w:hyperlink>
    </w:p>
    <w:p w14:paraId="22CC9B8E"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FAO. (2021). Faostat Analytical Brief 60 Agricultural production statistics Agricultural production statistics 2000-2021 Faostat Analytical Brief 60 Faostat Crops and Livestock Production Introduction. </w:t>
      </w:r>
      <w:r w:rsidRPr="00084F2E">
        <w:rPr>
          <w:rFonts w:cs="Times New Roman"/>
          <w:b w:val="0"/>
          <w:i/>
          <w:iCs/>
          <w:lang w:val="en-US"/>
        </w:rPr>
        <w:t>Fao</w:t>
      </w:r>
      <w:r w:rsidRPr="00084F2E">
        <w:rPr>
          <w:rFonts w:cs="Times New Roman"/>
          <w:b w:val="0"/>
          <w:lang w:val="en-US"/>
        </w:rPr>
        <w:t>, 1–17.</w:t>
      </w:r>
    </w:p>
    <w:p w14:paraId="1E7869FC"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FAO, F. and A. O. of the U. (2022). </w:t>
      </w:r>
      <w:r w:rsidRPr="00084F2E">
        <w:rPr>
          <w:rFonts w:cs="Times New Roman"/>
          <w:b w:val="0"/>
          <w:i/>
          <w:iCs/>
          <w:lang w:val="en-US"/>
        </w:rPr>
        <w:t>Programme Implementation Report 2020-21</w:t>
      </w:r>
      <w:r w:rsidRPr="00084F2E">
        <w:rPr>
          <w:rFonts w:cs="Times New Roman"/>
          <w:b w:val="0"/>
          <w:lang w:val="en-US"/>
        </w:rPr>
        <w:t xml:space="preserve">. </w:t>
      </w:r>
      <w:hyperlink r:id="rId37" w:tgtFrame="_blank" w:history="1">
        <w:r w:rsidRPr="00084F2E">
          <w:rPr>
            <w:rFonts w:cs="Times New Roman"/>
            <w:b w:val="0"/>
            <w:u w:val="single"/>
            <w:lang w:val="en-US"/>
          </w:rPr>
          <w:t>http://www.wipo.int/amc/en/mediation/rules%0Awww.fao.org/pir</w:t>
        </w:r>
      </w:hyperlink>
    </w:p>
    <w:p w14:paraId="0C86A265"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Faundez, J. (2016). Douglass North’s Theory of Institutions: Lessons for Law and Development. </w:t>
      </w:r>
      <w:r w:rsidRPr="00084F2E">
        <w:rPr>
          <w:rFonts w:cs="Times New Roman"/>
          <w:b w:val="0"/>
          <w:i/>
          <w:iCs/>
          <w:lang w:val="en-US"/>
        </w:rPr>
        <w:t>Hague Journal on the Rule of Law</w:t>
      </w:r>
      <w:r w:rsidRPr="00084F2E">
        <w:rPr>
          <w:rFonts w:cs="Times New Roman"/>
          <w:b w:val="0"/>
          <w:lang w:val="en-US"/>
        </w:rPr>
        <w:t xml:space="preserve">, </w:t>
      </w:r>
      <w:r w:rsidRPr="00084F2E">
        <w:rPr>
          <w:rFonts w:cs="Times New Roman"/>
          <w:b w:val="0"/>
          <w:i/>
          <w:iCs/>
          <w:lang w:val="en-US"/>
        </w:rPr>
        <w:t>8</w:t>
      </w:r>
      <w:r w:rsidRPr="00084F2E">
        <w:rPr>
          <w:rFonts w:cs="Times New Roman"/>
          <w:b w:val="0"/>
          <w:lang w:val="en-US"/>
        </w:rPr>
        <w:t xml:space="preserve">(2), 373–419. </w:t>
      </w:r>
      <w:hyperlink r:id="rId38" w:tgtFrame="_blank" w:history="1">
        <w:r w:rsidRPr="00084F2E">
          <w:rPr>
            <w:rFonts w:cs="Times New Roman"/>
            <w:b w:val="0"/>
            <w:u w:val="single"/>
            <w:lang w:val="en-US"/>
          </w:rPr>
          <w:t>https://doi.org/10.1007/s40803-016-0028-8</w:t>
        </w:r>
      </w:hyperlink>
    </w:p>
    <w:p w14:paraId="41129B4C" w14:textId="77777777" w:rsidR="008A1224" w:rsidRPr="00084F2E" w:rsidRDefault="007B1CFD" w:rsidP="007B1CFD">
      <w:pPr>
        <w:spacing w:before="100" w:beforeAutospacing="1" w:after="100" w:afterAutospacing="1" w:line="360" w:lineRule="auto"/>
        <w:jc w:val="both"/>
      </w:pPr>
      <w:r w:rsidRPr="00084F2E">
        <w:rPr>
          <w:rFonts w:cs="Times New Roman"/>
          <w:b w:val="0"/>
          <w:lang w:val="en-US"/>
        </w:rPr>
        <w:t xml:space="preserve">FED. (2007). </w:t>
      </w:r>
      <w:r w:rsidRPr="00084F2E">
        <w:rPr>
          <w:rFonts w:cs="Times New Roman"/>
          <w:b w:val="0"/>
          <w:i/>
          <w:iCs/>
          <w:lang w:val="en-US"/>
        </w:rPr>
        <w:t>Financial Stability Report 2007</w:t>
      </w:r>
      <w:r w:rsidRPr="00084F2E">
        <w:rPr>
          <w:rFonts w:cs="Times New Roman"/>
          <w:b w:val="0"/>
          <w:lang w:val="en-US"/>
        </w:rPr>
        <w:t xml:space="preserve">. Central Bank of Bahrain, Dec, 1–54. </w:t>
      </w:r>
      <w:hyperlink r:id="rId39" w:tgtFrame="_blank" w:history="1">
        <w:r w:rsidRPr="00084F2E">
          <w:rPr>
            <w:rFonts w:cs="Times New Roman"/>
            <w:b w:val="0"/>
            <w:u w:val="single"/>
            <w:lang w:val="en-US"/>
          </w:rPr>
          <w:t>www.cbb.gov.bh</w:t>
        </w:r>
      </w:hyperlink>
      <w:r w:rsidR="008A1224" w:rsidRPr="00084F2E">
        <w:t xml:space="preserve"> </w:t>
      </w:r>
    </w:p>
    <w:p w14:paraId="2410B8DC" w14:textId="27F36FBE" w:rsidR="007B1CFD" w:rsidRPr="00084F2E" w:rsidRDefault="008A1224" w:rsidP="007B1CFD">
      <w:pPr>
        <w:spacing w:before="100" w:beforeAutospacing="1" w:after="100" w:afterAutospacing="1" w:line="360" w:lineRule="auto"/>
        <w:jc w:val="both"/>
        <w:rPr>
          <w:rFonts w:cs="Times New Roman"/>
          <w:b w:val="0"/>
          <w:lang w:val="en-US"/>
        </w:rPr>
      </w:pPr>
      <w:r w:rsidRPr="00084F2E">
        <w:rPr>
          <w:rFonts w:cs="Times New Roman"/>
          <w:b w:val="0"/>
          <w:u w:val="single"/>
          <w:lang w:val="en-US"/>
        </w:rPr>
        <w:t>Fuglie, K., Gautam, M., Goyal, A., &amp; Maloney, W. F. (2020). Harvesting Prosperity: Technology and Productivity Growth in Agriculture. World Bank Publications. (Supports the link between technology, productivity, and competitiveness).</w:t>
      </w:r>
    </w:p>
    <w:p w14:paraId="3090A44B"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 xml:space="preserve">Gebremariam, T. K., &amp; Ying, S. (2022). The foreign direct investment-Export performance nexus: An ARDL based empirical evidence from Ethiopia. </w:t>
      </w:r>
      <w:r w:rsidRPr="00084F2E">
        <w:rPr>
          <w:rFonts w:cs="Times New Roman"/>
          <w:b w:val="0"/>
          <w:i/>
          <w:iCs/>
          <w:lang w:val="en-US"/>
        </w:rPr>
        <w:t>Cogent Economics and Finance</w:t>
      </w:r>
      <w:r w:rsidRPr="00084F2E">
        <w:rPr>
          <w:rFonts w:cs="Times New Roman"/>
          <w:b w:val="0"/>
          <w:lang w:val="en-US"/>
        </w:rPr>
        <w:t xml:space="preserve">, </w:t>
      </w:r>
      <w:r w:rsidRPr="00084F2E">
        <w:rPr>
          <w:rFonts w:cs="Times New Roman"/>
          <w:b w:val="0"/>
          <w:i/>
          <w:iCs/>
          <w:lang w:val="en-US"/>
        </w:rPr>
        <w:t>10</w:t>
      </w:r>
      <w:r w:rsidRPr="00084F2E">
        <w:rPr>
          <w:rFonts w:cs="Times New Roman"/>
          <w:b w:val="0"/>
          <w:lang w:val="en-US"/>
        </w:rPr>
        <w:t xml:space="preserve">(1), 1–15. </w:t>
      </w:r>
      <w:hyperlink r:id="rId40" w:tgtFrame="_blank" w:history="1">
        <w:r w:rsidRPr="00084F2E">
          <w:rPr>
            <w:rFonts w:cs="Times New Roman"/>
            <w:b w:val="0"/>
            <w:u w:val="single"/>
            <w:lang w:val="en-US"/>
          </w:rPr>
          <w:t>https://doi.org/10.1080/23322039.2021.2009089</w:t>
        </w:r>
      </w:hyperlink>
    </w:p>
    <w:p w14:paraId="37FB98F4"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Godfrey, L. G. (1978). Testing for higher order serial correlation in regression equations when the regressors include lagged dependent variables. </w:t>
      </w:r>
      <w:r w:rsidRPr="00084F2E">
        <w:rPr>
          <w:rFonts w:cs="Times New Roman"/>
          <w:b w:val="0"/>
          <w:i/>
          <w:iCs/>
          <w:lang w:val="en-US"/>
        </w:rPr>
        <w:t>Econometrica: Journal of the Econometric Society</w:t>
      </w:r>
      <w:r w:rsidRPr="00084F2E">
        <w:rPr>
          <w:rFonts w:cs="Times New Roman"/>
          <w:b w:val="0"/>
          <w:lang w:val="en-US"/>
        </w:rPr>
        <w:t xml:space="preserve">, </w:t>
      </w:r>
      <w:r w:rsidRPr="00084F2E">
        <w:rPr>
          <w:rFonts w:cs="Times New Roman"/>
          <w:b w:val="0"/>
          <w:i/>
          <w:iCs/>
          <w:lang w:val="en-US"/>
        </w:rPr>
        <w:t>46</w:t>
      </w:r>
      <w:r w:rsidRPr="00084F2E">
        <w:rPr>
          <w:rFonts w:cs="Times New Roman"/>
          <w:b w:val="0"/>
          <w:lang w:val="en-US"/>
        </w:rPr>
        <w:t>(6), 1303-1310.</w:t>
      </w:r>
    </w:p>
    <w:p w14:paraId="4A279BF6"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Golub, S. O. C. and S. S. (2008). </w:t>
      </w:r>
      <w:r w:rsidRPr="00084F2E">
        <w:rPr>
          <w:rFonts w:cs="Times New Roman"/>
          <w:b w:val="0"/>
          <w:i/>
          <w:iCs/>
          <w:lang w:val="en-US"/>
        </w:rPr>
        <w:t>Export competitiveness and development in LDCs policies , issues and priorities for least developed countries for action during and beyond UNCTAD XII</w:t>
      </w:r>
      <w:r w:rsidRPr="00084F2E">
        <w:rPr>
          <w:rFonts w:cs="Times New Roman"/>
          <w:b w:val="0"/>
          <w:lang w:val="en-US"/>
        </w:rPr>
        <w:t>. United Nations Conference on Trade and Development Palais Des Nations, 1–78.</w:t>
      </w:r>
    </w:p>
    <w:p w14:paraId="6C97059B"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Gooroochurn, N., &amp; Hanley, A. (2017). Corruption and trade. </w:t>
      </w:r>
      <w:r w:rsidRPr="00084F2E">
        <w:rPr>
          <w:rFonts w:cs="Times New Roman"/>
          <w:b w:val="0"/>
          <w:i/>
          <w:iCs/>
          <w:lang w:val="en-US"/>
        </w:rPr>
        <w:t>Journal of Development Economics</w:t>
      </w:r>
      <w:r w:rsidRPr="00084F2E">
        <w:rPr>
          <w:rFonts w:cs="Times New Roman"/>
          <w:b w:val="0"/>
          <w:lang w:val="en-US"/>
        </w:rPr>
        <w:t xml:space="preserve">, </w:t>
      </w:r>
      <w:r w:rsidRPr="00084F2E">
        <w:rPr>
          <w:rFonts w:cs="Times New Roman"/>
          <w:b w:val="0"/>
          <w:i/>
          <w:iCs/>
          <w:lang w:val="en-US"/>
        </w:rPr>
        <w:t>125</w:t>
      </w:r>
      <w:r w:rsidRPr="00084F2E">
        <w:rPr>
          <w:rFonts w:cs="Times New Roman"/>
          <w:b w:val="0"/>
          <w:lang w:val="en-US"/>
        </w:rPr>
        <w:t>, 1-13.</w:t>
      </w:r>
    </w:p>
    <w:p w14:paraId="78BEF1F5"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Goshu, D., Shumetie, A., &amp; Getachew, D. (2024). </w:t>
      </w:r>
      <w:r w:rsidRPr="00084F2E">
        <w:rPr>
          <w:rFonts w:cs="Times New Roman"/>
          <w:b w:val="0"/>
          <w:i/>
          <w:iCs/>
          <w:lang w:val="en-US"/>
        </w:rPr>
        <w:t>POLICY Brief</w:t>
      </w:r>
      <w:r w:rsidRPr="00084F2E">
        <w:rPr>
          <w:rFonts w:cs="Times New Roman"/>
          <w:b w:val="0"/>
          <w:lang w:val="en-US"/>
        </w:rPr>
        <w:t>. 10, 4–7.</w:t>
      </w:r>
    </w:p>
    <w:p w14:paraId="50553E83"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Grigorieva, E., Livenets, A., &amp; Stelmakh, E. (2023). Adaptation of Agriculture to Climate Change: A Scoping Review. </w:t>
      </w:r>
      <w:r w:rsidRPr="00084F2E">
        <w:rPr>
          <w:rFonts w:cs="Times New Roman"/>
          <w:b w:val="0"/>
          <w:i/>
          <w:iCs/>
          <w:lang w:val="en-US"/>
        </w:rPr>
        <w:t>Climate</w:t>
      </w:r>
      <w:r w:rsidRPr="00084F2E">
        <w:rPr>
          <w:rFonts w:cs="Times New Roman"/>
          <w:b w:val="0"/>
          <w:lang w:val="en-US"/>
        </w:rPr>
        <w:t xml:space="preserve">, </w:t>
      </w:r>
      <w:r w:rsidRPr="00084F2E">
        <w:rPr>
          <w:rFonts w:cs="Times New Roman"/>
          <w:b w:val="0"/>
          <w:i/>
          <w:iCs/>
          <w:lang w:val="en-US"/>
        </w:rPr>
        <w:t>11</w:t>
      </w:r>
      <w:r w:rsidRPr="00084F2E">
        <w:rPr>
          <w:rFonts w:cs="Times New Roman"/>
          <w:b w:val="0"/>
          <w:lang w:val="en-US"/>
        </w:rPr>
        <w:t xml:space="preserve">(10), 1–37. </w:t>
      </w:r>
      <w:hyperlink r:id="rId41" w:tgtFrame="_blank" w:history="1">
        <w:r w:rsidRPr="00084F2E">
          <w:rPr>
            <w:rFonts w:cs="Times New Roman"/>
            <w:b w:val="0"/>
            <w:u w:val="single"/>
            <w:lang w:val="en-US"/>
          </w:rPr>
          <w:t>https://doi.org/10.3390/cli11100202</w:t>
        </w:r>
      </w:hyperlink>
    </w:p>
    <w:p w14:paraId="714C00D4"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Grossman, G. M., &amp; Helpman, E. (1991). </w:t>
      </w:r>
      <w:r w:rsidRPr="00084F2E">
        <w:rPr>
          <w:rFonts w:cs="Times New Roman"/>
          <w:b w:val="0"/>
          <w:i/>
          <w:iCs/>
          <w:lang w:val="en-US"/>
        </w:rPr>
        <w:t>Innovation and growth in the global economy</w:t>
      </w:r>
      <w:r w:rsidRPr="00084F2E">
        <w:rPr>
          <w:rFonts w:cs="Times New Roman"/>
          <w:b w:val="0"/>
          <w:lang w:val="en-US"/>
        </w:rPr>
        <w:t>. MIT press.</w:t>
      </w:r>
    </w:p>
    <w:p w14:paraId="0BC8ABAC"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Gutiérrez, J. D. (2014). Cooperativas de pequeños productores agrícolas en Colombia: ¿Vehículos para el desarrollo rural? </w:t>
      </w:r>
      <w:r w:rsidRPr="00084F2E">
        <w:rPr>
          <w:rFonts w:cs="Times New Roman"/>
          <w:b w:val="0"/>
          <w:i/>
          <w:iCs/>
          <w:lang w:val="en-US"/>
        </w:rPr>
        <w:t>Desarrollo y Sociedad</w:t>
      </w:r>
      <w:r w:rsidRPr="00084F2E">
        <w:rPr>
          <w:rFonts w:cs="Times New Roman"/>
          <w:b w:val="0"/>
          <w:lang w:val="en-US"/>
        </w:rPr>
        <w:t xml:space="preserve">, </w:t>
      </w:r>
      <w:r w:rsidRPr="00084F2E">
        <w:rPr>
          <w:rFonts w:cs="Times New Roman"/>
          <w:b w:val="0"/>
          <w:i/>
          <w:iCs/>
          <w:lang w:val="en-US"/>
        </w:rPr>
        <w:t>73</w:t>
      </w:r>
      <w:r w:rsidRPr="00084F2E">
        <w:rPr>
          <w:rFonts w:cs="Times New Roman"/>
          <w:b w:val="0"/>
          <w:lang w:val="en-US"/>
        </w:rPr>
        <w:t xml:space="preserve">, 219–272. </w:t>
      </w:r>
      <w:hyperlink r:id="rId42" w:tgtFrame="_blank" w:history="1">
        <w:r w:rsidRPr="00084F2E">
          <w:rPr>
            <w:rFonts w:cs="Times New Roman"/>
            <w:b w:val="0"/>
            <w:u w:val="single"/>
            <w:lang w:val="en-US"/>
          </w:rPr>
          <w:t>https://doi.org/10.13043/DYS.73.7</w:t>
        </w:r>
      </w:hyperlink>
    </w:p>
    <w:p w14:paraId="2C6E9344"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Hair, J. F., Black, W. C., Babin, B. J., &amp; Anderson, R. E. (2010). </w:t>
      </w:r>
      <w:r w:rsidRPr="00084F2E">
        <w:rPr>
          <w:rFonts w:cs="Times New Roman"/>
          <w:b w:val="0"/>
          <w:i/>
          <w:iCs/>
          <w:lang w:val="en-US"/>
        </w:rPr>
        <w:t>Multivariate data analysis</w:t>
      </w:r>
      <w:r w:rsidRPr="00084F2E">
        <w:rPr>
          <w:rFonts w:cs="Times New Roman"/>
          <w:b w:val="0"/>
          <w:lang w:val="en-US"/>
        </w:rPr>
        <w:t xml:space="preserve"> (7th ed.). Pearson Prentice Hall.</w:t>
      </w:r>
    </w:p>
    <w:p w14:paraId="291470DF"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Hårsmar, M. (2022). </w:t>
      </w:r>
      <w:r w:rsidRPr="00084F2E">
        <w:rPr>
          <w:rFonts w:cs="Times New Roman"/>
          <w:b w:val="0"/>
          <w:i/>
          <w:iCs/>
          <w:lang w:val="en-US"/>
        </w:rPr>
        <w:t>Economic Growth and Poverty Reduction</w:t>
      </w:r>
      <w:r w:rsidRPr="00084F2E">
        <w:rPr>
          <w:rFonts w:cs="Times New Roman"/>
          <w:b w:val="0"/>
          <w:lang w:val="en-US"/>
        </w:rPr>
        <w:t xml:space="preserve">. Working paper.The Expert Group for Aid Studies (EBA), Sweden.Acess through </w:t>
      </w:r>
      <w:hyperlink r:id="rId43" w:tgtFrame="_blank" w:history="1">
        <w:r w:rsidRPr="00084F2E">
          <w:rPr>
            <w:rFonts w:cs="Times New Roman"/>
            <w:b w:val="0"/>
            <w:u w:val="single"/>
            <w:lang w:val="en-US"/>
          </w:rPr>
          <w:t>www.eba.se</w:t>
        </w:r>
      </w:hyperlink>
      <w:r w:rsidRPr="00084F2E">
        <w:rPr>
          <w:rFonts w:cs="Times New Roman"/>
          <w:b w:val="0"/>
          <w:lang w:val="en-US"/>
        </w:rPr>
        <w:t>. 4, 1–44.</w:t>
      </w:r>
    </w:p>
    <w:p w14:paraId="103AD456"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 xml:space="preserve">Himics, M., Ferrari, E., Dudu, H., Boulanger, P., M’Barek, R., &amp; European Commission. Joint Research Centre. (2016). </w:t>
      </w:r>
      <w:r w:rsidRPr="00084F2E">
        <w:rPr>
          <w:rFonts w:cs="Times New Roman"/>
          <w:b w:val="0"/>
          <w:i/>
          <w:iCs/>
          <w:lang w:val="en-US"/>
        </w:rPr>
        <w:t>Cumulative economic impact of future trade agreements on EU agriculture</w:t>
      </w:r>
      <w:r w:rsidRPr="00084F2E">
        <w:rPr>
          <w:rFonts w:cs="Times New Roman"/>
          <w:b w:val="0"/>
          <w:lang w:val="en-US"/>
        </w:rPr>
        <w:t xml:space="preserve">. </w:t>
      </w:r>
      <w:hyperlink r:id="rId44" w:tgtFrame="_blank" w:history="1">
        <w:r w:rsidRPr="00084F2E">
          <w:rPr>
            <w:rFonts w:cs="Times New Roman"/>
            <w:b w:val="0"/>
            <w:u w:val="single"/>
            <w:lang w:val="en-US"/>
          </w:rPr>
          <w:t>https://doi.org/10.2760/6546</w:t>
        </w:r>
      </w:hyperlink>
    </w:p>
    <w:p w14:paraId="3BF098FF"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Hornberger, K., &amp; Kusek, P. (2010). </w:t>
      </w:r>
      <w:r w:rsidRPr="00084F2E">
        <w:rPr>
          <w:rFonts w:cs="Times New Roman"/>
          <w:b w:val="0"/>
          <w:i/>
          <w:iCs/>
          <w:lang w:val="en-US"/>
        </w:rPr>
        <w:t>Attracting FDI</w:t>
      </w:r>
      <w:r w:rsidRPr="00084F2E">
        <w:rPr>
          <w:rFonts w:cs="Times New Roman"/>
          <w:b w:val="0"/>
          <w:lang w:val="en-US"/>
        </w:rPr>
        <w:t>.</w:t>
      </w:r>
    </w:p>
    <w:p w14:paraId="182A397E"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Huang, W., &amp; Wang, X. (2024). The Impact of Technological Innovations on Agricultural Productivity and Environmental Sustainability in China. </w:t>
      </w:r>
      <w:r w:rsidRPr="00084F2E">
        <w:rPr>
          <w:rFonts w:cs="Times New Roman"/>
          <w:b w:val="0"/>
          <w:i/>
          <w:iCs/>
          <w:lang w:val="en-US"/>
        </w:rPr>
        <w:t>Sustainability (Switzerland)</w:t>
      </w:r>
      <w:r w:rsidRPr="00084F2E">
        <w:rPr>
          <w:rFonts w:cs="Times New Roman"/>
          <w:b w:val="0"/>
          <w:lang w:val="en-US"/>
        </w:rPr>
        <w:t xml:space="preserve">, </w:t>
      </w:r>
      <w:r w:rsidRPr="00084F2E">
        <w:rPr>
          <w:rFonts w:cs="Times New Roman"/>
          <w:b w:val="0"/>
          <w:i/>
          <w:iCs/>
          <w:lang w:val="en-US"/>
        </w:rPr>
        <w:t>16</w:t>
      </w:r>
      <w:r w:rsidRPr="00084F2E">
        <w:rPr>
          <w:rFonts w:cs="Times New Roman"/>
          <w:b w:val="0"/>
          <w:lang w:val="en-US"/>
        </w:rPr>
        <w:t xml:space="preserve">(19). </w:t>
      </w:r>
      <w:hyperlink r:id="rId45" w:tgtFrame="_blank" w:history="1">
        <w:r w:rsidRPr="00084F2E">
          <w:rPr>
            <w:rFonts w:cs="Times New Roman"/>
            <w:b w:val="0"/>
            <w:u w:val="single"/>
            <w:lang w:val="en-US"/>
          </w:rPr>
          <w:t>https://doi.org/10.3390/su16198480</w:t>
        </w:r>
      </w:hyperlink>
    </w:p>
    <w:p w14:paraId="26EC5BDC"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IFAD. (2022). </w:t>
      </w:r>
      <w:r w:rsidRPr="00084F2E">
        <w:rPr>
          <w:rFonts w:cs="Times New Roman"/>
          <w:b w:val="0"/>
          <w:i/>
          <w:iCs/>
          <w:lang w:val="en-US"/>
        </w:rPr>
        <w:t>I N S I D E C O V E R K E N Y a</w:t>
      </w:r>
      <w:r w:rsidRPr="00084F2E">
        <w:rPr>
          <w:rFonts w:cs="Times New Roman"/>
          <w:b w:val="0"/>
          <w:lang w:val="en-US"/>
        </w:rPr>
        <w:t>.</w:t>
      </w:r>
    </w:p>
    <w:p w14:paraId="548CCC88"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Illien, P. (2024). Coffee and the agrarian questions in Laos and Rwanda: Taking a bottom-up perspective. </w:t>
      </w:r>
      <w:r w:rsidRPr="00084F2E">
        <w:rPr>
          <w:rFonts w:cs="Times New Roman"/>
          <w:b w:val="0"/>
          <w:i/>
          <w:iCs/>
          <w:lang w:val="en-US"/>
        </w:rPr>
        <w:t>Journal of Rural Studies</w:t>
      </w:r>
      <w:r w:rsidRPr="00084F2E">
        <w:rPr>
          <w:rFonts w:cs="Times New Roman"/>
          <w:b w:val="0"/>
          <w:lang w:val="en-US"/>
        </w:rPr>
        <w:t xml:space="preserve">, </w:t>
      </w:r>
      <w:r w:rsidRPr="00084F2E">
        <w:rPr>
          <w:rFonts w:cs="Times New Roman"/>
          <w:b w:val="0"/>
          <w:i/>
          <w:iCs/>
          <w:lang w:val="en-US"/>
        </w:rPr>
        <w:t>106</w:t>
      </w:r>
      <w:r w:rsidRPr="00084F2E">
        <w:rPr>
          <w:rFonts w:cs="Times New Roman"/>
          <w:b w:val="0"/>
          <w:lang w:val="en-US"/>
        </w:rPr>
        <w:t xml:space="preserve">(January), 103201. </w:t>
      </w:r>
      <w:hyperlink r:id="rId46" w:tgtFrame="_blank" w:history="1">
        <w:r w:rsidRPr="00084F2E">
          <w:rPr>
            <w:rFonts w:cs="Times New Roman"/>
            <w:b w:val="0"/>
            <w:u w:val="single"/>
            <w:lang w:val="en-US"/>
          </w:rPr>
          <w:t>https://doi.org/10.1016/j.jrurstud.2024.103201</w:t>
        </w:r>
      </w:hyperlink>
    </w:p>
    <w:p w14:paraId="388F4D6E"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International Labour Organization. (2022). </w:t>
      </w:r>
      <w:r w:rsidRPr="00084F2E">
        <w:rPr>
          <w:rFonts w:cs="Times New Roman"/>
          <w:b w:val="0"/>
          <w:i/>
          <w:iCs/>
          <w:lang w:val="en-US"/>
        </w:rPr>
        <w:t>World Employment and Social Outlook Trends 2022</w:t>
      </w:r>
      <w:r w:rsidRPr="00084F2E">
        <w:rPr>
          <w:rFonts w:cs="Times New Roman"/>
          <w:b w:val="0"/>
          <w:lang w:val="en-US"/>
        </w:rPr>
        <w:t xml:space="preserve">. In </w:t>
      </w:r>
      <w:r w:rsidRPr="00084F2E">
        <w:rPr>
          <w:rFonts w:cs="Times New Roman"/>
          <w:b w:val="0"/>
          <w:i/>
          <w:iCs/>
          <w:lang w:val="en-US"/>
        </w:rPr>
        <w:t>World Employment &amp; Social Outlook (WESO)</w:t>
      </w:r>
      <w:r w:rsidRPr="00084F2E">
        <w:rPr>
          <w:rFonts w:cs="Times New Roman"/>
          <w:b w:val="0"/>
          <w:lang w:val="en-US"/>
        </w:rPr>
        <w:t xml:space="preserve">. </w:t>
      </w:r>
      <w:hyperlink r:id="rId47" w:tgtFrame="_blank" w:history="1">
        <w:r w:rsidRPr="00084F2E">
          <w:rPr>
            <w:rFonts w:cs="Times New Roman"/>
            <w:b w:val="0"/>
            <w:u w:val="single"/>
            <w:lang w:val="en-US"/>
          </w:rPr>
          <w:t>https://labour.gov.tt/resources/articles/world-employment-and-social-outlook-2022-trends-report</w:t>
        </w:r>
      </w:hyperlink>
    </w:p>
    <w:p w14:paraId="6C9A4E7F"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Israel, B. (2022). the Role of Co-Operative Societies in Supply Chain of Agricultural Products: a Review of Literature. </w:t>
      </w:r>
      <w:r w:rsidRPr="00084F2E">
        <w:rPr>
          <w:rFonts w:cs="Times New Roman"/>
          <w:b w:val="0"/>
          <w:i/>
          <w:iCs/>
          <w:lang w:val="en-US"/>
        </w:rPr>
        <w:t>Journal of International Trade, Logistics and Law</w:t>
      </w:r>
      <w:r w:rsidRPr="00084F2E">
        <w:rPr>
          <w:rFonts w:cs="Times New Roman"/>
          <w:b w:val="0"/>
          <w:lang w:val="en-US"/>
        </w:rPr>
        <w:t xml:space="preserve">, </w:t>
      </w:r>
      <w:r w:rsidRPr="00084F2E">
        <w:rPr>
          <w:rFonts w:cs="Times New Roman"/>
          <w:b w:val="0"/>
          <w:i/>
          <w:iCs/>
          <w:lang w:val="en-US"/>
        </w:rPr>
        <w:t>8</w:t>
      </w:r>
      <w:r w:rsidRPr="00084F2E">
        <w:rPr>
          <w:rFonts w:cs="Times New Roman"/>
          <w:b w:val="0"/>
          <w:lang w:val="en-US"/>
        </w:rPr>
        <w:t>(December), 69–77.</w:t>
      </w:r>
    </w:p>
    <w:p w14:paraId="76C260A9"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Jiang, G., Alvarado, R., Murshed, M., Tillaguango, B., Toledo, E., Méndez, P., &amp; Isik, C. (2022). Effect of Agricultural Employment and Export Diversification Index on Environmental Pollution: Building the Agenda towards Sustainability. </w:t>
      </w:r>
      <w:r w:rsidRPr="00084F2E">
        <w:rPr>
          <w:rFonts w:cs="Times New Roman"/>
          <w:b w:val="0"/>
          <w:i/>
          <w:iCs/>
          <w:lang w:val="en-US"/>
        </w:rPr>
        <w:t>Sustainability (Switzerland)</w:t>
      </w:r>
      <w:r w:rsidRPr="00084F2E">
        <w:rPr>
          <w:rFonts w:cs="Times New Roman"/>
          <w:b w:val="0"/>
          <w:lang w:val="en-US"/>
        </w:rPr>
        <w:t xml:space="preserve">, </w:t>
      </w:r>
      <w:r w:rsidRPr="00084F2E">
        <w:rPr>
          <w:rFonts w:cs="Times New Roman"/>
          <w:b w:val="0"/>
          <w:i/>
          <w:iCs/>
          <w:lang w:val="en-US"/>
        </w:rPr>
        <w:t>14</w:t>
      </w:r>
      <w:r w:rsidRPr="00084F2E">
        <w:rPr>
          <w:rFonts w:cs="Times New Roman"/>
          <w:b w:val="0"/>
          <w:lang w:val="en-US"/>
        </w:rPr>
        <w:t xml:space="preserve">(2). </w:t>
      </w:r>
      <w:hyperlink r:id="rId48" w:tgtFrame="_blank" w:history="1">
        <w:r w:rsidRPr="00084F2E">
          <w:rPr>
            <w:rFonts w:cs="Times New Roman"/>
            <w:b w:val="0"/>
            <w:u w:val="single"/>
            <w:lang w:val="en-US"/>
          </w:rPr>
          <w:t>https://doi.org/10.3390/su14020677</w:t>
        </w:r>
      </w:hyperlink>
    </w:p>
    <w:p w14:paraId="1A031D6C"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Johnson, S. A. J. (2020). Agricultural Systems. </w:t>
      </w:r>
      <w:r w:rsidRPr="00084F2E">
        <w:rPr>
          <w:rFonts w:cs="Times New Roman"/>
          <w:b w:val="0"/>
          <w:i/>
          <w:iCs/>
          <w:lang w:val="en-US"/>
        </w:rPr>
        <w:t>Why Did Ancient Civilizations Fail?</w:t>
      </w:r>
      <w:r w:rsidRPr="00084F2E">
        <w:rPr>
          <w:rFonts w:cs="Times New Roman"/>
          <w:b w:val="0"/>
          <w:lang w:val="en-US"/>
        </w:rPr>
        <w:t xml:space="preserve">, </w:t>
      </w:r>
      <w:r w:rsidRPr="00084F2E">
        <w:rPr>
          <w:rFonts w:cs="Times New Roman"/>
          <w:b w:val="0"/>
          <w:i/>
          <w:iCs/>
          <w:lang w:val="en-US"/>
        </w:rPr>
        <w:t>224</w:t>
      </w:r>
      <w:r w:rsidRPr="00084F2E">
        <w:rPr>
          <w:rFonts w:cs="Times New Roman"/>
          <w:b w:val="0"/>
          <w:lang w:val="en-US"/>
        </w:rPr>
        <w:t xml:space="preserve">(November 2024), 79–99. </w:t>
      </w:r>
      <w:hyperlink r:id="rId49" w:tgtFrame="_blank" w:history="1">
        <w:r w:rsidRPr="00084F2E">
          <w:rPr>
            <w:rFonts w:cs="Times New Roman"/>
            <w:b w:val="0"/>
            <w:u w:val="single"/>
            <w:lang w:val="en-US"/>
          </w:rPr>
          <w:t>https://doi.org/10.4324/9781315512891-13</w:t>
        </w:r>
      </w:hyperlink>
    </w:p>
    <w:p w14:paraId="048C6C9D"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Joseph, K. O. (2018). </w:t>
      </w:r>
      <w:r w:rsidRPr="00084F2E">
        <w:rPr>
          <w:rFonts w:cs="Times New Roman"/>
          <w:b w:val="0"/>
          <w:i/>
          <w:iCs/>
          <w:lang w:val="en-US"/>
        </w:rPr>
        <w:t>The Effect of Rural Transport Infrastructure on Agricultural Productivity in some selected Local Governments of Oyo state</w:t>
      </w:r>
      <w:r w:rsidRPr="00084F2E">
        <w:rPr>
          <w:rFonts w:cs="Times New Roman"/>
          <w:b w:val="0"/>
          <w:lang w:val="en-US"/>
        </w:rPr>
        <w:t>. November.</w:t>
      </w:r>
    </w:p>
    <w:p w14:paraId="1A2F753D"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 xml:space="preserve">Kalogiannidis, S., Karafolas, S., &amp; Chatzitheodoridis, F. (2024). The Key Role of Cooperatives in Sustainable Agriculture and Agrifood Security : Evidence from Greece. </w:t>
      </w:r>
      <w:r w:rsidRPr="00084F2E">
        <w:rPr>
          <w:rFonts w:cs="Times New Roman"/>
          <w:b w:val="0"/>
          <w:i/>
          <w:iCs/>
          <w:lang w:val="en-US"/>
        </w:rPr>
        <w:t>1–20</w:t>
      </w:r>
      <w:r w:rsidRPr="00084F2E">
        <w:rPr>
          <w:rFonts w:cs="Times New Roman"/>
          <w:b w:val="0"/>
          <w:lang w:val="en-US"/>
        </w:rPr>
        <w:t>.</w:t>
      </w:r>
    </w:p>
    <w:p w14:paraId="29B17376"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Keba, A. (2020). Review on Adoption of Improved Agricultural Technologies in Ethiopia Review on Adoption of Improved Agricultural Technologies in Ethiopia. </w:t>
      </w:r>
      <w:r w:rsidRPr="00084F2E">
        <w:rPr>
          <w:rFonts w:cs="Times New Roman"/>
          <w:b w:val="0"/>
          <w:i/>
          <w:iCs/>
          <w:lang w:val="en-US"/>
        </w:rPr>
        <w:t>March 2019</w:t>
      </w:r>
      <w:r w:rsidRPr="00084F2E">
        <w:rPr>
          <w:rFonts w:cs="Times New Roman"/>
          <w:b w:val="0"/>
          <w:lang w:val="en-US"/>
        </w:rPr>
        <w:t xml:space="preserve">, 10–19. </w:t>
      </w:r>
      <w:hyperlink r:id="rId50" w:tgtFrame="_blank" w:history="1">
        <w:r w:rsidRPr="00084F2E">
          <w:rPr>
            <w:rFonts w:cs="Times New Roman"/>
            <w:b w:val="0"/>
            <w:u w:val="single"/>
            <w:lang w:val="en-US"/>
          </w:rPr>
          <w:t>https://doi.org/10.11648/j.hep.20190401.12</w:t>
        </w:r>
      </w:hyperlink>
    </w:p>
    <w:p w14:paraId="79080EA8" w14:textId="77777777" w:rsidR="00A85147" w:rsidRPr="00084F2E" w:rsidRDefault="00A85147" w:rsidP="007B1CFD">
      <w:pPr>
        <w:spacing w:before="100" w:beforeAutospacing="1" w:after="100" w:afterAutospacing="1" w:line="360" w:lineRule="auto"/>
        <w:jc w:val="both"/>
        <w:rPr>
          <w:rFonts w:cs="Times New Roman"/>
          <w:b w:val="0"/>
          <w:lang w:val="en-US"/>
        </w:rPr>
      </w:pPr>
      <w:r w:rsidRPr="00084F2E">
        <w:rPr>
          <w:rFonts w:cs="Times New Roman"/>
          <w:b w:val="0"/>
          <w:lang w:val="en-US"/>
        </w:rPr>
        <w:t>Keba, A. (2024). Situation and Trend Analysis of Agricultural Development in. 14(1), 42–55. https://doi.org/10.7176/DCS/14-1-05</w:t>
      </w:r>
    </w:p>
    <w:p w14:paraId="17A74897" w14:textId="61363E7C"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Keen, M., &amp; Mintz, J. (2024). </w:t>
      </w:r>
      <w:r w:rsidRPr="00084F2E">
        <w:rPr>
          <w:rFonts w:cs="Times New Roman"/>
          <w:b w:val="0"/>
          <w:i/>
          <w:iCs/>
          <w:lang w:val="en-US"/>
        </w:rPr>
        <w:t>The economics of the VAT: Towards a better tax structure</w:t>
      </w:r>
      <w:r w:rsidRPr="00084F2E">
        <w:rPr>
          <w:rFonts w:cs="Times New Roman"/>
          <w:b w:val="0"/>
          <w:lang w:val="en-US"/>
        </w:rPr>
        <w:t>. International Monetary Fund.</w:t>
      </w:r>
    </w:p>
    <w:p w14:paraId="079890B7"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Keeble, B. R. (1988). The Brundtland Report: “Our Common Future.” </w:t>
      </w:r>
      <w:r w:rsidRPr="00084F2E">
        <w:rPr>
          <w:rFonts w:cs="Times New Roman"/>
          <w:b w:val="0"/>
          <w:i/>
          <w:iCs/>
          <w:lang w:val="en-US"/>
        </w:rPr>
        <w:t>Medicine and War</w:t>
      </w:r>
      <w:r w:rsidRPr="00084F2E">
        <w:rPr>
          <w:rFonts w:cs="Times New Roman"/>
          <w:b w:val="0"/>
          <w:lang w:val="en-US"/>
        </w:rPr>
        <w:t xml:space="preserve">, </w:t>
      </w:r>
      <w:r w:rsidRPr="00084F2E">
        <w:rPr>
          <w:rFonts w:cs="Times New Roman"/>
          <w:b w:val="0"/>
          <w:i/>
          <w:iCs/>
          <w:lang w:val="en-US"/>
        </w:rPr>
        <w:t>4</w:t>
      </w:r>
      <w:r w:rsidRPr="00084F2E">
        <w:rPr>
          <w:rFonts w:cs="Times New Roman"/>
          <w:b w:val="0"/>
          <w:lang w:val="en-US"/>
        </w:rPr>
        <w:t xml:space="preserve">(1), 17–25. </w:t>
      </w:r>
      <w:hyperlink r:id="rId51" w:tgtFrame="_blank" w:history="1">
        <w:r w:rsidRPr="00084F2E">
          <w:rPr>
            <w:rFonts w:cs="Times New Roman"/>
            <w:b w:val="0"/>
            <w:u w:val="single"/>
            <w:lang w:val="en-US"/>
          </w:rPr>
          <w:t>https://doi.org/10.1080/07488008808408783</w:t>
        </w:r>
      </w:hyperlink>
    </w:p>
    <w:p w14:paraId="02F47761"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Keller, C., Joshi, S., Joshi, T., Goldmann, E., &amp; Riar, A. (2024). Challenges for crop diversification in cotton-based farming systems in India: a comprehensive gap analysis between practices and policies. </w:t>
      </w:r>
      <w:r w:rsidRPr="00084F2E">
        <w:rPr>
          <w:rFonts w:cs="Times New Roman"/>
          <w:b w:val="0"/>
          <w:i/>
          <w:iCs/>
          <w:lang w:val="en-US"/>
        </w:rPr>
        <w:t>Frontiers in Agronomy</w:t>
      </w:r>
      <w:r w:rsidRPr="00084F2E">
        <w:rPr>
          <w:rFonts w:cs="Times New Roman"/>
          <w:b w:val="0"/>
          <w:lang w:val="en-US"/>
        </w:rPr>
        <w:t xml:space="preserve">, </w:t>
      </w:r>
      <w:r w:rsidRPr="00084F2E">
        <w:rPr>
          <w:rFonts w:cs="Times New Roman"/>
          <w:b w:val="0"/>
          <w:i/>
          <w:iCs/>
          <w:lang w:val="en-US"/>
        </w:rPr>
        <w:t>6</w:t>
      </w:r>
      <w:r w:rsidRPr="00084F2E">
        <w:rPr>
          <w:rFonts w:cs="Times New Roman"/>
          <w:b w:val="0"/>
          <w:lang w:val="en-US"/>
        </w:rPr>
        <w:t xml:space="preserve">(May), 1–14. </w:t>
      </w:r>
      <w:hyperlink r:id="rId52" w:tgtFrame="_blank" w:history="1">
        <w:r w:rsidRPr="00084F2E">
          <w:rPr>
            <w:rFonts w:cs="Times New Roman"/>
            <w:b w:val="0"/>
            <w:u w:val="single"/>
            <w:lang w:val="en-US"/>
          </w:rPr>
          <w:t>https://doi.org/10.3389/fagro.2024.1370878</w:t>
        </w:r>
      </w:hyperlink>
    </w:p>
    <w:p w14:paraId="77946EDF"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Kitila, G. M. (2023). The world trade network: Country centrality and the intra-Africa trade. </w:t>
      </w:r>
      <w:r w:rsidRPr="00084F2E">
        <w:rPr>
          <w:rFonts w:cs="Times New Roman"/>
          <w:b w:val="0"/>
          <w:i/>
          <w:iCs/>
          <w:lang w:val="en-US"/>
        </w:rPr>
        <w:t>International Journal of Foreign Trade and International Business</w:t>
      </w:r>
      <w:r w:rsidRPr="00084F2E">
        <w:rPr>
          <w:rFonts w:cs="Times New Roman"/>
          <w:b w:val="0"/>
          <w:lang w:val="en-US"/>
        </w:rPr>
        <w:t xml:space="preserve">, </w:t>
      </w:r>
      <w:r w:rsidRPr="00084F2E">
        <w:rPr>
          <w:rFonts w:cs="Times New Roman"/>
          <w:b w:val="0"/>
          <w:i/>
          <w:iCs/>
          <w:lang w:val="en-US"/>
        </w:rPr>
        <w:t>5</w:t>
      </w:r>
      <w:r w:rsidRPr="00084F2E">
        <w:rPr>
          <w:rFonts w:cs="Times New Roman"/>
          <w:b w:val="0"/>
          <w:lang w:val="en-US"/>
        </w:rPr>
        <w:t xml:space="preserve">(1), 06–13. </w:t>
      </w:r>
      <w:hyperlink r:id="rId53" w:tgtFrame="_blank" w:history="1">
        <w:r w:rsidRPr="00084F2E">
          <w:rPr>
            <w:rFonts w:cs="Times New Roman"/>
            <w:b w:val="0"/>
            <w:u w:val="single"/>
            <w:lang w:val="en-US"/>
          </w:rPr>
          <w:t>https://doi.org/10.33545/26633140.2023.v5.i1a.81</w:t>
        </w:r>
      </w:hyperlink>
    </w:p>
    <w:p w14:paraId="146E486B"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Korhonen, I., &amp; Ledyaeva, S. (2020). Foreign trade and economic growth: The role of institutional quality. </w:t>
      </w:r>
      <w:r w:rsidRPr="00084F2E">
        <w:rPr>
          <w:rFonts w:cs="Times New Roman"/>
          <w:b w:val="0"/>
          <w:i/>
          <w:iCs/>
          <w:lang w:val="en-US"/>
        </w:rPr>
        <w:t>Emerging Markets Finance and Trade</w:t>
      </w:r>
      <w:r w:rsidRPr="00084F2E">
        <w:rPr>
          <w:rFonts w:cs="Times New Roman"/>
          <w:b w:val="0"/>
          <w:lang w:val="en-US"/>
        </w:rPr>
        <w:t xml:space="preserve">, </w:t>
      </w:r>
      <w:r w:rsidRPr="00084F2E">
        <w:rPr>
          <w:rFonts w:cs="Times New Roman"/>
          <w:b w:val="0"/>
          <w:i/>
          <w:iCs/>
          <w:lang w:val="en-US"/>
        </w:rPr>
        <w:t>56</w:t>
      </w:r>
      <w:r w:rsidRPr="00084F2E">
        <w:rPr>
          <w:rFonts w:cs="Times New Roman"/>
          <w:b w:val="0"/>
          <w:lang w:val="en-US"/>
        </w:rPr>
        <w:t>(10), 2311-2330.</w:t>
      </w:r>
    </w:p>
    <w:p w14:paraId="65DCEE89"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Krugman, P. R. (1979). Increasing returns, monopolistic competition, and international trade. </w:t>
      </w:r>
      <w:r w:rsidRPr="00084F2E">
        <w:rPr>
          <w:rFonts w:cs="Times New Roman"/>
          <w:b w:val="0"/>
          <w:i/>
          <w:iCs/>
          <w:lang w:val="en-US"/>
        </w:rPr>
        <w:t>Journal of International Economics</w:t>
      </w:r>
      <w:r w:rsidRPr="00084F2E">
        <w:rPr>
          <w:rFonts w:cs="Times New Roman"/>
          <w:b w:val="0"/>
          <w:lang w:val="en-US"/>
        </w:rPr>
        <w:t xml:space="preserve">, </w:t>
      </w:r>
      <w:r w:rsidRPr="00084F2E">
        <w:rPr>
          <w:rFonts w:cs="Times New Roman"/>
          <w:b w:val="0"/>
          <w:i/>
          <w:iCs/>
          <w:lang w:val="en-US"/>
        </w:rPr>
        <w:t>9</w:t>
      </w:r>
      <w:r w:rsidRPr="00084F2E">
        <w:rPr>
          <w:rFonts w:cs="Times New Roman"/>
          <w:b w:val="0"/>
          <w:lang w:val="en-US"/>
        </w:rPr>
        <w:t xml:space="preserve">(4), 469–479. </w:t>
      </w:r>
      <w:hyperlink r:id="rId54" w:tgtFrame="_blank" w:history="1">
        <w:r w:rsidRPr="00084F2E">
          <w:rPr>
            <w:rFonts w:cs="Times New Roman"/>
            <w:b w:val="0"/>
            <w:u w:val="single"/>
            <w:lang w:val="en-US"/>
          </w:rPr>
          <w:t>https://doi.org/10.1016/0022-1996(79)90017-5</w:t>
        </w:r>
      </w:hyperlink>
    </w:p>
    <w:p w14:paraId="67B7EA6A"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Lengai, G. M. W., Fulano, A. M., &amp; Muthomi, J. W. (2022). Improving Access to Export Market for Fresh Vegetables through Reduction of Phytosanitary and Pesticide Residue Constraints. </w:t>
      </w:r>
      <w:r w:rsidRPr="00084F2E">
        <w:rPr>
          <w:rFonts w:cs="Times New Roman"/>
          <w:b w:val="0"/>
          <w:i/>
          <w:iCs/>
          <w:lang w:val="en-US"/>
        </w:rPr>
        <w:t>Sustainability (Switzerland)</w:t>
      </w:r>
      <w:r w:rsidRPr="00084F2E">
        <w:rPr>
          <w:rFonts w:cs="Times New Roman"/>
          <w:b w:val="0"/>
          <w:lang w:val="en-US"/>
        </w:rPr>
        <w:t xml:space="preserve">, </w:t>
      </w:r>
      <w:r w:rsidRPr="00084F2E">
        <w:rPr>
          <w:rFonts w:cs="Times New Roman"/>
          <w:b w:val="0"/>
          <w:i/>
          <w:iCs/>
          <w:lang w:val="en-US"/>
        </w:rPr>
        <w:t>14</w:t>
      </w:r>
      <w:r w:rsidRPr="00084F2E">
        <w:rPr>
          <w:rFonts w:cs="Times New Roman"/>
          <w:b w:val="0"/>
          <w:lang w:val="en-US"/>
        </w:rPr>
        <w:t xml:space="preserve">(13). </w:t>
      </w:r>
      <w:hyperlink r:id="rId55" w:tgtFrame="_blank" w:history="1">
        <w:r w:rsidRPr="00084F2E">
          <w:rPr>
            <w:rFonts w:cs="Times New Roman"/>
            <w:b w:val="0"/>
            <w:u w:val="single"/>
            <w:lang w:val="en-US"/>
          </w:rPr>
          <w:t>https://doi.org/10.3390/su14138183</w:t>
        </w:r>
      </w:hyperlink>
    </w:p>
    <w:p w14:paraId="15A8CCE3"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 xml:space="preserve">Length, F. (2023). Evaluating Ethiopian Commodity Export Diversification : A Comprehensive Overview. </w:t>
      </w:r>
      <w:r w:rsidRPr="00084F2E">
        <w:rPr>
          <w:rFonts w:cs="Times New Roman"/>
          <w:b w:val="0"/>
          <w:i/>
          <w:iCs/>
          <w:lang w:val="en-US"/>
        </w:rPr>
        <w:t>6</w:t>
      </w:r>
      <w:r w:rsidRPr="00084F2E">
        <w:rPr>
          <w:rFonts w:cs="Times New Roman"/>
          <w:b w:val="0"/>
          <w:lang w:val="en-US"/>
        </w:rPr>
        <w:t>(2), 56–82.</w:t>
      </w:r>
    </w:p>
    <w:p w14:paraId="07C8D4EB"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Levine, R., &amp; Renelt, D. (2022). A sensitivity analysis of cross-country growth regressions. </w:t>
      </w:r>
      <w:r w:rsidRPr="00084F2E">
        <w:rPr>
          <w:rFonts w:cs="Times New Roman"/>
          <w:b w:val="0"/>
          <w:i/>
          <w:iCs/>
          <w:lang w:val="en-US"/>
        </w:rPr>
        <w:t>American Economic Review</w:t>
      </w:r>
      <w:r w:rsidRPr="00084F2E">
        <w:rPr>
          <w:rFonts w:cs="Times New Roman"/>
          <w:b w:val="0"/>
          <w:lang w:val="en-US"/>
        </w:rPr>
        <w:t xml:space="preserve">, </w:t>
      </w:r>
      <w:r w:rsidRPr="00084F2E">
        <w:rPr>
          <w:rFonts w:cs="Times New Roman"/>
          <w:b w:val="0"/>
          <w:i/>
          <w:iCs/>
          <w:lang w:val="en-US"/>
        </w:rPr>
        <w:t>82</w:t>
      </w:r>
      <w:r w:rsidRPr="00084F2E">
        <w:rPr>
          <w:rFonts w:cs="Times New Roman"/>
          <w:b w:val="0"/>
          <w:lang w:val="en-US"/>
        </w:rPr>
        <w:t>(4), 942-963.</w:t>
      </w:r>
    </w:p>
    <w:p w14:paraId="3E9CF48B"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Liang, J. S., Mundy, R. S., &amp; Jagwayan, S. (2024). </w:t>
      </w:r>
      <w:r w:rsidRPr="00084F2E">
        <w:rPr>
          <w:rFonts w:cs="Times New Roman"/>
          <w:b w:val="0"/>
          <w:i/>
          <w:iCs/>
          <w:lang w:val="en-US"/>
        </w:rPr>
        <w:t>E-Commerce in Africa: Divergent Impacts on Rural and Urban Economies</w:t>
      </w:r>
      <w:r w:rsidRPr="00084F2E">
        <w:rPr>
          <w:rFonts w:cs="Times New Roman"/>
          <w:b w:val="0"/>
          <w:lang w:val="en-US"/>
        </w:rPr>
        <w:t xml:space="preserve">. </w:t>
      </w:r>
      <w:hyperlink r:id="rId56" w:tgtFrame="_blank" w:history="1">
        <w:r w:rsidRPr="00084F2E">
          <w:rPr>
            <w:rFonts w:cs="Times New Roman"/>
            <w:b w:val="0"/>
            <w:u w:val="single"/>
            <w:lang w:val="en-US"/>
          </w:rPr>
          <w:t>http://arxiv.org/abs/2412.03879</w:t>
        </w:r>
      </w:hyperlink>
    </w:p>
    <w:p w14:paraId="265E42AD"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Liu, X., Wang, C., &amp; Wei, S. (2017). Does FDI generate exports? A panel data analysis for China. </w:t>
      </w:r>
      <w:r w:rsidRPr="00084F2E">
        <w:rPr>
          <w:rFonts w:cs="Times New Roman"/>
          <w:b w:val="0"/>
          <w:i/>
          <w:iCs/>
          <w:lang w:val="en-US"/>
        </w:rPr>
        <w:t>Journal of International Trade &amp; Economic Development</w:t>
      </w:r>
      <w:r w:rsidRPr="00084F2E">
        <w:rPr>
          <w:rFonts w:cs="Times New Roman"/>
          <w:b w:val="0"/>
          <w:lang w:val="en-US"/>
        </w:rPr>
        <w:t xml:space="preserve">, </w:t>
      </w:r>
      <w:r w:rsidRPr="00084F2E">
        <w:rPr>
          <w:rFonts w:cs="Times New Roman"/>
          <w:b w:val="0"/>
          <w:i/>
          <w:iCs/>
          <w:lang w:val="en-US"/>
        </w:rPr>
        <w:t>26</w:t>
      </w:r>
      <w:r w:rsidRPr="00084F2E">
        <w:rPr>
          <w:rFonts w:cs="Times New Roman"/>
          <w:b w:val="0"/>
          <w:lang w:val="en-US"/>
        </w:rPr>
        <w:t>(3), 299-317.</w:t>
      </w:r>
    </w:p>
    <w:p w14:paraId="0930B9F2"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Loening, J., Bank, W., Durevall, D., &amp; Birru, Y. A. (2009). </w:t>
      </w:r>
      <w:r w:rsidRPr="00084F2E">
        <w:rPr>
          <w:rFonts w:cs="Times New Roman"/>
          <w:b w:val="0"/>
          <w:i/>
          <w:iCs/>
          <w:lang w:val="en-US"/>
        </w:rPr>
        <w:t>Inflation Dynamics and Food Prices in an Agricultural Economy The Case of Ethiopia Josef L . Loening</w:t>
      </w:r>
      <w:r w:rsidRPr="00084F2E">
        <w:rPr>
          <w:rFonts w:cs="Times New Roman"/>
          <w:b w:val="0"/>
          <w:lang w:val="en-US"/>
        </w:rPr>
        <w:t>. June 2014.</w:t>
      </w:r>
    </w:p>
    <w:p w14:paraId="2D5A3D40"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Lokshin, M. (2023). </w:t>
      </w:r>
      <w:r w:rsidRPr="00084F2E">
        <w:rPr>
          <w:rFonts w:cs="Times New Roman"/>
          <w:b w:val="0"/>
          <w:i/>
          <w:iCs/>
          <w:lang w:val="en-US"/>
        </w:rPr>
        <w:t>Who Suffers the Most from the Cost-of-Living Crisis ?</w:t>
      </w:r>
      <w:r w:rsidRPr="00084F2E">
        <w:rPr>
          <w:rFonts w:cs="Times New Roman"/>
          <w:b w:val="0"/>
          <w:lang w:val="en-US"/>
        </w:rPr>
        <w:t xml:space="preserve"> April.</w:t>
      </w:r>
    </w:p>
    <w:p w14:paraId="79EC8CE6"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Mankiw, N. G., Romer, D., &amp; Weil, D. N. (2022). A contribution to the empirics of economic growth. </w:t>
      </w:r>
      <w:r w:rsidRPr="00084F2E">
        <w:rPr>
          <w:rFonts w:cs="Times New Roman"/>
          <w:b w:val="0"/>
          <w:i/>
          <w:iCs/>
          <w:lang w:val="en-US"/>
        </w:rPr>
        <w:t>The Quarterly Journal of Economics</w:t>
      </w:r>
      <w:r w:rsidRPr="00084F2E">
        <w:rPr>
          <w:rFonts w:cs="Times New Roman"/>
          <w:b w:val="0"/>
          <w:lang w:val="en-US"/>
        </w:rPr>
        <w:t xml:space="preserve">, </w:t>
      </w:r>
      <w:r w:rsidRPr="00084F2E">
        <w:rPr>
          <w:rFonts w:cs="Times New Roman"/>
          <w:b w:val="0"/>
          <w:i/>
          <w:iCs/>
          <w:lang w:val="en-US"/>
        </w:rPr>
        <w:t>107</w:t>
      </w:r>
      <w:r w:rsidRPr="00084F2E">
        <w:rPr>
          <w:rFonts w:cs="Times New Roman"/>
          <w:b w:val="0"/>
          <w:lang w:val="en-US"/>
        </w:rPr>
        <w:t>(2), 407-437.</w:t>
      </w:r>
    </w:p>
    <w:p w14:paraId="04A2840F" w14:textId="77777777" w:rsidR="00D60988"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Megersa, A., Chemere, B., Mezemir, S., Hirpa, D., Tirfe, Z., Deddefo, A., Yeferu, S., Kebede, S., &amp; Terefe, A. (2020). Potential Impacts of Covid-19 on Agriculture and Socioeconomic Aspects of Farming Community in Arsi Zone, Oromia Region, Ethiopia. </w:t>
      </w:r>
      <w:r w:rsidRPr="00084F2E">
        <w:rPr>
          <w:rFonts w:cs="Times New Roman"/>
          <w:b w:val="0"/>
          <w:i/>
          <w:iCs/>
          <w:lang w:val="en-US"/>
        </w:rPr>
        <w:t>Arsi Journal of Science and Innovation</w:t>
      </w:r>
      <w:r w:rsidRPr="00084F2E">
        <w:rPr>
          <w:rFonts w:cs="Times New Roman"/>
          <w:b w:val="0"/>
          <w:lang w:val="en-US"/>
        </w:rPr>
        <w:t xml:space="preserve">, </w:t>
      </w:r>
      <w:r w:rsidRPr="00084F2E">
        <w:rPr>
          <w:rFonts w:cs="Times New Roman"/>
          <w:b w:val="0"/>
          <w:i/>
          <w:iCs/>
          <w:lang w:val="en-US"/>
        </w:rPr>
        <w:t>5</w:t>
      </w:r>
      <w:r w:rsidRPr="00084F2E">
        <w:rPr>
          <w:rFonts w:cs="Times New Roman"/>
          <w:b w:val="0"/>
          <w:lang w:val="en-US"/>
        </w:rPr>
        <w:t>(1), 92–115.</w:t>
      </w:r>
    </w:p>
    <w:p w14:paraId="02E64CCB" w14:textId="2F6D0696" w:rsidR="007B1CFD" w:rsidRPr="00084F2E" w:rsidRDefault="00D60988" w:rsidP="007B1CFD">
      <w:pPr>
        <w:spacing w:before="100" w:beforeAutospacing="1" w:after="100" w:afterAutospacing="1" w:line="360" w:lineRule="auto"/>
        <w:jc w:val="both"/>
        <w:rPr>
          <w:rFonts w:cs="Times New Roman"/>
          <w:b w:val="0"/>
          <w:lang w:val="en-US"/>
        </w:rPr>
      </w:pPr>
      <w:r w:rsidRPr="00084F2E">
        <w:t xml:space="preserve"> </w:t>
      </w:r>
      <w:r w:rsidRPr="00084F2E">
        <w:rPr>
          <w:rFonts w:cs="Times New Roman"/>
          <w:b w:val="0"/>
          <w:lang w:val="en-US"/>
        </w:rPr>
        <w:t>Mekonnen, D. A., Gerber, N., &amp; Matz, J. A. (2022). Gendered dimensions of agricultural productivity: Evidence from Ethiopia. World Development, 151, 105751. (Supports the status of the Ethiopian agricultural sector and productivity challenges).</w:t>
      </w:r>
    </w:p>
    <w:p w14:paraId="581CB753"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Mishrif, A. (2024). </w:t>
      </w:r>
      <w:r w:rsidRPr="00084F2E">
        <w:rPr>
          <w:rFonts w:cs="Times New Roman"/>
          <w:b w:val="0"/>
          <w:i/>
          <w:iCs/>
          <w:lang w:val="en-US"/>
        </w:rPr>
        <w:t>Multi-Factor Cost Adjustment for Enhanced Export-Oriented Production Capacity in Manufacturing Firms</w:t>
      </w:r>
      <w:r w:rsidRPr="00084F2E">
        <w:rPr>
          <w:rFonts w:cs="Times New Roman"/>
          <w:b w:val="0"/>
          <w:lang w:val="en-US"/>
        </w:rPr>
        <w:t>. 1–25.</w:t>
      </w:r>
    </w:p>
    <w:p w14:paraId="60B1D21B"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 xml:space="preserve">Morepje, M. T., Sithole, M. Z., Msweli, N. S., &amp; Agholor, A. I. (2024). The Influence of E-Commerce Platforms on Sustainable Agriculture Practices among Smallholder Farmers in Sub-Saharan Africa. </w:t>
      </w:r>
      <w:r w:rsidRPr="00084F2E">
        <w:rPr>
          <w:rFonts w:cs="Times New Roman"/>
          <w:b w:val="0"/>
          <w:i/>
          <w:iCs/>
          <w:lang w:val="en-US"/>
        </w:rPr>
        <w:t>Sustainability (Switzerland)</w:t>
      </w:r>
      <w:r w:rsidRPr="00084F2E">
        <w:rPr>
          <w:rFonts w:cs="Times New Roman"/>
          <w:b w:val="0"/>
          <w:lang w:val="en-US"/>
        </w:rPr>
        <w:t xml:space="preserve">, </w:t>
      </w:r>
      <w:r w:rsidRPr="00084F2E">
        <w:rPr>
          <w:rFonts w:cs="Times New Roman"/>
          <w:b w:val="0"/>
          <w:i/>
          <w:iCs/>
          <w:lang w:val="en-US"/>
        </w:rPr>
        <w:t>16</w:t>
      </w:r>
      <w:r w:rsidRPr="00084F2E">
        <w:rPr>
          <w:rFonts w:cs="Times New Roman"/>
          <w:b w:val="0"/>
          <w:lang w:val="en-US"/>
        </w:rPr>
        <w:t xml:space="preserve">(15). </w:t>
      </w:r>
      <w:hyperlink r:id="rId57" w:tgtFrame="_blank" w:history="1">
        <w:r w:rsidRPr="00084F2E">
          <w:rPr>
            <w:rFonts w:cs="Times New Roman"/>
            <w:b w:val="0"/>
            <w:u w:val="single"/>
            <w:lang w:val="en-US"/>
          </w:rPr>
          <w:t>https://doi.org/10.3390/su16156496</w:t>
        </w:r>
      </w:hyperlink>
    </w:p>
    <w:p w14:paraId="20D63652"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Mosa, A. A., Grethe, H., &amp; Siddig, K. (2020). Macroeconomic effects of improving road transport infrastructure in Ethiopia : A computable general equilibrium model analysis. </w:t>
      </w:r>
      <w:r w:rsidRPr="00084F2E">
        <w:rPr>
          <w:rFonts w:cs="Times New Roman"/>
          <w:b w:val="0"/>
          <w:i/>
          <w:iCs/>
          <w:lang w:val="en-US"/>
        </w:rPr>
        <w:t>12</w:t>
      </w:r>
      <w:r w:rsidRPr="00084F2E">
        <w:rPr>
          <w:rFonts w:cs="Times New Roman"/>
          <w:b w:val="0"/>
          <w:lang w:val="en-US"/>
        </w:rPr>
        <w:t xml:space="preserve">(September), 105–119. </w:t>
      </w:r>
      <w:hyperlink r:id="rId58" w:tgtFrame="_blank" w:history="1">
        <w:r w:rsidRPr="00084F2E">
          <w:rPr>
            <w:rFonts w:cs="Times New Roman"/>
            <w:b w:val="0"/>
            <w:u w:val="single"/>
            <w:lang w:val="en-US"/>
          </w:rPr>
          <w:t>https://doi.org/10.5897/JEIF2020.1048</w:t>
        </w:r>
      </w:hyperlink>
    </w:p>
    <w:p w14:paraId="54EE9977"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Naeher, D. (2015). </w:t>
      </w:r>
      <w:r w:rsidRPr="00084F2E">
        <w:rPr>
          <w:rFonts w:cs="Times New Roman"/>
          <w:b w:val="0"/>
          <w:i/>
          <w:iCs/>
          <w:lang w:val="en-US"/>
        </w:rPr>
        <w:t>Adr-Vol32-No2-2015</w:t>
      </w:r>
      <w:r w:rsidRPr="00084F2E">
        <w:rPr>
          <w:rFonts w:cs="Times New Roman"/>
          <w:b w:val="0"/>
          <w:lang w:val="en-US"/>
        </w:rPr>
        <w:t>. 32.</w:t>
      </w:r>
    </w:p>
    <w:p w14:paraId="6082547A"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Naik, I. G. (2024). Impact Of ICT On Productivity, Market Access, And Risk Management In Agriculture. </w:t>
      </w:r>
      <w:r w:rsidRPr="00084F2E">
        <w:rPr>
          <w:rFonts w:cs="Times New Roman"/>
          <w:b w:val="0"/>
          <w:i/>
          <w:iCs/>
          <w:lang w:val="en-US"/>
        </w:rPr>
        <w:t>Educational Administration: Theory and Practice</w:t>
      </w:r>
      <w:r w:rsidRPr="00084F2E">
        <w:rPr>
          <w:rFonts w:cs="Times New Roman"/>
          <w:b w:val="0"/>
          <w:lang w:val="en-US"/>
        </w:rPr>
        <w:t xml:space="preserve">, </w:t>
      </w:r>
      <w:r w:rsidRPr="00084F2E">
        <w:rPr>
          <w:rFonts w:cs="Times New Roman"/>
          <w:b w:val="0"/>
          <w:i/>
          <w:iCs/>
          <w:lang w:val="en-US"/>
        </w:rPr>
        <w:t>30</w:t>
      </w:r>
      <w:r w:rsidRPr="00084F2E">
        <w:rPr>
          <w:rFonts w:cs="Times New Roman"/>
          <w:b w:val="0"/>
          <w:lang w:val="en-US"/>
        </w:rPr>
        <w:t xml:space="preserve">(5), 2264–2271. </w:t>
      </w:r>
      <w:hyperlink r:id="rId59" w:tgtFrame="_blank" w:history="1">
        <w:r w:rsidRPr="00084F2E">
          <w:rPr>
            <w:rFonts w:cs="Times New Roman"/>
            <w:b w:val="0"/>
            <w:u w:val="single"/>
            <w:lang w:val="en-US"/>
          </w:rPr>
          <w:t>https://doi.org/10.53555/kuey.v30i5.3273</w:t>
        </w:r>
      </w:hyperlink>
    </w:p>
    <w:p w14:paraId="02EFBBE5"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OECD. (2006). </w:t>
      </w:r>
      <w:r w:rsidRPr="00084F2E">
        <w:rPr>
          <w:rFonts w:cs="Times New Roman"/>
          <w:b w:val="0"/>
          <w:i/>
          <w:iCs/>
          <w:lang w:val="en-US"/>
        </w:rPr>
        <w:t>OECD Economic Outlook</w:t>
      </w:r>
      <w:r w:rsidRPr="00084F2E">
        <w:rPr>
          <w:rFonts w:cs="Times New Roman"/>
          <w:b w:val="0"/>
          <w:lang w:val="en-US"/>
        </w:rPr>
        <w:t xml:space="preserve">. In </w:t>
      </w:r>
      <w:r w:rsidRPr="00084F2E">
        <w:rPr>
          <w:rFonts w:cs="Times New Roman"/>
          <w:b w:val="0"/>
          <w:i/>
          <w:iCs/>
          <w:lang w:val="en-US"/>
        </w:rPr>
        <w:t>Rapport final</w:t>
      </w:r>
      <w:r w:rsidRPr="00084F2E">
        <w:rPr>
          <w:rFonts w:cs="Times New Roman"/>
          <w:b w:val="0"/>
          <w:lang w:val="en-US"/>
        </w:rPr>
        <w:t xml:space="preserve"> (Issue 78).</w:t>
      </w:r>
    </w:p>
    <w:p w14:paraId="4207DF10"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i/>
          <w:iCs/>
          <w:lang w:val="en-US"/>
        </w:rPr>
        <w:t>OECD Economic Outlook</w:t>
      </w:r>
      <w:r w:rsidRPr="00084F2E">
        <w:rPr>
          <w:rFonts w:cs="Times New Roman"/>
          <w:b w:val="0"/>
          <w:lang w:val="en-US"/>
        </w:rPr>
        <w:t xml:space="preserve"> (Issue May). (2021).</w:t>
      </w:r>
    </w:p>
    <w:p w14:paraId="43053C5C"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Ogunwolu, Q. A., Agulanna, F. T., &amp; Oladokun, Y. (2022). Assessment of Nigeria ’ s cashew industry : panacea for food security. </w:t>
      </w:r>
      <w:r w:rsidRPr="00084F2E">
        <w:rPr>
          <w:rFonts w:cs="Times New Roman"/>
          <w:b w:val="0"/>
          <w:i/>
          <w:iCs/>
          <w:lang w:val="en-US"/>
        </w:rPr>
        <w:t>October</w:t>
      </w:r>
      <w:r w:rsidRPr="00084F2E">
        <w:rPr>
          <w:rFonts w:cs="Times New Roman"/>
          <w:b w:val="0"/>
          <w:lang w:val="en-US"/>
        </w:rPr>
        <w:t>.</w:t>
      </w:r>
    </w:p>
    <w:p w14:paraId="3AE97435"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Olwig, M. F., Bosselmann, A. S., &amp; Owusu, K. (2023). Agroforestry as climate change adaptation: The case of cocoa farming in Ghana. In </w:t>
      </w:r>
      <w:r w:rsidRPr="00084F2E">
        <w:rPr>
          <w:rFonts w:cs="Times New Roman"/>
          <w:b w:val="0"/>
          <w:i/>
          <w:iCs/>
          <w:lang w:val="en-US"/>
        </w:rPr>
        <w:t>Agroforestry as Climate Change Adaptation: The Case of Cocoa Farming in Ghana</w:t>
      </w:r>
      <w:r w:rsidRPr="00084F2E">
        <w:rPr>
          <w:rFonts w:cs="Times New Roman"/>
          <w:b w:val="0"/>
          <w:lang w:val="en-US"/>
        </w:rPr>
        <w:t xml:space="preserve">. </w:t>
      </w:r>
      <w:hyperlink r:id="rId60" w:tgtFrame="_blank" w:history="1">
        <w:r w:rsidRPr="00084F2E">
          <w:rPr>
            <w:rFonts w:cs="Times New Roman"/>
            <w:b w:val="0"/>
            <w:u w:val="single"/>
            <w:lang w:val="en-US"/>
          </w:rPr>
          <w:t>https://doi.org/10.1007/978-3-031-45635-0</w:t>
        </w:r>
      </w:hyperlink>
    </w:p>
    <w:p w14:paraId="291BE67A"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Otundo Richard, M. (2024). Impacts of Strategic Climate-Smart Crop Varieties and Livestock Breeds on Improved Food Security of Smallholder Farmers in Kenya’s Coast Counties &lt;br&gt;. </w:t>
      </w:r>
      <w:r w:rsidRPr="00084F2E">
        <w:rPr>
          <w:rFonts w:cs="Times New Roman"/>
          <w:b w:val="0"/>
          <w:i/>
          <w:iCs/>
          <w:lang w:val="en-US"/>
        </w:rPr>
        <w:t>SSRN Electronic Journal</w:t>
      </w:r>
      <w:r w:rsidRPr="00084F2E">
        <w:rPr>
          <w:rFonts w:cs="Times New Roman"/>
          <w:b w:val="0"/>
          <w:lang w:val="en-US"/>
        </w:rPr>
        <w:t xml:space="preserve">, July. </w:t>
      </w:r>
      <w:hyperlink r:id="rId61" w:tgtFrame="_blank" w:history="1">
        <w:r w:rsidRPr="00084F2E">
          <w:rPr>
            <w:rFonts w:cs="Times New Roman"/>
            <w:b w:val="0"/>
            <w:u w:val="single"/>
            <w:lang w:val="en-US"/>
          </w:rPr>
          <w:t>https://doi.org/10.2139/ssrn.4894392</w:t>
        </w:r>
      </w:hyperlink>
    </w:p>
    <w:p w14:paraId="2E65AC44"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Pawlak, K. (2020). The Role of Agriculture in Ensuring Food Security in Developing Countries : Considerations in the Context of the Problem of Sustainable Food Production.</w:t>
      </w:r>
    </w:p>
    <w:p w14:paraId="0D8E6D4B"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Personal, M., Archive, R., &amp; Weriemmi, E. (2024). </w:t>
      </w:r>
      <w:r w:rsidRPr="00084F2E">
        <w:rPr>
          <w:rFonts w:cs="Times New Roman"/>
          <w:b w:val="0"/>
          <w:i/>
          <w:iCs/>
          <w:lang w:val="en-US"/>
        </w:rPr>
        <w:t>Mp r a</w:t>
      </w:r>
      <w:r w:rsidRPr="00084F2E">
        <w:rPr>
          <w:rFonts w:cs="Times New Roman"/>
          <w:b w:val="0"/>
          <w:lang w:val="en-US"/>
        </w:rPr>
        <w:t>. 121660.</w:t>
      </w:r>
    </w:p>
    <w:p w14:paraId="2C039FC1"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 xml:space="preserve">Pesaran, M. H., Shin, Y., &amp; Smith, R. J. (2021). Bounds testing approaches to the analysis of level relationships. </w:t>
      </w:r>
      <w:r w:rsidRPr="00084F2E">
        <w:rPr>
          <w:rFonts w:cs="Times New Roman"/>
          <w:b w:val="0"/>
          <w:i/>
          <w:iCs/>
          <w:lang w:val="en-US"/>
        </w:rPr>
        <w:t>Journal of Applied Econometrics</w:t>
      </w:r>
      <w:r w:rsidRPr="00084F2E">
        <w:rPr>
          <w:rFonts w:cs="Times New Roman"/>
          <w:b w:val="0"/>
          <w:lang w:val="en-US"/>
        </w:rPr>
        <w:t xml:space="preserve">, </w:t>
      </w:r>
      <w:r w:rsidRPr="00084F2E">
        <w:rPr>
          <w:rFonts w:cs="Times New Roman"/>
          <w:b w:val="0"/>
          <w:i/>
          <w:iCs/>
          <w:lang w:val="en-US"/>
        </w:rPr>
        <w:t>16</w:t>
      </w:r>
      <w:r w:rsidRPr="00084F2E">
        <w:rPr>
          <w:rFonts w:cs="Times New Roman"/>
          <w:b w:val="0"/>
          <w:lang w:val="en-US"/>
        </w:rPr>
        <w:t>(3), 289-326.</w:t>
      </w:r>
    </w:p>
    <w:p w14:paraId="221469DC"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Presbitero, A. F. (2017). </w:t>
      </w:r>
      <w:r w:rsidRPr="00084F2E">
        <w:rPr>
          <w:rFonts w:cs="Times New Roman"/>
          <w:b w:val="0"/>
          <w:i/>
          <w:iCs/>
          <w:lang w:val="en-US"/>
        </w:rPr>
        <w:t>Government debt and growth: The role of debt composition</w:t>
      </w:r>
      <w:r w:rsidRPr="00084F2E">
        <w:rPr>
          <w:rFonts w:cs="Times New Roman"/>
          <w:b w:val="0"/>
          <w:lang w:val="en-US"/>
        </w:rPr>
        <w:t>. IMF Working Paper, (17/146).</w:t>
      </w:r>
    </w:p>
    <w:p w14:paraId="042DDFFD"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Pressman, S. (1991). Book Review: The Competitive Advantage of Nations. </w:t>
      </w:r>
      <w:r w:rsidRPr="00084F2E">
        <w:rPr>
          <w:rFonts w:cs="Times New Roman"/>
          <w:b w:val="0"/>
          <w:i/>
          <w:iCs/>
          <w:lang w:val="en-US"/>
        </w:rPr>
        <w:t>Journal of Management</w:t>
      </w:r>
      <w:r w:rsidRPr="00084F2E">
        <w:rPr>
          <w:rFonts w:cs="Times New Roman"/>
          <w:b w:val="0"/>
          <w:lang w:val="en-US"/>
        </w:rPr>
        <w:t xml:space="preserve">, </w:t>
      </w:r>
      <w:r w:rsidRPr="00084F2E">
        <w:rPr>
          <w:rFonts w:cs="Times New Roman"/>
          <w:b w:val="0"/>
          <w:i/>
          <w:iCs/>
          <w:lang w:val="en-US"/>
        </w:rPr>
        <w:t>17</w:t>
      </w:r>
      <w:r w:rsidRPr="00084F2E">
        <w:rPr>
          <w:rFonts w:cs="Times New Roman"/>
          <w:b w:val="0"/>
          <w:lang w:val="en-US"/>
        </w:rPr>
        <w:t xml:space="preserve">(1), 213–215. </w:t>
      </w:r>
      <w:hyperlink r:id="rId62" w:tgtFrame="_blank" w:history="1">
        <w:r w:rsidRPr="00084F2E">
          <w:rPr>
            <w:rFonts w:cs="Times New Roman"/>
            <w:b w:val="0"/>
            <w:u w:val="single"/>
            <w:lang w:val="en-US"/>
          </w:rPr>
          <w:t>https://doi.org/10.1177/014920639101700113</w:t>
        </w:r>
      </w:hyperlink>
    </w:p>
    <w:p w14:paraId="6EF68FD3"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i/>
          <w:iCs/>
          <w:lang w:val="en-US"/>
        </w:rPr>
        <w:t>Profile, C</w:t>
      </w:r>
      <w:r w:rsidRPr="00084F2E">
        <w:rPr>
          <w:rFonts w:cs="Times New Roman"/>
          <w:b w:val="0"/>
          <w:lang w:val="en-US"/>
        </w:rPr>
        <w:t>. (2022). Ethiopia : Macroeconomic and Social Indicators Indicators Continued ….</w:t>
      </w:r>
    </w:p>
    <w:p w14:paraId="03F88439"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i/>
          <w:iCs/>
          <w:lang w:val="en-US"/>
        </w:rPr>
        <w:t>Profile, L. M</w:t>
      </w:r>
      <w:r w:rsidRPr="00084F2E">
        <w:rPr>
          <w:rFonts w:cs="Times New Roman"/>
          <w:b w:val="0"/>
          <w:lang w:val="en-US"/>
        </w:rPr>
        <w:t>. (2025). Ethiopia.</w:t>
      </w:r>
    </w:p>
    <w:p w14:paraId="6FF527D7"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Rahman, M. M. R., &amp; Neena, S. B. (2019). The Marketing System of Agricultural Products in Bangladesh: A Case Study from Sylhet District. </w:t>
      </w:r>
      <w:r w:rsidRPr="00084F2E">
        <w:rPr>
          <w:rFonts w:cs="Times New Roman"/>
          <w:b w:val="0"/>
          <w:i/>
          <w:iCs/>
          <w:lang w:val="en-US"/>
        </w:rPr>
        <w:t>Bangladesh Journal of Public Administration</w:t>
      </w:r>
      <w:r w:rsidRPr="00084F2E">
        <w:rPr>
          <w:rFonts w:cs="Times New Roman"/>
          <w:b w:val="0"/>
          <w:lang w:val="en-US"/>
        </w:rPr>
        <w:t xml:space="preserve">, </w:t>
      </w:r>
      <w:r w:rsidRPr="00084F2E">
        <w:rPr>
          <w:rFonts w:cs="Times New Roman"/>
          <w:b w:val="0"/>
          <w:i/>
          <w:iCs/>
          <w:lang w:val="en-US"/>
        </w:rPr>
        <w:t>26</w:t>
      </w:r>
      <w:r w:rsidRPr="00084F2E">
        <w:rPr>
          <w:rFonts w:cs="Times New Roman"/>
          <w:b w:val="0"/>
          <w:lang w:val="en-US"/>
        </w:rPr>
        <w:t xml:space="preserve">(2). </w:t>
      </w:r>
      <w:hyperlink r:id="rId63" w:tgtFrame="_blank" w:history="1">
        <w:r w:rsidRPr="00084F2E">
          <w:rPr>
            <w:rFonts w:cs="Times New Roman"/>
            <w:b w:val="0"/>
            <w:u w:val="single"/>
            <w:lang w:val="en-US"/>
          </w:rPr>
          <w:t>https://doi.org/10.36609/bjpa.v26i2.21</w:t>
        </w:r>
      </w:hyperlink>
    </w:p>
    <w:p w14:paraId="2B065898"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Raphael, G. (2023). Research in Business &amp; Social Science Does corruption attract foreign direct investment inflows ? Evidence from Tanzania. </w:t>
      </w:r>
      <w:r w:rsidRPr="00084F2E">
        <w:rPr>
          <w:rFonts w:cs="Times New Roman"/>
          <w:b w:val="0"/>
          <w:i/>
          <w:iCs/>
          <w:lang w:val="en-US"/>
        </w:rPr>
        <w:t>12</w:t>
      </w:r>
      <w:r w:rsidRPr="00084F2E">
        <w:rPr>
          <w:rFonts w:cs="Times New Roman"/>
          <w:b w:val="0"/>
          <w:lang w:val="en-US"/>
        </w:rPr>
        <w:t>(5), 204–216.</w:t>
      </w:r>
    </w:p>
    <w:p w14:paraId="2D8191DE"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Ratna, R. S. (2016). Impact of Reducing Non-tariff Trade Cost in RTAs : Case of the Asia-Pacific Trade Agreement. </w:t>
      </w:r>
      <w:r w:rsidRPr="00084F2E">
        <w:rPr>
          <w:rFonts w:cs="Times New Roman"/>
          <w:b w:val="0"/>
          <w:i/>
          <w:iCs/>
          <w:lang w:val="en-US"/>
        </w:rPr>
        <w:t>7</w:t>
      </w:r>
      <w:r w:rsidRPr="00084F2E">
        <w:rPr>
          <w:rFonts w:cs="Times New Roman"/>
          <w:b w:val="0"/>
          <w:lang w:val="en-US"/>
        </w:rPr>
        <w:t>(February), 1–14.</w:t>
      </w:r>
    </w:p>
    <w:p w14:paraId="5EC5B289"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Reinhart, C. M., &amp; Rogoff, K. S. (2018). </w:t>
      </w:r>
      <w:r w:rsidRPr="00084F2E">
        <w:rPr>
          <w:rFonts w:cs="Times New Roman"/>
          <w:b w:val="0"/>
          <w:i/>
          <w:iCs/>
          <w:lang w:val="en-US"/>
        </w:rPr>
        <w:t>This time is different: Eight centuries of financial folly</w:t>
      </w:r>
      <w:r w:rsidRPr="00084F2E">
        <w:rPr>
          <w:rFonts w:cs="Times New Roman"/>
          <w:b w:val="0"/>
          <w:lang w:val="en-US"/>
        </w:rPr>
        <w:t>. Princeton University Press.</w:t>
      </w:r>
    </w:p>
    <w:p w14:paraId="615F1725"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Reyes, B., Colindres, M., Peña, M., Rodríguez, C., Espada, A., Rivera, M., Alvarado, M., Donovan, J., &amp; Wiegel, J. (2023). </w:t>
      </w:r>
      <w:r w:rsidRPr="00084F2E">
        <w:rPr>
          <w:rFonts w:cs="Times New Roman"/>
          <w:b w:val="0"/>
          <w:i/>
          <w:iCs/>
          <w:lang w:val="en-US"/>
        </w:rPr>
        <w:t>Value chains for beans and maize in Honduras : opportunities for innovations at scale Scoping Study Report</w:t>
      </w:r>
      <w:r w:rsidRPr="00084F2E">
        <w:rPr>
          <w:rFonts w:cs="Times New Roman"/>
          <w:b w:val="0"/>
          <w:lang w:val="en-US"/>
        </w:rPr>
        <w:t>. December, 0–34.</w:t>
      </w:r>
    </w:p>
    <w:p w14:paraId="1807DD6E"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Ribaj, A., &amp; Mexhuani, F. (2021). The impact of savings on economic growth in a developing country (the case of Kosovo). </w:t>
      </w:r>
      <w:r w:rsidRPr="00084F2E">
        <w:rPr>
          <w:rFonts w:cs="Times New Roman"/>
          <w:b w:val="0"/>
          <w:i/>
          <w:iCs/>
          <w:lang w:val="en-US"/>
        </w:rPr>
        <w:t>Journal of Innovation and Entrepreneurship</w:t>
      </w:r>
      <w:r w:rsidRPr="00084F2E">
        <w:rPr>
          <w:rFonts w:cs="Times New Roman"/>
          <w:b w:val="0"/>
          <w:lang w:val="en-US"/>
        </w:rPr>
        <w:t xml:space="preserve">, </w:t>
      </w:r>
      <w:r w:rsidRPr="00084F2E">
        <w:rPr>
          <w:rFonts w:cs="Times New Roman"/>
          <w:b w:val="0"/>
          <w:i/>
          <w:iCs/>
          <w:lang w:val="en-US"/>
        </w:rPr>
        <w:t>10</w:t>
      </w:r>
      <w:r w:rsidRPr="00084F2E">
        <w:rPr>
          <w:rFonts w:cs="Times New Roman"/>
          <w:b w:val="0"/>
          <w:lang w:val="en-US"/>
        </w:rPr>
        <w:t xml:space="preserve">(1), 1–13. </w:t>
      </w:r>
      <w:hyperlink r:id="rId64" w:tgtFrame="_blank" w:history="1">
        <w:r w:rsidRPr="00084F2E">
          <w:rPr>
            <w:rFonts w:cs="Times New Roman"/>
            <w:b w:val="0"/>
            <w:u w:val="single"/>
            <w:lang w:val="en-US"/>
          </w:rPr>
          <w:t>https://doi.org/10.1186/s13731-020-00140-6</w:t>
        </w:r>
      </w:hyperlink>
    </w:p>
    <w:p w14:paraId="00C68986"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 xml:space="preserve">Ricardo, D. (2010). </w:t>
      </w:r>
      <w:r w:rsidRPr="00084F2E">
        <w:rPr>
          <w:rFonts w:cs="Times New Roman"/>
          <w:b w:val="0"/>
          <w:i/>
          <w:iCs/>
          <w:lang w:val="en-US"/>
        </w:rPr>
        <w:t>The Works and Correspondence of David Ricardo, Vol 1 Principles of Political Economy and Taxation</w:t>
      </w:r>
      <w:r w:rsidRPr="00084F2E">
        <w:rPr>
          <w:rFonts w:cs="Times New Roman"/>
          <w:b w:val="0"/>
          <w:lang w:val="en-US"/>
        </w:rPr>
        <w:t xml:space="preserve">. 1, 1–358. </w:t>
      </w:r>
      <w:hyperlink r:id="rId65" w:tgtFrame="_blank" w:history="1">
        <w:r w:rsidRPr="00084F2E">
          <w:rPr>
            <w:rFonts w:cs="Times New Roman"/>
            <w:b w:val="0"/>
            <w:u w:val="single"/>
            <w:lang w:val="en-US"/>
          </w:rPr>
          <w:t>http://oll.libertyfund.org/index.php?option=com_staticxt&amp;staticfile=show.php?title=113&amp;Itemid=28</w:t>
        </w:r>
      </w:hyperlink>
    </w:p>
    <w:p w14:paraId="5B9694DF"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Ryan, O., Haslbeck, J., &amp; Waldorp, L. (2023). Non-Stationarity in Time-Series Analysis: Modeling Stochastic and Deterministic Trends. </w:t>
      </w:r>
      <w:r w:rsidRPr="00084F2E">
        <w:rPr>
          <w:rFonts w:cs="Times New Roman"/>
          <w:b w:val="0"/>
          <w:i/>
          <w:iCs/>
          <w:lang w:val="en-US"/>
        </w:rPr>
        <w:t>July</w:t>
      </w:r>
      <w:r w:rsidRPr="00084F2E">
        <w:rPr>
          <w:rFonts w:cs="Times New Roman"/>
          <w:b w:val="0"/>
          <w:lang w:val="en-US"/>
        </w:rPr>
        <w:t xml:space="preserve">, 1–35. </w:t>
      </w:r>
      <w:hyperlink r:id="rId66" w:tgtFrame="_blank" w:history="1">
        <w:r w:rsidRPr="00084F2E">
          <w:rPr>
            <w:rFonts w:cs="Times New Roman"/>
            <w:b w:val="0"/>
            <w:u w:val="single"/>
            <w:lang w:val="en-US"/>
          </w:rPr>
          <w:t>https://doi.org/10.31234/osf.io/z7ja2</w:t>
        </w:r>
      </w:hyperlink>
    </w:p>
    <w:p w14:paraId="3ADA1BE2"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Schwarz, G. (1978). Estimating the dimension of a model. </w:t>
      </w:r>
      <w:r w:rsidRPr="00084F2E">
        <w:rPr>
          <w:rFonts w:cs="Times New Roman"/>
          <w:b w:val="0"/>
          <w:i/>
          <w:iCs/>
          <w:lang w:val="en-US"/>
        </w:rPr>
        <w:t>The Annals of Statistics</w:t>
      </w:r>
      <w:r w:rsidRPr="00084F2E">
        <w:rPr>
          <w:rFonts w:cs="Times New Roman"/>
          <w:b w:val="0"/>
          <w:lang w:val="en-US"/>
        </w:rPr>
        <w:t xml:space="preserve">, </w:t>
      </w:r>
      <w:r w:rsidRPr="00084F2E">
        <w:rPr>
          <w:rFonts w:cs="Times New Roman"/>
          <w:b w:val="0"/>
          <w:i/>
          <w:iCs/>
          <w:lang w:val="en-US"/>
        </w:rPr>
        <w:t>6</w:t>
      </w:r>
      <w:r w:rsidRPr="00084F2E">
        <w:rPr>
          <w:rFonts w:cs="Times New Roman"/>
          <w:b w:val="0"/>
          <w:lang w:val="en-US"/>
        </w:rPr>
        <w:t>(2), 461-464.</w:t>
      </w:r>
    </w:p>
    <w:p w14:paraId="5C6C8F7B"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Sénquiz-Díaz, C. (2021). Transport Infrastructure Quality and Logistics Performance in Exports. </w:t>
      </w:r>
      <w:r w:rsidRPr="00084F2E">
        <w:rPr>
          <w:rFonts w:cs="Times New Roman"/>
          <w:b w:val="0"/>
          <w:i/>
          <w:iCs/>
          <w:lang w:val="en-US"/>
        </w:rPr>
        <w:t>ECONOMICS - Innovative and Economics Research Journal</w:t>
      </w:r>
      <w:r w:rsidRPr="00084F2E">
        <w:rPr>
          <w:rFonts w:cs="Times New Roman"/>
          <w:b w:val="0"/>
          <w:lang w:val="en-US"/>
        </w:rPr>
        <w:t xml:space="preserve">, </w:t>
      </w:r>
      <w:r w:rsidRPr="00084F2E">
        <w:rPr>
          <w:rFonts w:cs="Times New Roman"/>
          <w:b w:val="0"/>
          <w:i/>
          <w:iCs/>
          <w:lang w:val="en-US"/>
        </w:rPr>
        <w:t>9</w:t>
      </w:r>
      <w:r w:rsidRPr="00084F2E">
        <w:rPr>
          <w:rFonts w:cs="Times New Roman"/>
          <w:b w:val="0"/>
          <w:lang w:val="en-US"/>
        </w:rPr>
        <w:t xml:space="preserve">(1), 107–124. </w:t>
      </w:r>
      <w:hyperlink r:id="rId67" w:tgtFrame="_blank" w:history="1">
        <w:r w:rsidRPr="00084F2E">
          <w:rPr>
            <w:rFonts w:cs="Times New Roman"/>
            <w:b w:val="0"/>
            <w:u w:val="single"/>
            <w:lang w:val="en-US"/>
          </w:rPr>
          <w:t>https://doi.org/10.2478/eoik-2021-0008</w:t>
        </w:r>
      </w:hyperlink>
    </w:p>
    <w:p w14:paraId="4BC94E7B"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Shahbaz, M., Kumar, M., &amp; Ilyas, M. (2017). The nexus between economic growth and exports in Pakistan: A cointegration analysis. </w:t>
      </w:r>
      <w:r w:rsidRPr="00084F2E">
        <w:rPr>
          <w:rFonts w:cs="Times New Roman"/>
          <w:b w:val="0"/>
          <w:i/>
          <w:iCs/>
          <w:lang w:val="en-US"/>
        </w:rPr>
        <w:t>Journal of Economic Cooperation and Development</w:t>
      </w:r>
      <w:r w:rsidRPr="00084F2E">
        <w:rPr>
          <w:rFonts w:cs="Times New Roman"/>
          <w:b w:val="0"/>
          <w:lang w:val="en-US"/>
        </w:rPr>
        <w:t xml:space="preserve">, </w:t>
      </w:r>
      <w:r w:rsidRPr="00084F2E">
        <w:rPr>
          <w:rFonts w:cs="Times New Roman"/>
          <w:b w:val="0"/>
          <w:i/>
          <w:iCs/>
          <w:lang w:val="en-US"/>
        </w:rPr>
        <w:t>38</w:t>
      </w:r>
      <w:r w:rsidRPr="00084F2E">
        <w:rPr>
          <w:rFonts w:cs="Times New Roman"/>
          <w:b w:val="0"/>
          <w:lang w:val="en-US"/>
        </w:rPr>
        <w:t>(3), 1-24.</w:t>
      </w:r>
    </w:p>
    <w:p w14:paraId="04D494A3"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Shapiro, S. S., &amp; Wilk, M. B. (1965). An analysis of variance test for normality (complete samples). </w:t>
      </w:r>
      <w:r w:rsidRPr="00084F2E">
        <w:rPr>
          <w:rFonts w:cs="Times New Roman"/>
          <w:b w:val="0"/>
          <w:i/>
          <w:iCs/>
          <w:lang w:val="en-US"/>
        </w:rPr>
        <w:t>Biometrika</w:t>
      </w:r>
      <w:r w:rsidRPr="00084F2E">
        <w:rPr>
          <w:rFonts w:cs="Times New Roman"/>
          <w:b w:val="0"/>
          <w:lang w:val="en-US"/>
        </w:rPr>
        <w:t xml:space="preserve">, </w:t>
      </w:r>
      <w:r w:rsidRPr="00084F2E">
        <w:rPr>
          <w:rFonts w:cs="Times New Roman"/>
          <w:b w:val="0"/>
          <w:i/>
          <w:iCs/>
          <w:lang w:val="en-US"/>
        </w:rPr>
        <w:t>52</w:t>
      </w:r>
      <w:r w:rsidRPr="00084F2E">
        <w:rPr>
          <w:rFonts w:cs="Times New Roman"/>
          <w:b w:val="0"/>
          <w:lang w:val="en-US"/>
        </w:rPr>
        <w:t>(3/4), 591-611.</w:t>
      </w:r>
    </w:p>
    <w:p w14:paraId="6A56DD6C"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Silva, L. (2022). Climate Change: Impact on Portugal. </w:t>
      </w:r>
      <w:r w:rsidRPr="00084F2E">
        <w:rPr>
          <w:rFonts w:cs="Times New Roman"/>
          <w:b w:val="0"/>
          <w:i/>
          <w:iCs/>
          <w:lang w:val="en-US"/>
        </w:rPr>
        <w:t>Portugal.Com</w:t>
      </w:r>
      <w:r w:rsidRPr="00084F2E">
        <w:rPr>
          <w:rFonts w:cs="Times New Roman"/>
          <w:b w:val="0"/>
          <w:lang w:val="en-US"/>
        </w:rPr>
        <w:t xml:space="preserve">, </w:t>
      </w:r>
      <w:r w:rsidRPr="00084F2E">
        <w:rPr>
          <w:rFonts w:cs="Times New Roman"/>
          <w:b w:val="0"/>
          <w:i/>
          <w:iCs/>
          <w:lang w:val="en-US"/>
        </w:rPr>
        <w:t>8</w:t>
      </w:r>
      <w:r w:rsidRPr="00084F2E">
        <w:rPr>
          <w:rFonts w:cs="Times New Roman"/>
          <w:b w:val="0"/>
          <w:lang w:val="en-US"/>
        </w:rPr>
        <w:t xml:space="preserve">(9), 65–80. </w:t>
      </w:r>
      <w:hyperlink r:id="rId68" w:tgtFrame="_blank" w:history="1">
        <w:r w:rsidRPr="00084F2E">
          <w:rPr>
            <w:rFonts w:cs="Times New Roman"/>
            <w:b w:val="0"/>
            <w:u w:val="single"/>
            <w:lang w:val="en-US"/>
          </w:rPr>
          <w:t>https://www.portugal.com/science/climate-change-impact-on-portugal/</w:t>
        </w:r>
      </w:hyperlink>
    </w:p>
    <w:p w14:paraId="21795885"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Sly, M. J. H. (2017). The Argentine portion of the soybean commodity chain. </w:t>
      </w:r>
      <w:r w:rsidRPr="00084F2E">
        <w:rPr>
          <w:rFonts w:cs="Times New Roman"/>
          <w:b w:val="0"/>
          <w:i/>
          <w:iCs/>
          <w:lang w:val="en-US"/>
        </w:rPr>
        <w:t>Palgrave Communications</w:t>
      </w:r>
      <w:r w:rsidRPr="00084F2E">
        <w:rPr>
          <w:rFonts w:cs="Times New Roman"/>
          <w:b w:val="0"/>
          <w:lang w:val="en-US"/>
        </w:rPr>
        <w:t xml:space="preserve">, </w:t>
      </w:r>
      <w:r w:rsidRPr="00084F2E">
        <w:rPr>
          <w:rFonts w:cs="Times New Roman"/>
          <w:b w:val="0"/>
          <w:i/>
          <w:iCs/>
          <w:lang w:val="en-US"/>
        </w:rPr>
        <w:t>3</w:t>
      </w:r>
      <w:r w:rsidRPr="00084F2E">
        <w:rPr>
          <w:rFonts w:cs="Times New Roman"/>
          <w:b w:val="0"/>
          <w:lang w:val="en-US"/>
        </w:rPr>
        <w:t xml:space="preserve">(1), 1–12. </w:t>
      </w:r>
      <w:hyperlink r:id="rId69" w:tgtFrame="_blank" w:history="1">
        <w:r w:rsidRPr="00084F2E">
          <w:rPr>
            <w:rFonts w:cs="Times New Roman"/>
            <w:b w:val="0"/>
            <w:u w:val="single"/>
            <w:lang w:val="en-US"/>
          </w:rPr>
          <w:t>https://doi.org/10.1057/palcomms.2017.95</w:t>
        </w:r>
      </w:hyperlink>
    </w:p>
    <w:p w14:paraId="4745A974"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Smith, M. B., &amp; Signal, L. (2014). Globalization and Health for health and inequalities. </w:t>
      </w:r>
      <w:r w:rsidRPr="00084F2E">
        <w:rPr>
          <w:rFonts w:cs="Times New Roman"/>
          <w:b w:val="0"/>
          <w:i/>
          <w:iCs/>
          <w:lang w:val="en-US"/>
        </w:rPr>
        <w:t>February 2009</w:t>
      </w:r>
      <w:r w:rsidRPr="00084F2E">
        <w:rPr>
          <w:rFonts w:cs="Times New Roman"/>
          <w:b w:val="0"/>
          <w:lang w:val="en-US"/>
        </w:rPr>
        <w:t xml:space="preserve">. </w:t>
      </w:r>
      <w:hyperlink r:id="rId70" w:tgtFrame="_blank" w:history="1">
        <w:r w:rsidRPr="00084F2E">
          <w:rPr>
            <w:rFonts w:cs="Times New Roman"/>
            <w:b w:val="0"/>
            <w:u w:val="single"/>
            <w:lang w:val="en-US"/>
          </w:rPr>
          <w:t>https://doi.org/10.1186/1744-8603-5-1</w:t>
        </w:r>
      </w:hyperlink>
    </w:p>
    <w:p w14:paraId="56829763"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Stevinstraat. (2022). </w:t>
      </w:r>
      <w:r w:rsidRPr="00084F2E">
        <w:rPr>
          <w:rFonts w:cs="Times New Roman"/>
          <w:b w:val="0"/>
          <w:i/>
          <w:iCs/>
          <w:lang w:val="en-US"/>
        </w:rPr>
        <w:t>Europe External Programme with Africa SITUATION REPORT - HORN OF AFRICA</w:t>
      </w:r>
      <w:r w:rsidRPr="00084F2E">
        <w:rPr>
          <w:rFonts w:cs="Times New Roman"/>
          <w:b w:val="0"/>
          <w:lang w:val="en-US"/>
        </w:rPr>
        <w:t>. 295.</w:t>
      </w:r>
    </w:p>
    <w:p w14:paraId="53E19E7A" w14:textId="77777777" w:rsidR="00D60988" w:rsidRPr="00084F2E" w:rsidRDefault="007B1CFD" w:rsidP="007B1CFD">
      <w:pPr>
        <w:spacing w:before="100" w:beforeAutospacing="1" w:after="100" w:afterAutospacing="1" w:line="360" w:lineRule="auto"/>
        <w:jc w:val="both"/>
      </w:pPr>
      <w:r w:rsidRPr="00084F2E">
        <w:rPr>
          <w:rFonts w:cs="Times New Roman"/>
          <w:b w:val="0"/>
          <w:lang w:val="en-US"/>
        </w:rPr>
        <w:lastRenderedPageBreak/>
        <w:t xml:space="preserve">Suroso, A. I. (2022). The Effect of Logistics Performance Index Indicators on Palm Oil and Palm-Based Products Export: The Case of Indonesia and Malaysia. </w:t>
      </w:r>
      <w:r w:rsidRPr="00084F2E">
        <w:rPr>
          <w:rFonts w:cs="Times New Roman"/>
          <w:b w:val="0"/>
          <w:i/>
          <w:iCs/>
          <w:lang w:val="en-US"/>
        </w:rPr>
        <w:t>Economies</w:t>
      </w:r>
      <w:r w:rsidRPr="00084F2E">
        <w:rPr>
          <w:rFonts w:cs="Times New Roman"/>
          <w:b w:val="0"/>
          <w:lang w:val="en-US"/>
        </w:rPr>
        <w:t xml:space="preserve">, </w:t>
      </w:r>
      <w:r w:rsidRPr="00084F2E">
        <w:rPr>
          <w:rFonts w:cs="Times New Roman"/>
          <w:b w:val="0"/>
          <w:i/>
          <w:iCs/>
          <w:lang w:val="en-US"/>
        </w:rPr>
        <w:t>10</w:t>
      </w:r>
      <w:r w:rsidRPr="00084F2E">
        <w:rPr>
          <w:rFonts w:cs="Times New Roman"/>
          <w:b w:val="0"/>
          <w:lang w:val="en-US"/>
        </w:rPr>
        <w:t xml:space="preserve">(10). </w:t>
      </w:r>
      <w:hyperlink r:id="rId71" w:tgtFrame="_blank" w:history="1">
        <w:r w:rsidRPr="00084F2E">
          <w:rPr>
            <w:rFonts w:cs="Times New Roman"/>
            <w:b w:val="0"/>
            <w:u w:val="single"/>
            <w:lang w:val="en-US"/>
          </w:rPr>
          <w:t>https://doi.org/10.3390/economies10100261</w:t>
        </w:r>
      </w:hyperlink>
      <w:r w:rsidR="00D60988" w:rsidRPr="00084F2E">
        <w:t xml:space="preserve"> </w:t>
      </w:r>
    </w:p>
    <w:p w14:paraId="6AF69F68" w14:textId="716F3F70" w:rsidR="007B1CFD" w:rsidRPr="00084F2E" w:rsidRDefault="00D60988" w:rsidP="007B1CFD">
      <w:pPr>
        <w:spacing w:before="100" w:beforeAutospacing="1" w:after="100" w:afterAutospacing="1" w:line="360" w:lineRule="auto"/>
        <w:jc w:val="both"/>
        <w:rPr>
          <w:rFonts w:cs="Times New Roman"/>
          <w:b w:val="0"/>
          <w:lang w:val="en-US"/>
        </w:rPr>
      </w:pPr>
      <w:r w:rsidRPr="00084F2E">
        <w:rPr>
          <w:rFonts w:cs="Times New Roman"/>
          <w:b w:val="0"/>
          <w:u w:val="single"/>
          <w:lang w:val="en-US"/>
        </w:rPr>
        <w:t>Tadesse, G., Kassie, K., &amp; Senay, G. (2021). The Role of Digital Technologies in Transforming Ethiopian Agriculture. Journal of Agricultural Economics, 72(3), 850-872. (Supports the technology gap and innovation needs).</w:t>
      </w:r>
    </w:p>
    <w:p w14:paraId="124E4EF2"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Tamene, L., &amp; Ali, A. (2022). </w:t>
      </w:r>
      <w:r w:rsidRPr="00084F2E">
        <w:rPr>
          <w:rFonts w:cs="Times New Roman"/>
          <w:b w:val="0"/>
          <w:i/>
          <w:iCs/>
          <w:lang w:val="en-US"/>
        </w:rPr>
        <w:t>Digital Agriculture Profile: Ethiopia</w:t>
      </w:r>
      <w:r w:rsidRPr="00084F2E">
        <w:rPr>
          <w:rFonts w:cs="Times New Roman"/>
          <w:b w:val="0"/>
          <w:lang w:val="en-US"/>
        </w:rPr>
        <w:t>. April.</w:t>
      </w:r>
    </w:p>
    <w:p w14:paraId="61375E9F"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Urugo, M. M., Yohannis, E., Teka, T. A., Gemede, H. F., Tola, Y. B., Forsido, S. F., Tessema, A., Suraj, M., &amp; Abdu, J. (2024). Addressing post-harvest losses through agro-processing for sustainable development in Ethiopia. </w:t>
      </w:r>
      <w:r w:rsidRPr="00084F2E">
        <w:rPr>
          <w:rFonts w:cs="Times New Roman"/>
          <w:b w:val="0"/>
          <w:i/>
          <w:iCs/>
          <w:lang w:val="en-US"/>
        </w:rPr>
        <w:t>Journal of Agriculture and Food Research</w:t>
      </w:r>
      <w:r w:rsidRPr="00084F2E">
        <w:rPr>
          <w:rFonts w:cs="Times New Roman"/>
          <w:b w:val="0"/>
          <w:lang w:val="en-US"/>
        </w:rPr>
        <w:t xml:space="preserve">, </w:t>
      </w:r>
      <w:r w:rsidRPr="00084F2E">
        <w:rPr>
          <w:rFonts w:cs="Times New Roman"/>
          <w:b w:val="0"/>
          <w:i/>
          <w:iCs/>
          <w:lang w:val="en-US"/>
        </w:rPr>
        <w:t>18</w:t>
      </w:r>
      <w:r w:rsidRPr="00084F2E">
        <w:rPr>
          <w:rFonts w:cs="Times New Roman"/>
          <w:b w:val="0"/>
          <w:lang w:val="en-US"/>
        </w:rPr>
        <w:t xml:space="preserve">(July), 101316. </w:t>
      </w:r>
      <w:hyperlink r:id="rId72" w:tgtFrame="_blank" w:history="1">
        <w:r w:rsidRPr="00084F2E">
          <w:rPr>
            <w:rFonts w:cs="Times New Roman"/>
            <w:b w:val="0"/>
            <w:u w:val="single"/>
            <w:lang w:val="en-US"/>
          </w:rPr>
          <w:t>https://doi.org/10.1016/j.jafr.2024.101316</w:t>
        </w:r>
      </w:hyperlink>
    </w:p>
    <w:p w14:paraId="2435E942"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Valenciano-Salazar, J. A., André, F. J., &amp; Díaz-Porras, R. (2023). Differentiation strategies in coffee farms: opportunities for Costa Rican growers. </w:t>
      </w:r>
      <w:r w:rsidRPr="00084F2E">
        <w:rPr>
          <w:rFonts w:cs="Times New Roman"/>
          <w:b w:val="0"/>
          <w:i/>
          <w:iCs/>
          <w:lang w:val="en-US"/>
        </w:rPr>
        <w:t>Environment and Development Economics</w:t>
      </w:r>
      <w:r w:rsidRPr="00084F2E">
        <w:rPr>
          <w:rFonts w:cs="Times New Roman"/>
          <w:b w:val="0"/>
          <w:lang w:val="en-US"/>
        </w:rPr>
        <w:t xml:space="preserve">, </w:t>
      </w:r>
      <w:r w:rsidRPr="00084F2E">
        <w:rPr>
          <w:rFonts w:cs="Times New Roman"/>
          <w:b w:val="0"/>
          <w:i/>
          <w:iCs/>
          <w:lang w:val="en-US"/>
        </w:rPr>
        <w:t>28</w:t>
      </w:r>
      <w:r w:rsidRPr="00084F2E">
        <w:rPr>
          <w:rFonts w:cs="Times New Roman"/>
          <w:b w:val="0"/>
          <w:lang w:val="en-US"/>
        </w:rPr>
        <w:t xml:space="preserve">(1), 68–88. </w:t>
      </w:r>
      <w:hyperlink r:id="rId73" w:tgtFrame="_blank" w:history="1">
        <w:r w:rsidRPr="00084F2E">
          <w:rPr>
            <w:rFonts w:cs="Times New Roman"/>
            <w:b w:val="0"/>
            <w:u w:val="single"/>
            <w:lang w:val="en-US"/>
          </w:rPr>
          <w:t>https://doi.org/10.1017/s1355770x22000134</w:t>
        </w:r>
      </w:hyperlink>
    </w:p>
    <w:p w14:paraId="4342473E"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Vargas, A., Casanoves, F., &amp; Haggar, J. (2024). Changes in the economics of coffee production between 2008 and 2019 : a tale of two Central American countries. </w:t>
      </w:r>
      <w:r w:rsidRPr="00084F2E">
        <w:rPr>
          <w:rFonts w:cs="Times New Roman"/>
          <w:b w:val="0"/>
          <w:i/>
          <w:iCs/>
          <w:lang w:val="en-US"/>
        </w:rPr>
        <w:t>July</w:t>
      </w:r>
      <w:r w:rsidRPr="00084F2E">
        <w:rPr>
          <w:rFonts w:cs="Times New Roman"/>
          <w:b w:val="0"/>
          <w:lang w:val="en-US"/>
        </w:rPr>
        <w:t xml:space="preserve">, 1–12. </w:t>
      </w:r>
      <w:hyperlink r:id="rId74" w:tgtFrame="_blank" w:history="1">
        <w:r w:rsidRPr="00084F2E">
          <w:rPr>
            <w:rFonts w:cs="Times New Roman"/>
            <w:b w:val="0"/>
            <w:u w:val="single"/>
            <w:lang w:val="en-US"/>
          </w:rPr>
          <w:t>https://doi.org/10.3389/fsufs.2024.1376051</w:t>
        </w:r>
      </w:hyperlink>
    </w:p>
    <w:p w14:paraId="60B3ED30"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Wei, S. J. (2019). Corruption in the global economy. In </w:t>
      </w:r>
      <w:r w:rsidRPr="00084F2E">
        <w:rPr>
          <w:rFonts w:cs="Times New Roman"/>
          <w:b w:val="0"/>
          <w:i/>
          <w:iCs/>
          <w:lang w:val="en-US"/>
        </w:rPr>
        <w:t>Handbook of international economics</w:t>
      </w:r>
      <w:r w:rsidRPr="00084F2E">
        <w:rPr>
          <w:rFonts w:cs="Times New Roman"/>
          <w:b w:val="0"/>
          <w:lang w:val="en-US"/>
        </w:rPr>
        <w:t xml:space="preserve"> (Vol. 4, pp. 1773-1803). Elsevier.</w:t>
      </w:r>
    </w:p>
    <w:p w14:paraId="719F3834"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Weissleder, L. (2014). Foreign Direct Investment in the Agricultural Sector in Ethiopia Discussion Papers Foreign Direct Investment in the Agricultural Sector in Ethiopia by Lucie Weissleder University of Bonn. </w:t>
      </w:r>
      <w:r w:rsidRPr="00084F2E">
        <w:rPr>
          <w:rFonts w:cs="Times New Roman"/>
          <w:b w:val="0"/>
          <w:i/>
          <w:iCs/>
          <w:lang w:val="en-US"/>
        </w:rPr>
        <w:t>October 2009</w:t>
      </w:r>
      <w:r w:rsidRPr="00084F2E">
        <w:rPr>
          <w:rFonts w:cs="Times New Roman"/>
          <w:b w:val="0"/>
          <w:lang w:val="en-US"/>
        </w:rPr>
        <w:t>.</w:t>
      </w:r>
    </w:p>
    <w:p w14:paraId="043C2711"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Wooldridge, J. M. (2013). </w:t>
      </w:r>
      <w:r w:rsidRPr="00084F2E">
        <w:rPr>
          <w:rFonts w:cs="Times New Roman"/>
          <w:b w:val="0"/>
          <w:i/>
          <w:iCs/>
          <w:lang w:val="en-US"/>
        </w:rPr>
        <w:t>Introductory econometrics: A modern approach</w:t>
      </w:r>
      <w:r w:rsidRPr="00084F2E">
        <w:rPr>
          <w:rFonts w:cs="Times New Roman"/>
          <w:b w:val="0"/>
          <w:lang w:val="en-US"/>
        </w:rPr>
        <w:t xml:space="preserve"> (5th ed.). South-Western Cengage Learning.</w:t>
      </w:r>
    </w:p>
    <w:p w14:paraId="12B37A8A"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 xml:space="preserve">World Bank. (2020). </w:t>
      </w:r>
      <w:r w:rsidRPr="00084F2E">
        <w:rPr>
          <w:rFonts w:cs="Times New Roman"/>
          <w:b w:val="0"/>
          <w:i/>
          <w:iCs/>
          <w:lang w:val="en-US"/>
        </w:rPr>
        <w:t>Central Asia’s Horticulture Sector: Capitalizing on New Export Opportunities in Chinese and Russian Markets</w:t>
      </w:r>
      <w:r w:rsidRPr="00084F2E">
        <w:rPr>
          <w:rFonts w:cs="Times New Roman"/>
          <w:b w:val="0"/>
          <w:lang w:val="en-US"/>
        </w:rPr>
        <w:t xml:space="preserve">. </w:t>
      </w:r>
      <w:hyperlink r:id="rId75" w:tgtFrame="_blank" w:history="1">
        <w:r w:rsidRPr="00084F2E">
          <w:rPr>
            <w:rFonts w:cs="Times New Roman"/>
            <w:b w:val="0"/>
            <w:u w:val="single"/>
            <w:lang w:val="en-US"/>
          </w:rPr>
          <w:t>https://elibrary.worldbank.org/doi/abs/10.1596/33652</w:t>
        </w:r>
      </w:hyperlink>
    </w:p>
    <w:p w14:paraId="0A70BEED"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World Bank. (2022). </w:t>
      </w:r>
      <w:r w:rsidRPr="00084F2E">
        <w:rPr>
          <w:rFonts w:cs="Times New Roman"/>
          <w:b w:val="0"/>
          <w:i/>
          <w:iCs/>
          <w:lang w:val="en-US"/>
        </w:rPr>
        <w:t>World Development Report 2022 Finance for an Equitable Recovery Poverty and Shared Prosperity 2022 Correcting Course Global Economic Prospects , June International Debt Report 2022 The Global Findex Database 2021 Financial Inclusion , Digital Payments , a</w:t>
      </w:r>
      <w:r w:rsidRPr="00084F2E">
        <w:rPr>
          <w:rFonts w:cs="Times New Roman"/>
          <w:b w:val="0"/>
          <w:lang w:val="en-US"/>
        </w:rPr>
        <w:t>.</w:t>
      </w:r>
    </w:p>
    <w:p w14:paraId="225945D1"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World Bank. (2023). </w:t>
      </w:r>
      <w:r w:rsidRPr="00084F2E">
        <w:rPr>
          <w:rFonts w:cs="Times New Roman"/>
          <w:b w:val="0"/>
          <w:i/>
          <w:iCs/>
          <w:lang w:val="en-US"/>
        </w:rPr>
        <w:t>Ethiopia Country Program Evaluation</w:t>
      </w:r>
      <w:r w:rsidRPr="00084F2E">
        <w:rPr>
          <w:rFonts w:cs="Times New Roman"/>
          <w:b w:val="0"/>
          <w:lang w:val="en-US"/>
        </w:rPr>
        <w:t>. Ethiopia Country Program Evaluation, 2017, 1–25.</w:t>
      </w:r>
    </w:p>
    <w:p w14:paraId="55D833D9"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World Trade Institute. (2023).</w:t>
      </w:r>
    </w:p>
    <w:p w14:paraId="6249EC43"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WTO. (2022). </w:t>
      </w:r>
      <w:r w:rsidRPr="00084F2E">
        <w:rPr>
          <w:rFonts w:cs="Times New Roman"/>
          <w:b w:val="0"/>
          <w:i/>
          <w:iCs/>
          <w:lang w:val="en-US"/>
        </w:rPr>
        <w:t>World Trade Statistical Review</w:t>
      </w:r>
      <w:r w:rsidRPr="00084F2E">
        <w:rPr>
          <w:rFonts w:cs="Times New Roman"/>
          <w:b w:val="0"/>
          <w:lang w:val="en-US"/>
        </w:rPr>
        <w:t xml:space="preserve">. World Trade Statistical Review, 132. </w:t>
      </w:r>
      <w:hyperlink r:id="rId76" w:tgtFrame="_blank" w:history="1">
        <w:r w:rsidRPr="00084F2E">
          <w:rPr>
            <w:rFonts w:cs="Times New Roman"/>
            <w:b w:val="0"/>
            <w:u w:val="single"/>
            <w:lang w:val="en-US"/>
          </w:rPr>
          <w:t>https://www.wto.org/english/res_e/statis_e/its2015_e/its2015_e.pdf</w:t>
        </w:r>
      </w:hyperlink>
    </w:p>
    <w:p w14:paraId="48F9BDC6"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Xu, H., Nghia, D. T., &amp; Nam, N. H. (2023). Determinants of Vietnam’s potential for agricultural export trade to Asia-Pacific economic cooperation (APEC) members. </w:t>
      </w:r>
      <w:r w:rsidRPr="00084F2E">
        <w:rPr>
          <w:rFonts w:cs="Times New Roman"/>
          <w:b w:val="0"/>
          <w:i/>
          <w:iCs/>
          <w:lang w:val="en-US"/>
        </w:rPr>
        <w:t>Heliyon</w:t>
      </w:r>
      <w:r w:rsidRPr="00084F2E">
        <w:rPr>
          <w:rFonts w:cs="Times New Roman"/>
          <w:b w:val="0"/>
          <w:lang w:val="en-US"/>
        </w:rPr>
        <w:t xml:space="preserve">, </w:t>
      </w:r>
      <w:r w:rsidRPr="00084F2E">
        <w:rPr>
          <w:rFonts w:cs="Times New Roman"/>
          <w:b w:val="0"/>
          <w:i/>
          <w:iCs/>
          <w:lang w:val="en-US"/>
        </w:rPr>
        <w:t>9</w:t>
      </w:r>
      <w:r w:rsidRPr="00084F2E">
        <w:rPr>
          <w:rFonts w:cs="Times New Roman"/>
          <w:b w:val="0"/>
          <w:lang w:val="en-US"/>
        </w:rPr>
        <w:t xml:space="preserve">(2), e13105. </w:t>
      </w:r>
      <w:hyperlink r:id="rId77" w:tgtFrame="_blank" w:history="1">
        <w:r w:rsidRPr="00084F2E">
          <w:rPr>
            <w:rFonts w:cs="Times New Roman"/>
            <w:b w:val="0"/>
            <w:u w:val="single"/>
            <w:lang w:val="en-US"/>
          </w:rPr>
          <w:t>https://doi.org/10.1016/j.heliyon.2023.e13105</w:t>
        </w:r>
      </w:hyperlink>
    </w:p>
    <w:p w14:paraId="2FF2434D"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Yifru, T. (2015). Impact of Agricultural Exports on Economic Growth in Ethiopia: the Case of Coffee, Oilseed and Pulses. </w:t>
      </w:r>
      <w:r w:rsidRPr="00084F2E">
        <w:rPr>
          <w:rFonts w:cs="Times New Roman"/>
          <w:b w:val="0"/>
          <w:i/>
          <w:iCs/>
          <w:lang w:val="en-US"/>
        </w:rPr>
        <w:t>Journal of Gender, Agriculture and Food Security</w:t>
      </w:r>
      <w:r w:rsidRPr="00084F2E">
        <w:rPr>
          <w:rFonts w:cs="Times New Roman"/>
          <w:b w:val="0"/>
          <w:lang w:val="en-US"/>
        </w:rPr>
        <w:t xml:space="preserve">, August, 1–82. </w:t>
      </w:r>
      <w:hyperlink r:id="rId78" w:tgtFrame="_blank" w:history="1">
        <w:r w:rsidRPr="00084F2E">
          <w:rPr>
            <w:rFonts w:cs="Times New Roman"/>
            <w:b w:val="0"/>
            <w:u w:val="single"/>
            <w:lang w:val="en-US"/>
          </w:rPr>
          <w:t>https://doi.org/10.13140/RG.2.2.24164.18569</w:t>
        </w:r>
      </w:hyperlink>
    </w:p>
    <w:p w14:paraId="7C0CA9CD"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Yuan, Y., &amp; Sun, Y. (2024). Practices , Challenges , and Future of Digital Transformation in Smallholder Agriculture : Insights from a Literature Review.</w:t>
      </w:r>
    </w:p>
    <w:p w14:paraId="0CDB0C98"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Yuya, A., &amp; Tufa, M. (2018). Evaluating the impact of export promotion policy incentives in the Ethiopian manufacturing sector. </w:t>
      </w:r>
      <w:r w:rsidRPr="00084F2E">
        <w:rPr>
          <w:rFonts w:cs="Times New Roman"/>
          <w:b w:val="0"/>
          <w:i/>
          <w:iCs/>
          <w:lang w:val="en-US"/>
        </w:rPr>
        <w:t>1–42</w:t>
      </w:r>
      <w:r w:rsidRPr="00084F2E">
        <w:rPr>
          <w:rFonts w:cs="Times New Roman"/>
          <w:b w:val="0"/>
          <w:lang w:val="en-US"/>
        </w:rPr>
        <w:t>.</w:t>
      </w:r>
    </w:p>
    <w:p w14:paraId="4A7EE515"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t xml:space="preserve">Zerssa, G., Feyssa, D., Kim, D. G., &amp; Eichler-Löbermann, B. (2021). Challenges of smallholder farming in Ethiopia and opportunities by adopting climate-smart agriculture. </w:t>
      </w:r>
      <w:r w:rsidRPr="00084F2E">
        <w:rPr>
          <w:rFonts w:cs="Times New Roman"/>
          <w:b w:val="0"/>
          <w:i/>
          <w:iCs/>
          <w:lang w:val="en-US"/>
        </w:rPr>
        <w:t>Agriculture (Switzerland)</w:t>
      </w:r>
      <w:r w:rsidRPr="00084F2E">
        <w:rPr>
          <w:rFonts w:cs="Times New Roman"/>
          <w:b w:val="0"/>
          <w:lang w:val="en-US"/>
        </w:rPr>
        <w:t xml:space="preserve">, </w:t>
      </w:r>
      <w:r w:rsidRPr="00084F2E">
        <w:rPr>
          <w:rFonts w:cs="Times New Roman"/>
          <w:b w:val="0"/>
          <w:i/>
          <w:iCs/>
          <w:lang w:val="en-US"/>
        </w:rPr>
        <w:t>11</w:t>
      </w:r>
      <w:r w:rsidRPr="00084F2E">
        <w:rPr>
          <w:rFonts w:cs="Times New Roman"/>
          <w:b w:val="0"/>
          <w:lang w:val="en-US"/>
        </w:rPr>
        <w:t xml:space="preserve">(3), 1–26. </w:t>
      </w:r>
      <w:hyperlink r:id="rId79" w:tgtFrame="_blank" w:history="1">
        <w:r w:rsidRPr="00084F2E">
          <w:rPr>
            <w:rFonts w:cs="Times New Roman"/>
            <w:b w:val="0"/>
            <w:u w:val="single"/>
            <w:lang w:val="en-US"/>
          </w:rPr>
          <w:t>https://doi.org/10.3390/agriculture11030192</w:t>
        </w:r>
      </w:hyperlink>
    </w:p>
    <w:p w14:paraId="01272382" w14:textId="77777777" w:rsidR="007B1CFD" w:rsidRPr="00084F2E" w:rsidRDefault="007B1CFD" w:rsidP="007B1CFD">
      <w:pPr>
        <w:spacing w:before="100" w:beforeAutospacing="1" w:after="100" w:afterAutospacing="1" w:line="360" w:lineRule="auto"/>
        <w:jc w:val="both"/>
        <w:rPr>
          <w:rFonts w:cs="Times New Roman"/>
          <w:b w:val="0"/>
          <w:lang w:val="en-US"/>
        </w:rPr>
      </w:pPr>
      <w:r w:rsidRPr="00084F2E">
        <w:rPr>
          <w:rFonts w:cs="Times New Roman"/>
          <w:b w:val="0"/>
          <w:lang w:val="en-US"/>
        </w:rPr>
        <w:lastRenderedPageBreak/>
        <w:t xml:space="preserve">Zone, S., &amp; State, A. R. (2022). Factors affecting farmers ’ access to formal financial credit in Basona Worana District , North. </w:t>
      </w:r>
      <w:r w:rsidRPr="00084F2E">
        <w:rPr>
          <w:rFonts w:cs="Times New Roman"/>
          <w:b w:val="0"/>
          <w:i/>
          <w:iCs/>
          <w:lang w:val="en-US"/>
        </w:rPr>
        <w:t>Cogent Economics &amp; Finance</w:t>
      </w:r>
      <w:r w:rsidRPr="00084F2E">
        <w:rPr>
          <w:rFonts w:cs="Times New Roman"/>
          <w:b w:val="0"/>
          <w:lang w:val="en-US"/>
        </w:rPr>
        <w:t xml:space="preserve">, </w:t>
      </w:r>
      <w:r w:rsidRPr="00084F2E">
        <w:rPr>
          <w:rFonts w:cs="Times New Roman"/>
          <w:b w:val="0"/>
          <w:i/>
          <w:iCs/>
          <w:lang w:val="en-US"/>
        </w:rPr>
        <w:t>10</w:t>
      </w:r>
      <w:r w:rsidRPr="00084F2E">
        <w:rPr>
          <w:rFonts w:cs="Times New Roman"/>
          <w:b w:val="0"/>
          <w:lang w:val="en-US"/>
        </w:rPr>
        <w:t xml:space="preserve">(1), 1–22. </w:t>
      </w:r>
      <w:hyperlink r:id="rId80" w:tgtFrame="_blank" w:history="1">
        <w:r w:rsidRPr="00084F2E">
          <w:rPr>
            <w:rFonts w:cs="Times New Roman"/>
            <w:b w:val="0"/>
            <w:u w:val="single"/>
            <w:lang w:val="en-US"/>
          </w:rPr>
          <w:t>https://doi.org/10.1080/23322039.2022.2035042</w:t>
        </w:r>
      </w:hyperlink>
    </w:p>
    <w:p w14:paraId="5589F3A3" w14:textId="77777777" w:rsidR="007B1CFD" w:rsidRPr="00084F2E" w:rsidRDefault="007B1CFD" w:rsidP="007B1CFD">
      <w:pPr>
        <w:widowControl w:val="0"/>
        <w:autoSpaceDE w:val="0"/>
        <w:autoSpaceDN w:val="0"/>
        <w:adjustRightInd w:val="0"/>
        <w:spacing w:before="240" w:line="360" w:lineRule="auto"/>
        <w:ind w:left="480" w:hanging="480"/>
        <w:jc w:val="both"/>
        <w:rPr>
          <w:rFonts w:cs="Times New Roman"/>
          <w:b w:val="0"/>
          <w:noProof/>
          <w:lang w:val="en-US"/>
        </w:rPr>
      </w:pPr>
    </w:p>
    <w:p w14:paraId="2854A403" w14:textId="77777777" w:rsidR="007B1CFD" w:rsidRPr="00084F2E" w:rsidRDefault="007B1CFD" w:rsidP="007B1CFD">
      <w:pPr>
        <w:widowControl w:val="0"/>
        <w:autoSpaceDE w:val="0"/>
        <w:autoSpaceDN w:val="0"/>
        <w:adjustRightInd w:val="0"/>
        <w:spacing w:before="240" w:line="360" w:lineRule="auto"/>
        <w:ind w:left="480" w:hanging="480"/>
        <w:jc w:val="both"/>
        <w:rPr>
          <w:rFonts w:cs="Times New Roman"/>
          <w:b w:val="0"/>
          <w:noProof/>
          <w:lang w:val="en-US"/>
        </w:rPr>
      </w:pPr>
    </w:p>
    <w:p w14:paraId="5BD9E568" w14:textId="5224C654" w:rsidR="0072282A" w:rsidRPr="00084F2E" w:rsidRDefault="007B1CFD" w:rsidP="007B1CFD">
      <w:pPr>
        <w:spacing w:line="360" w:lineRule="auto"/>
        <w:jc w:val="both"/>
        <w:rPr>
          <w:rFonts w:cs="Times New Roman"/>
          <w:b w:val="0"/>
          <w:lang w:val="en-US"/>
        </w:rPr>
      </w:pPr>
      <w:r w:rsidRPr="00084F2E">
        <w:rPr>
          <w:rFonts w:cs="Times New Roman"/>
          <w:b w:val="0"/>
          <w:lang w:val="en-US"/>
        </w:rPr>
        <w:fldChar w:fldCharType="end"/>
      </w:r>
    </w:p>
    <w:p w14:paraId="5142B0A7" w14:textId="77777777" w:rsidR="0072282A" w:rsidRPr="00084F2E" w:rsidRDefault="00AB1BEC">
      <w:pPr>
        <w:spacing w:after="200" w:line="276" w:lineRule="auto"/>
        <w:rPr>
          <w:rFonts w:cs="Times New Roman"/>
          <w:b w:val="0"/>
          <w:lang w:val="en-US"/>
        </w:rPr>
      </w:pPr>
      <w:r w:rsidRPr="00084F2E">
        <w:rPr>
          <w:rFonts w:cs="Times New Roman"/>
          <w:b w:val="0"/>
          <w:lang w:val="en-US"/>
        </w:rPr>
        <w:br w:type="page"/>
      </w:r>
    </w:p>
    <w:p w14:paraId="067FE9C3" w14:textId="77777777" w:rsidR="0072282A" w:rsidRPr="00084F2E" w:rsidRDefault="00AB1BEC">
      <w:pPr>
        <w:pStyle w:val="Heading1"/>
      </w:pPr>
      <w:bookmarkStart w:id="95" w:name="_Toc220662050"/>
      <w:r w:rsidRPr="00084F2E">
        <w:lastRenderedPageBreak/>
        <w:t>Appendix</w:t>
      </w:r>
      <w:bookmarkEnd w:id="95"/>
      <w:r w:rsidRPr="00084F2E">
        <w:t xml:space="preserve"> </w:t>
      </w:r>
    </w:p>
    <w:p w14:paraId="74379150" w14:textId="77777777" w:rsidR="0072282A" w:rsidRPr="00084F2E" w:rsidRDefault="0072282A">
      <w:pPr>
        <w:spacing w:line="360" w:lineRule="auto"/>
        <w:jc w:val="both"/>
        <w:rPr>
          <w:b w:val="0"/>
        </w:rPr>
      </w:pPr>
    </w:p>
    <w:p w14:paraId="12CEA21A" w14:textId="77777777" w:rsidR="0072282A" w:rsidRPr="00084F2E" w:rsidRDefault="00AB1BEC">
      <w:pPr>
        <w:spacing w:line="360" w:lineRule="auto"/>
        <w:jc w:val="both"/>
        <w:rPr>
          <w:b w:val="0"/>
        </w:rPr>
      </w:pPr>
      <w:r w:rsidRPr="00084F2E">
        <w:rPr>
          <w:noProof/>
          <w:lang w:val="en-US"/>
        </w:rPr>
        <w:drawing>
          <wp:inline distT="0" distB="0" distL="0" distR="0" wp14:anchorId="29D972B9" wp14:editId="1612ECDD">
            <wp:extent cx="5943600" cy="17729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5943600" cy="1772920"/>
                    </a:xfrm>
                    <a:prstGeom prst="rect">
                      <a:avLst/>
                    </a:prstGeom>
                    <a:noFill/>
                    <a:ln>
                      <a:noFill/>
                    </a:ln>
                  </pic:spPr>
                </pic:pic>
              </a:graphicData>
            </a:graphic>
          </wp:inline>
        </w:drawing>
      </w:r>
    </w:p>
    <w:p w14:paraId="1C2D72A0" w14:textId="77777777" w:rsidR="0072282A" w:rsidRPr="00084F2E" w:rsidRDefault="0072282A">
      <w:pPr>
        <w:spacing w:line="360" w:lineRule="auto"/>
        <w:jc w:val="both"/>
        <w:rPr>
          <w:b w:val="0"/>
        </w:rPr>
      </w:pPr>
    </w:p>
    <w:p w14:paraId="169319ED" w14:textId="77777777" w:rsidR="0072282A" w:rsidRPr="00084F2E" w:rsidRDefault="0072282A"/>
    <w:p w14:paraId="24565C9C" w14:textId="77777777" w:rsidR="0072282A" w:rsidRPr="00084F2E" w:rsidRDefault="00AB1BEC">
      <w:r w:rsidRPr="00084F2E">
        <w:rPr>
          <w:noProof/>
          <w:lang w:val="en-US"/>
        </w:rPr>
        <w:drawing>
          <wp:inline distT="0" distB="0" distL="0" distR="0" wp14:anchorId="6F15A2F7" wp14:editId="2C19BEEA">
            <wp:extent cx="5940425" cy="44729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5943600" cy="4475104"/>
                    </a:xfrm>
                    <a:prstGeom prst="rect">
                      <a:avLst/>
                    </a:prstGeom>
                    <a:noFill/>
                    <a:ln>
                      <a:noFill/>
                    </a:ln>
                  </pic:spPr>
                </pic:pic>
              </a:graphicData>
            </a:graphic>
          </wp:inline>
        </w:drawing>
      </w:r>
    </w:p>
    <w:p w14:paraId="202B9967" w14:textId="77777777" w:rsidR="0072282A" w:rsidRPr="00084F2E" w:rsidRDefault="00AB1BEC">
      <w:r w:rsidRPr="00084F2E">
        <w:rPr>
          <w:noProof/>
          <w:lang w:val="en-US"/>
        </w:rPr>
        <w:lastRenderedPageBreak/>
        <w:drawing>
          <wp:inline distT="0" distB="0" distL="0" distR="0" wp14:anchorId="72BDE11C" wp14:editId="7971E1A9">
            <wp:extent cx="5943600" cy="40233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5943600" cy="4023360"/>
                    </a:xfrm>
                    <a:prstGeom prst="rect">
                      <a:avLst/>
                    </a:prstGeom>
                    <a:noFill/>
                    <a:ln>
                      <a:noFill/>
                    </a:ln>
                  </pic:spPr>
                </pic:pic>
              </a:graphicData>
            </a:graphic>
          </wp:inline>
        </w:drawing>
      </w:r>
    </w:p>
    <w:p w14:paraId="43A8B7E5" w14:textId="77777777" w:rsidR="0072282A" w:rsidRPr="00084F2E" w:rsidRDefault="00AB1BEC">
      <w:r w:rsidRPr="00084F2E">
        <w:rPr>
          <w:noProof/>
          <w:lang w:val="en-US"/>
        </w:rPr>
        <w:drawing>
          <wp:inline distT="0" distB="0" distL="0" distR="0" wp14:anchorId="20EAFF37" wp14:editId="724DAD54">
            <wp:extent cx="5943600" cy="3911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5943600" cy="3911600"/>
                    </a:xfrm>
                    <a:prstGeom prst="rect">
                      <a:avLst/>
                    </a:prstGeom>
                    <a:noFill/>
                    <a:ln>
                      <a:noFill/>
                    </a:ln>
                  </pic:spPr>
                </pic:pic>
              </a:graphicData>
            </a:graphic>
          </wp:inline>
        </w:drawing>
      </w:r>
    </w:p>
    <w:p w14:paraId="3AA39DDD" w14:textId="77777777" w:rsidR="0072282A" w:rsidRPr="00084F2E" w:rsidRDefault="0072282A"/>
    <w:p w14:paraId="31EC00AD" w14:textId="77777777" w:rsidR="0072282A" w:rsidRPr="00084F2E" w:rsidRDefault="00AB1BEC">
      <w:r w:rsidRPr="00084F2E">
        <w:lastRenderedPageBreak/>
        <w:t xml:space="preserve">ARDL Model results </w:t>
      </w:r>
    </w:p>
    <w:p w14:paraId="45E2BB13" w14:textId="77777777" w:rsidR="0072282A" w:rsidRPr="00084F2E" w:rsidRDefault="0072282A"/>
    <w:p w14:paraId="262F93A8" w14:textId="77777777" w:rsidR="0072282A" w:rsidRPr="00084F2E" w:rsidRDefault="00AB1BEC">
      <w:r w:rsidRPr="00084F2E">
        <w:rPr>
          <w:noProof/>
          <w:lang w:val="en-US"/>
        </w:rPr>
        <w:drawing>
          <wp:inline distT="0" distB="0" distL="0" distR="0" wp14:anchorId="28FF733E" wp14:editId="6AF4D196">
            <wp:extent cx="5943600" cy="565086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5943600" cy="5650865"/>
                    </a:xfrm>
                    <a:prstGeom prst="rect">
                      <a:avLst/>
                    </a:prstGeom>
                    <a:noFill/>
                    <a:ln>
                      <a:noFill/>
                    </a:ln>
                  </pic:spPr>
                </pic:pic>
              </a:graphicData>
            </a:graphic>
          </wp:inline>
        </w:drawing>
      </w:r>
    </w:p>
    <w:p w14:paraId="0A406003" w14:textId="77777777" w:rsidR="0072282A" w:rsidRPr="00084F2E" w:rsidRDefault="0072282A"/>
    <w:p w14:paraId="62B00D9B" w14:textId="77777777" w:rsidR="0072282A" w:rsidRPr="00084F2E" w:rsidRDefault="0072282A"/>
    <w:p w14:paraId="1706EE32" w14:textId="77777777" w:rsidR="0072282A" w:rsidRPr="00084F2E" w:rsidRDefault="00AB1BEC">
      <w:r w:rsidRPr="00084F2E">
        <w:rPr>
          <w:rFonts w:cs="Times New Roman"/>
          <w:b w:val="0"/>
          <w:noProof/>
          <w:lang w:val="en-US"/>
        </w:rPr>
        <w:drawing>
          <wp:inline distT="0" distB="0" distL="0" distR="0" wp14:anchorId="4D194CF2" wp14:editId="5EA9B7A7">
            <wp:extent cx="5943600" cy="1117600"/>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5943600" cy="1117600"/>
                    </a:xfrm>
                    <a:prstGeom prst="rect">
                      <a:avLst/>
                    </a:prstGeom>
                    <a:noFill/>
                    <a:ln>
                      <a:noFill/>
                    </a:ln>
                  </pic:spPr>
                </pic:pic>
              </a:graphicData>
            </a:graphic>
          </wp:inline>
        </w:drawing>
      </w:r>
    </w:p>
    <w:p w14:paraId="7FECA371" w14:textId="77777777" w:rsidR="0072282A" w:rsidRPr="00084F2E" w:rsidRDefault="0072282A"/>
    <w:p w14:paraId="3447177E" w14:textId="77777777" w:rsidR="0072282A" w:rsidRPr="00084F2E" w:rsidRDefault="00AB1BEC">
      <w:r w:rsidRPr="00084F2E">
        <w:rPr>
          <w:rFonts w:cs="Times New Roman"/>
          <w:b w:val="0"/>
          <w:noProof/>
          <w:lang w:val="en-US"/>
        </w:rPr>
        <w:lastRenderedPageBreak/>
        <w:drawing>
          <wp:inline distT="0" distB="0" distL="0" distR="0" wp14:anchorId="2FF77668" wp14:editId="43864D78">
            <wp:extent cx="5943600" cy="1883410"/>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5943600" cy="1883410"/>
                    </a:xfrm>
                    <a:prstGeom prst="rect">
                      <a:avLst/>
                    </a:prstGeom>
                    <a:noFill/>
                    <a:ln>
                      <a:noFill/>
                    </a:ln>
                  </pic:spPr>
                </pic:pic>
              </a:graphicData>
            </a:graphic>
          </wp:inline>
        </w:drawing>
      </w:r>
    </w:p>
    <w:p w14:paraId="265D16EA" w14:textId="77777777" w:rsidR="0072282A" w:rsidRPr="00084F2E" w:rsidRDefault="0072282A"/>
    <w:p w14:paraId="5C44D630" w14:textId="77777777" w:rsidR="0072282A" w:rsidRPr="00084F2E" w:rsidRDefault="0072282A"/>
    <w:p w14:paraId="57D9DEB4" w14:textId="77777777" w:rsidR="0072282A" w:rsidRPr="00084F2E" w:rsidRDefault="00AB1BEC">
      <w:r w:rsidRPr="00084F2E">
        <w:rPr>
          <w:rFonts w:cs="Times New Roman"/>
          <w:b w:val="0"/>
          <w:noProof/>
          <w:lang w:val="en-US"/>
        </w:rPr>
        <w:drawing>
          <wp:inline distT="0" distB="0" distL="0" distR="0" wp14:anchorId="1256DEB2" wp14:editId="29AA0DEF">
            <wp:extent cx="5943600" cy="100584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5943600" cy="1005840"/>
                    </a:xfrm>
                    <a:prstGeom prst="rect">
                      <a:avLst/>
                    </a:prstGeom>
                    <a:noFill/>
                    <a:ln>
                      <a:noFill/>
                    </a:ln>
                  </pic:spPr>
                </pic:pic>
              </a:graphicData>
            </a:graphic>
          </wp:inline>
        </w:drawing>
      </w:r>
    </w:p>
    <w:p w14:paraId="5C41957A" w14:textId="77777777" w:rsidR="0072282A" w:rsidRPr="00084F2E" w:rsidRDefault="0072282A"/>
    <w:p w14:paraId="5B104D59" w14:textId="77777777" w:rsidR="0072282A" w:rsidRPr="00084F2E" w:rsidRDefault="0072282A"/>
    <w:p w14:paraId="1B743BFB" w14:textId="77777777" w:rsidR="0072282A" w:rsidRPr="00084F2E" w:rsidRDefault="00AB1BEC">
      <w:r w:rsidRPr="00084F2E">
        <w:rPr>
          <w:rFonts w:cs="Times New Roman"/>
          <w:b w:val="0"/>
          <w:noProof/>
          <w:lang w:val="en-US"/>
        </w:rPr>
        <w:drawing>
          <wp:inline distT="0" distB="0" distL="0" distR="0" wp14:anchorId="7BE5574C" wp14:editId="2852F7C5">
            <wp:extent cx="5943600" cy="89408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5943600" cy="894080"/>
                    </a:xfrm>
                    <a:prstGeom prst="rect">
                      <a:avLst/>
                    </a:prstGeom>
                    <a:noFill/>
                    <a:ln>
                      <a:noFill/>
                    </a:ln>
                  </pic:spPr>
                </pic:pic>
              </a:graphicData>
            </a:graphic>
          </wp:inline>
        </w:drawing>
      </w:r>
    </w:p>
    <w:p w14:paraId="552DCE32" w14:textId="77777777" w:rsidR="0072282A" w:rsidRPr="00084F2E" w:rsidRDefault="0072282A">
      <w:pPr>
        <w:spacing w:line="360" w:lineRule="auto"/>
        <w:jc w:val="both"/>
        <w:rPr>
          <w:b w:val="0"/>
        </w:rPr>
      </w:pPr>
    </w:p>
    <w:sectPr w:rsidR="0072282A" w:rsidRPr="00084F2E" w:rsidSect="0072282A">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F788F" w14:textId="77777777" w:rsidR="00834552" w:rsidRDefault="00834552">
      <w:r>
        <w:separator/>
      </w:r>
    </w:p>
  </w:endnote>
  <w:endnote w:type="continuationSeparator" w:id="0">
    <w:p w14:paraId="33AF3C33" w14:textId="77777777" w:rsidR="00834552" w:rsidRDefault="00834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00000000"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033973"/>
      <w:docPartObj>
        <w:docPartGallery w:val="AutoText"/>
      </w:docPartObj>
    </w:sdtPr>
    <w:sdtContent>
      <w:p w14:paraId="10E9F285" w14:textId="3C48B0C9" w:rsidR="00677688" w:rsidRDefault="00677688">
        <w:pPr>
          <w:pStyle w:val="Footer"/>
          <w:jc w:val="center"/>
        </w:pPr>
        <w:r>
          <w:fldChar w:fldCharType="begin"/>
        </w:r>
        <w:r>
          <w:instrText xml:space="preserve"> PAGE   \* MERGEFORMAT </w:instrText>
        </w:r>
        <w:r>
          <w:fldChar w:fldCharType="separate"/>
        </w:r>
        <w:r w:rsidR="00084F2E">
          <w:rPr>
            <w:noProof/>
          </w:rPr>
          <w:t>14</w:t>
        </w:r>
        <w:r>
          <w:fldChar w:fldCharType="end"/>
        </w:r>
      </w:p>
    </w:sdtContent>
  </w:sdt>
  <w:p w14:paraId="7A099F6C" w14:textId="77777777" w:rsidR="00677688" w:rsidRDefault="00677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01251"/>
      <w:docPartObj>
        <w:docPartGallery w:val="AutoText"/>
      </w:docPartObj>
    </w:sdtPr>
    <w:sdtContent>
      <w:p w14:paraId="530D8D9D" w14:textId="320AFF48" w:rsidR="00677688" w:rsidRDefault="00677688">
        <w:pPr>
          <w:pStyle w:val="Footer"/>
          <w:jc w:val="center"/>
        </w:pPr>
        <w:r>
          <w:fldChar w:fldCharType="begin"/>
        </w:r>
        <w:r>
          <w:instrText xml:space="preserve"> PAGE   \* MERGEFORMAT </w:instrText>
        </w:r>
        <w:r>
          <w:fldChar w:fldCharType="separate"/>
        </w:r>
        <w:r w:rsidR="00A73BD3">
          <w:rPr>
            <w:noProof/>
          </w:rPr>
          <w:t>1</w:t>
        </w:r>
        <w:r>
          <w:fldChar w:fldCharType="end"/>
        </w:r>
      </w:p>
    </w:sdtContent>
  </w:sdt>
  <w:p w14:paraId="49FEA3B1" w14:textId="77777777" w:rsidR="00677688" w:rsidRDefault="00677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57DD8" w14:textId="77777777" w:rsidR="00834552" w:rsidRDefault="00834552">
      <w:r>
        <w:separator/>
      </w:r>
    </w:p>
  </w:footnote>
  <w:footnote w:type="continuationSeparator" w:id="0">
    <w:p w14:paraId="6A7A6372" w14:textId="77777777" w:rsidR="00834552" w:rsidRDefault="008345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1D08"/>
    <w:multiLevelType w:val="multilevel"/>
    <w:tmpl w:val="037E1D08"/>
    <w:lvl w:ilvl="0">
      <w:start w:val="1"/>
      <w:numFmt w:val="decimal"/>
      <w:lvlText w:val="%1."/>
      <w:lvlJc w:val="left"/>
      <w:pPr>
        <w:ind w:left="720" w:hanging="360"/>
      </w:pPr>
    </w:lvl>
    <w:lvl w:ilvl="1">
      <w:start w:val="8"/>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0B229FA"/>
    <w:multiLevelType w:val="hybridMultilevel"/>
    <w:tmpl w:val="1AB87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36437D"/>
    <w:multiLevelType w:val="hybridMultilevel"/>
    <w:tmpl w:val="85C2FD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F33646"/>
    <w:multiLevelType w:val="multilevel"/>
    <w:tmpl w:val="B1A8263A"/>
    <w:lvl w:ilvl="0">
      <w:start w:val="3"/>
      <w:numFmt w:val="decimal"/>
      <w:lvlText w:val="%1"/>
      <w:lvlJc w:val="left"/>
      <w:pPr>
        <w:ind w:left="660" w:hanging="660"/>
      </w:pPr>
      <w:rPr>
        <w:rFonts w:hint="default"/>
      </w:rPr>
    </w:lvl>
    <w:lvl w:ilvl="1">
      <w:start w:val="9"/>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944DF9"/>
    <w:multiLevelType w:val="hybridMultilevel"/>
    <w:tmpl w:val="181422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567F8A"/>
    <w:multiLevelType w:val="multilevel"/>
    <w:tmpl w:val="3B567F8A"/>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3B706AB"/>
    <w:multiLevelType w:val="multilevel"/>
    <w:tmpl w:val="43B706A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57D27CE"/>
    <w:multiLevelType w:val="multilevel"/>
    <w:tmpl w:val="6D3E6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4A621E"/>
    <w:multiLevelType w:val="multilevel"/>
    <w:tmpl w:val="ACC0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4189289">
    <w:abstractNumId w:val="5"/>
  </w:num>
  <w:num w:numId="2" w16cid:durableId="1891184750">
    <w:abstractNumId w:val="0"/>
  </w:num>
  <w:num w:numId="3" w16cid:durableId="2082678735">
    <w:abstractNumId w:val="6"/>
  </w:num>
  <w:num w:numId="4" w16cid:durableId="558127327">
    <w:abstractNumId w:val="4"/>
  </w:num>
  <w:num w:numId="5" w16cid:durableId="1148329293">
    <w:abstractNumId w:val="7"/>
  </w:num>
  <w:num w:numId="6" w16cid:durableId="969021925">
    <w:abstractNumId w:val="3"/>
  </w:num>
  <w:num w:numId="7" w16cid:durableId="1512991353">
    <w:abstractNumId w:val="1"/>
  </w:num>
  <w:num w:numId="8" w16cid:durableId="728459464">
    <w:abstractNumId w:val="2"/>
  </w:num>
  <w:num w:numId="9" w16cid:durableId="14285779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241"/>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346"/>
    <w:rsid w:val="000116D3"/>
    <w:rsid w:val="00011804"/>
    <w:rsid w:val="0001573B"/>
    <w:rsid w:val="0001749C"/>
    <w:rsid w:val="00025F47"/>
    <w:rsid w:val="0002782C"/>
    <w:rsid w:val="00030977"/>
    <w:rsid w:val="00037E97"/>
    <w:rsid w:val="000407DD"/>
    <w:rsid w:val="000509CA"/>
    <w:rsid w:val="00057BCA"/>
    <w:rsid w:val="00077871"/>
    <w:rsid w:val="00083455"/>
    <w:rsid w:val="00084F2E"/>
    <w:rsid w:val="000929A9"/>
    <w:rsid w:val="00093B6C"/>
    <w:rsid w:val="00097F4E"/>
    <w:rsid w:val="000A3522"/>
    <w:rsid w:val="000F452C"/>
    <w:rsid w:val="00103985"/>
    <w:rsid w:val="00124D2F"/>
    <w:rsid w:val="001303E1"/>
    <w:rsid w:val="00142C85"/>
    <w:rsid w:val="001461C0"/>
    <w:rsid w:val="00151982"/>
    <w:rsid w:val="00151F5D"/>
    <w:rsid w:val="00152F0C"/>
    <w:rsid w:val="001531FA"/>
    <w:rsid w:val="001533E7"/>
    <w:rsid w:val="0016617D"/>
    <w:rsid w:val="00171B94"/>
    <w:rsid w:val="00183744"/>
    <w:rsid w:val="00184427"/>
    <w:rsid w:val="001A395D"/>
    <w:rsid w:val="001A4E94"/>
    <w:rsid w:val="001A5810"/>
    <w:rsid w:val="001A6526"/>
    <w:rsid w:val="001B26A4"/>
    <w:rsid w:val="001C6D79"/>
    <w:rsid w:val="001D7A0C"/>
    <w:rsid w:val="001E447E"/>
    <w:rsid w:val="00200C3E"/>
    <w:rsid w:val="002021E9"/>
    <w:rsid w:val="00206F97"/>
    <w:rsid w:val="00216BA2"/>
    <w:rsid w:val="002325D3"/>
    <w:rsid w:val="0023717A"/>
    <w:rsid w:val="0024302F"/>
    <w:rsid w:val="00251C14"/>
    <w:rsid w:val="00263453"/>
    <w:rsid w:val="0027060C"/>
    <w:rsid w:val="00270F09"/>
    <w:rsid w:val="0028610A"/>
    <w:rsid w:val="00293ACF"/>
    <w:rsid w:val="002A0255"/>
    <w:rsid w:val="002A39A6"/>
    <w:rsid w:val="002B16E9"/>
    <w:rsid w:val="002B1E84"/>
    <w:rsid w:val="002B3A63"/>
    <w:rsid w:val="002B5680"/>
    <w:rsid w:val="002B6B65"/>
    <w:rsid w:val="002B7DF2"/>
    <w:rsid w:val="002D13AF"/>
    <w:rsid w:val="002F30EE"/>
    <w:rsid w:val="002F338E"/>
    <w:rsid w:val="00300C7F"/>
    <w:rsid w:val="003042A3"/>
    <w:rsid w:val="003146EF"/>
    <w:rsid w:val="00320B3C"/>
    <w:rsid w:val="00341425"/>
    <w:rsid w:val="00344117"/>
    <w:rsid w:val="00344E8A"/>
    <w:rsid w:val="00352D7D"/>
    <w:rsid w:val="00360089"/>
    <w:rsid w:val="003628A0"/>
    <w:rsid w:val="00365734"/>
    <w:rsid w:val="003A56EC"/>
    <w:rsid w:val="003A5957"/>
    <w:rsid w:val="003C1591"/>
    <w:rsid w:val="003C20BB"/>
    <w:rsid w:val="003C6E91"/>
    <w:rsid w:val="003E2F61"/>
    <w:rsid w:val="003E3724"/>
    <w:rsid w:val="003E4238"/>
    <w:rsid w:val="003E7B8C"/>
    <w:rsid w:val="004127B1"/>
    <w:rsid w:val="0041431E"/>
    <w:rsid w:val="00421C62"/>
    <w:rsid w:val="0042352E"/>
    <w:rsid w:val="0043760C"/>
    <w:rsid w:val="00447E05"/>
    <w:rsid w:val="00451417"/>
    <w:rsid w:val="004853C5"/>
    <w:rsid w:val="00494F11"/>
    <w:rsid w:val="004D36CB"/>
    <w:rsid w:val="004E0044"/>
    <w:rsid w:val="004E1F76"/>
    <w:rsid w:val="004E4D50"/>
    <w:rsid w:val="004F3B43"/>
    <w:rsid w:val="004F4F47"/>
    <w:rsid w:val="005341FF"/>
    <w:rsid w:val="0054412B"/>
    <w:rsid w:val="00552792"/>
    <w:rsid w:val="00553689"/>
    <w:rsid w:val="00565017"/>
    <w:rsid w:val="00565770"/>
    <w:rsid w:val="00585676"/>
    <w:rsid w:val="0059149C"/>
    <w:rsid w:val="00595A1E"/>
    <w:rsid w:val="005A2E96"/>
    <w:rsid w:val="005A5555"/>
    <w:rsid w:val="005B4C9A"/>
    <w:rsid w:val="005C582F"/>
    <w:rsid w:val="005D3E3B"/>
    <w:rsid w:val="005D4CB2"/>
    <w:rsid w:val="005D5627"/>
    <w:rsid w:val="005E2FDA"/>
    <w:rsid w:val="005F0A19"/>
    <w:rsid w:val="005F13C6"/>
    <w:rsid w:val="005F59C1"/>
    <w:rsid w:val="00603B4B"/>
    <w:rsid w:val="0060475C"/>
    <w:rsid w:val="006357AB"/>
    <w:rsid w:val="00652591"/>
    <w:rsid w:val="006537CD"/>
    <w:rsid w:val="006542BD"/>
    <w:rsid w:val="00655F58"/>
    <w:rsid w:val="006767E1"/>
    <w:rsid w:val="00677688"/>
    <w:rsid w:val="00687FD2"/>
    <w:rsid w:val="0069190A"/>
    <w:rsid w:val="006A3772"/>
    <w:rsid w:val="006A49DF"/>
    <w:rsid w:val="006A5A21"/>
    <w:rsid w:val="006B0F48"/>
    <w:rsid w:val="006C1917"/>
    <w:rsid w:val="006C3CAC"/>
    <w:rsid w:val="006E1BFC"/>
    <w:rsid w:val="006E1C61"/>
    <w:rsid w:val="006F5353"/>
    <w:rsid w:val="00701B66"/>
    <w:rsid w:val="0072282A"/>
    <w:rsid w:val="007254C7"/>
    <w:rsid w:val="007268AE"/>
    <w:rsid w:val="00727018"/>
    <w:rsid w:val="0073268B"/>
    <w:rsid w:val="007343CD"/>
    <w:rsid w:val="00741A11"/>
    <w:rsid w:val="007452EC"/>
    <w:rsid w:val="00746DDF"/>
    <w:rsid w:val="00750653"/>
    <w:rsid w:val="00767724"/>
    <w:rsid w:val="00771FD4"/>
    <w:rsid w:val="00775FBE"/>
    <w:rsid w:val="00776D8A"/>
    <w:rsid w:val="0078361F"/>
    <w:rsid w:val="00784523"/>
    <w:rsid w:val="007926E3"/>
    <w:rsid w:val="007A5DBA"/>
    <w:rsid w:val="007B1CFD"/>
    <w:rsid w:val="007C585B"/>
    <w:rsid w:val="007C6B9A"/>
    <w:rsid w:val="007D0B25"/>
    <w:rsid w:val="007D6734"/>
    <w:rsid w:val="007D7C4C"/>
    <w:rsid w:val="00804343"/>
    <w:rsid w:val="00806964"/>
    <w:rsid w:val="00810581"/>
    <w:rsid w:val="00811986"/>
    <w:rsid w:val="008121B2"/>
    <w:rsid w:val="00814500"/>
    <w:rsid w:val="00814EB4"/>
    <w:rsid w:val="00834552"/>
    <w:rsid w:val="00837AFC"/>
    <w:rsid w:val="00841FF0"/>
    <w:rsid w:val="0084375F"/>
    <w:rsid w:val="008463FE"/>
    <w:rsid w:val="008554EA"/>
    <w:rsid w:val="0086081B"/>
    <w:rsid w:val="00863390"/>
    <w:rsid w:val="00864793"/>
    <w:rsid w:val="00875696"/>
    <w:rsid w:val="0088050F"/>
    <w:rsid w:val="00884A73"/>
    <w:rsid w:val="00894B89"/>
    <w:rsid w:val="008967D2"/>
    <w:rsid w:val="008A1224"/>
    <w:rsid w:val="008A18E6"/>
    <w:rsid w:val="008A6EDB"/>
    <w:rsid w:val="008B1613"/>
    <w:rsid w:val="008B2BA1"/>
    <w:rsid w:val="008B39DB"/>
    <w:rsid w:val="008D2188"/>
    <w:rsid w:val="008D2207"/>
    <w:rsid w:val="008D6950"/>
    <w:rsid w:val="008D77D9"/>
    <w:rsid w:val="008E3056"/>
    <w:rsid w:val="008E73C3"/>
    <w:rsid w:val="009069C5"/>
    <w:rsid w:val="0091466B"/>
    <w:rsid w:val="009152CE"/>
    <w:rsid w:val="009207A2"/>
    <w:rsid w:val="00930823"/>
    <w:rsid w:val="00933521"/>
    <w:rsid w:val="00952FD0"/>
    <w:rsid w:val="00955733"/>
    <w:rsid w:val="00957991"/>
    <w:rsid w:val="00962228"/>
    <w:rsid w:val="009626BF"/>
    <w:rsid w:val="00966825"/>
    <w:rsid w:val="0097152B"/>
    <w:rsid w:val="009728EA"/>
    <w:rsid w:val="00974DB3"/>
    <w:rsid w:val="00975129"/>
    <w:rsid w:val="009827C3"/>
    <w:rsid w:val="00984D52"/>
    <w:rsid w:val="009924A5"/>
    <w:rsid w:val="009929E6"/>
    <w:rsid w:val="009A6B9E"/>
    <w:rsid w:val="009C3A89"/>
    <w:rsid w:val="009D05DB"/>
    <w:rsid w:val="009D15AF"/>
    <w:rsid w:val="009D1DE2"/>
    <w:rsid w:val="009E6AB1"/>
    <w:rsid w:val="00A07E08"/>
    <w:rsid w:val="00A11304"/>
    <w:rsid w:val="00A2075D"/>
    <w:rsid w:val="00A2078F"/>
    <w:rsid w:val="00A312E8"/>
    <w:rsid w:val="00A31C9E"/>
    <w:rsid w:val="00A37187"/>
    <w:rsid w:val="00A40CD3"/>
    <w:rsid w:val="00A50868"/>
    <w:rsid w:val="00A513BB"/>
    <w:rsid w:val="00A5715B"/>
    <w:rsid w:val="00A71CCC"/>
    <w:rsid w:val="00A73BD3"/>
    <w:rsid w:val="00A80FC2"/>
    <w:rsid w:val="00A85147"/>
    <w:rsid w:val="00A9727E"/>
    <w:rsid w:val="00AA4ED8"/>
    <w:rsid w:val="00AB1BEC"/>
    <w:rsid w:val="00AB4C40"/>
    <w:rsid w:val="00AC072B"/>
    <w:rsid w:val="00AC0A8B"/>
    <w:rsid w:val="00AC5C64"/>
    <w:rsid w:val="00AC6287"/>
    <w:rsid w:val="00AD20FA"/>
    <w:rsid w:val="00AE4858"/>
    <w:rsid w:val="00AE5240"/>
    <w:rsid w:val="00AE7658"/>
    <w:rsid w:val="00AE77B4"/>
    <w:rsid w:val="00B07E7E"/>
    <w:rsid w:val="00B128DA"/>
    <w:rsid w:val="00B214F1"/>
    <w:rsid w:val="00B24F5A"/>
    <w:rsid w:val="00B25B60"/>
    <w:rsid w:val="00B26A13"/>
    <w:rsid w:val="00B42384"/>
    <w:rsid w:val="00B5125E"/>
    <w:rsid w:val="00B52263"/>
    <w:rsid w:val="00B54812"/>
    <w:rsid w:val="00B618AA"/>
    <w:rsid w:val="00B668B4"/>
    <w:rsid w:val="00B72072"/>
    <w:rsid w:val="00B8015B"/>
    <w:rsid w:val="00B91DA7"/>
    <w:rsid w:val="00B91FF0"/>
    <w:rsid w:val="00BB7D1D"/>
    <w:rsid w:val="00BF43B9"/>
    <w:rsid w:val="00C040AA"/>
    <w:rsid w:val="00C11083"/>
    <w:rsid w:val="00C2704E"/>
    <w:rsid w:val="00C46D3F"/>
    <w:rsid w:val="00C54F79"/>
    <w:rsid w:val="00C81162"/>
    <w:rsid w:val="00C92D25"/>
    <w:rsid w:val="00CB3097"/>
    <w:rsid w:val="00CB7435"/>
    <w:rsid w:val="00CD7161"/>
    <w:rsid w:val="00CE1B58"/>
    <w:rsid w:val="00CE642A"/>
    <w:rsid w:val="00D179A5"/>
    <w:rsid w:val="00D217FF"/>
    <w:rsid w:val="00D23564"/>
    <w:rsid w:val="00D23E55"/>
    <w:rsid w:val="00D24BE4"/>
    <w:rsid w:val="00D363CE"/>
    <w:rsid w:val="00D3681E"/>
    <w:rsid w:val="00D5699E"/>
    <w:rsid w:val="00D60988"/>
    <w:rsid w:val="00D61DDD"/>
    <w:rsid w:val="00D72D19"/>
    <w:rsid w:val="00D74179"/>
    <w:rsid w:val="00D75F8F"/>
    <w:rsid w:val="00D80C5E"/>
    <w:rsid w:val="00D85E0E"/>
    <w:rsid w:val="00D9092D"/>
    <w:rsid w:val="00D92DC4"/>
    <w:rsid w:val="00D9355E"/>
    <w:rsid w:val="00D9454B"/>
    <w:rsid w:val="00D951FF"/>
    <w:rsid w:val="00DA01F2"/>
    <w:rsid w:val="00DA6B60"/>
    <w:rsid w:val="00DB5D62"/>
    <w:rsid w:val="00DB6BBC"/>
    <w:rsid w:val="00DB788E"/>
    <w:rsid w:val="00DC6AAD"/>
    <w:rsid w:val="00DD45E0"/>
    <w:rsid w:val="00DD6AD1"/>
    <w:rsid w:val="00DE2630"/>
    <w:rsid w:val="00DF3DF8"/>
    <w:rsid w:val="00E00508"/>
    <w:rsid w:val="00E04F28"/>
    <w:rsid w:val="00E11346"/>
    <w:rsid w:val="00E22E75"/>
    <w:rsid w:val="00E251CB"/>
    <w:rsid w:val="00E252D2"/>
    <w:rsid w:val="00E27635"/>
    <w:rsid w:val="00E464AF"/>
    <w:rsid w:val="00E54BAE"/>
    <w:rsid w:val="00E559D8"/>
    <w:rsid w:val="00E6430A"/>
    <w:rsid w:val="00E742A8"/>
    <w:rsid w:val="00E80DE5"/>
    <w:rsid w:val="00E85602"/>
    <w:rsid w:val="00E95C9D"/>
    <w:rsid w:val="00EA1DA3"/>
    <w:rsid w:val="00EA2B10"/>
    <w:rsid w:val="00EB4C4A"/>
    <w:rsid w:val="00EB6CAA"/>
    <w:rsid w:val="00EC6882"/>
    <w:rsid w:val="00EC7B24"/>
    <w:rsid w:val="00ED109A"/>
    <w:rsid w:val="00ED273A"/>
    <w:rsid w:val="00EF49ED"/>
    <w:rsid w:val="00EF4F66"/>
    <w:rsid w:val="00F03482"/>
    <w:rsid w:val="00F0541E"/>
    <w:rsid w:val="00F156D9"/>
    <w:rsid w:val="00F233DB"/>
    <w:rsid w:val="00F25F4C"/>
    <w:rsid w:val="00F35FC3"/>
    <w:rsid w:val="00F400F9"/>
    <w:rsid w:val="00F41FF6"/>
    <w:rsid w:val="00F43B04"/>
    <w:rsid w:val="00F472E6"/>
    <w:rsid w:val="00F57FC3"/>
    <w:rsid w:val="00F62238"/>
    <w:rsid w:val="00F66165"/>
    <w:rsid w:val="00F66B81"/>
    <w:rsid w:val="00F83F9E"/>
    <w:rsid w:val="00F87685"/>
    <w:rsid w:val="00F92865"/>
    <w:rsid w:val="00F95237"/>
    <w:rsid w:val="00FA0DCB"/>
    <w:rsid w:val="00FA4792"/>
    <w:rsid w:val="00FB1960"/>
    <w:rsid w:val="00FC1A8F"/>
    <w:rsid w:val="00FD1F3B"/>
    <w:rsid w:val="00FE0A8B"/>
    <w:rsid w:val="00FE2F8E"/>
    <w:rsid w:val="00FE396F"/>
    <w:rsid w:val="00FE6C04"/>
    <w:rsid w:val="00FF32EB"/>
    <w:rsid w:val="0D3E1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8BB1EE2"/>
  <w15:docId w15:val="{78C497B8-6555-4920-81A9-5B8EBE04D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82A"/>
    <w:rPr>
      <w:rFonts w:ascii="Times New Roman" w:hAnsi="Times New Roman" w:cs="Angsana New"/>
      <w:b/>
      <w:sz w:val="24"/>
      <w:szCs w:val="24"/>
      <w:lang w:val="en-GB"/>
    </w:rPr>
  </w:style>
  <w:style w:type="paragraph" w:styleId="Heading1">
    <w:name w:val="heading 1"/>
    <w:basedOn w:val="Normal"/>
    <w:next w:val="Normal"/>
    <w:link w:val="Heading1Char"/>
    <w:autoRedefine/>
    <w:uiPriority w:val="9"/>
    <w:qFormat/>
    <w:rsid w:val="0072282A"/>
    <w:pPr>
      <w:keepNext/>
      <w:keepLines/>
      <w:spacing w:before="480"/>
      <w:jc w:val="center"/>
      <w:outlineLvl w:val="0"/>
    </w:pPr>
    <w:rPr>
      <w:rFonts w:eastAsiaTheme="majorEastAsia" w:cstheme="majorBidi"/>
      <w:bCs/>
      <w:sz w:val="32"/>
      <w:szCs w:val="28"/>
    </w:rPr>
  </w:style>
  <w:style w:type="paragraph" w:styleId="Heading2">
    <w:name w:val="heading 2"/>
    <w:basedOn w:val="Normal"/>
    <w:next w:val="Normal"/>
    <w:link w:val="Heading2Char"/>
    <w:autoRedefine/>
    <w:uiPriority w:val="9"/>
    <w:unhideWhenUsed/>
    <w:qFormat/>
    <w:rsid w:val="0072282A"/>
    <w:pPr>
      <w:keepNext/>
      <w:keepLines/>
      <w:spacing w:before="200" w:line="360" w:lineRule="auto"/>
      <w:outlineLvl w:val="1"/>
    </w:pPr>
    <w:rPr>
      <w:rFonts w:eastAsiaTheme="majorEastAsia" w:cstheme="majorBidi"/>
      <w:bCs/>
      <w:sz w:val="28"/>
      <w:szCs w:val="26"/>
    </w:rPr>
  </w:style>
  <w:style w:type="paragraph" w:styleId="Heading3">
    <w:name w:val="heading 3"/>
    <w:basedOn w:val="Normal"/>
    <w:next w:val="Normal"/>
    <w:link w:val="Heading3Char"/>
    <w:autoRedefine/>
    <w:uiPriority w:val="9"/>
    <w:unhideWhenUsed/>
    <w:qFormat/>
    <w:rsid w:val="0072282A"/>
    <w:pPr>
      <w:keepNext/>
      <w:keepLines/>
      <w:spacing w:before="200" w:line="360" w:lineRule="auto"/>
      <w:outlineLvl w:val="2"/>
    </w:pPr>
    <w:rPr>
      <w:rFonts w:eastAsiaTheme="majorEastAsia" w:cstheme="majorBidi"/>
      <w:bCs/>
    </w:rPr>
  </w:style>
  <w:style w:type="paragraph" w:styleId="Heading4">
    <w:name w:val="heading 4"/>
    <w:basedOn w:val="Normal"/>
    <w:next w:val="Normal"/>
    <w:link w:val="Heading4Char"/>
    <w:autoRedefine/>
    <w:uiPriority w:val="9"/>
    <w:unhideWhenUsed/>
    <w:qFormat/>
    <w:rsid w:val="0072282A"/>
    <w:pPr>
      <w:keepNext/>
      <w:keepLines/>
      <w:spacing w:before="200" w:after="240"/>
      <w:outlineLvl w:val="3"/>
    </w:pPr>
    <w:rPr>
      <w:rFonts w:eastAsiaTheme="majorEastAsia" w:cstheme="majorBidi"/>
      <w:bCs/>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282A"/>
    <w:rPr>
      <w:rFonts w:ascii="Tahoma" w:hAnsi="Tahoma" w:cs="Tahoma"/>
      <w:sz w:val="16"/>
      <w:szCs w:val="16"/>
    </w:rPr>
  </w:style>
  <w:style w:type="character" w:styleId="CommentReference">
    <w:name w:val="annotation reference"/>
    <w:basedOn w:val="DefaultParagraphFont"/>
    <w:uiPriority w:val="99"/>
    <w:semiHidden/>
    <w:unhideWhenUsed/>
    <w:qFormat/>
    <w:rsid w:val="0072282A"/>
    <w:rPr>
      <w:sz w:val="16"/>
      <w:szCs w:val="16"/>
    </w:rPr>
  </w:style>
  <w:style w:type="paragraph" w:styleId="CommentText">
    <w:name w:val="annotation text"/>
    <w:basedOn w:val="Normal"/>
    <w:link w:val="CommentTextChar"/>
    <w:uiPriority w:val="99"/>
    <w:unhideWhenUsed/>
    <w:qFormat/>
    <w:rsid w:val="0072282A"/>
    <w:rPr>
      <w:sz w:val="20"/>
      <w:szCs w:val="20"/>
      <w:lang w:val="en-US"/>
    </w:rPr>
  </w:style>
  <w:style w:type="paragraph" w:styleId="CommentSubject">
    <w:name w:val="annotation subject"/>
    <w:basedOn w:val="CommentText"/>
    <w:next w:val="CommentText"/>
    <w:link w:val="CommentSubjectChar"/>
    <w:uiPriority w:val="99"/>
    <w:semiHidden/>
    <w:unhideWhenUsed/>
    <w:qFormat/>
    <w:rsid w:val="0072282A"/>
    <w:rPr>
      <w:bCs/>
    </w:rPr>
  </w:style>
  <w:style w:type="character" w:styleId="Emphasis">
    <w:name w:val="Emphasis"/>
    <w:basedOn w:val="DefaultParagraphFont"/>
    <w:qFormat/>
    <w:rsid w:val="0072282A"/>
    <w:rPr>
      <w:rFonts w:ascii="Times New Roman" w:hAnsi="Times New Roman"/>
      <w:iCs/>
      <w:sz w:val="24"/>
    </w:rPr>
  </w:style>
  <w:style w:type="paragraph" w:styleId="Footer">
    <w:name w:val="footer"/>
    <w:basedOn w:val="Normal"/>
    <w:link w:val="FooterChar"/>
    <w:uiPriority w:val="99"/>
    <w:unhideWhenUsed/>
    <w:qFormat/>
    <w:rsid w:val="0072282A"/>
    <w:pPr>
      <w:tabs>
        <w:tab w:val="center" w:pos="4680"/>
        <w:tab w:val="right" w:pos="9360"/>
      </w:tabs>
    </w:pPr>
    <w:rPr>
      <w:lang w:val="en-US"/>
    </w:rPr>
  </w:style>
  <w:style w:type="character" w:styleId="FootnoteReference">
    <w:name w:val="footnote reference"/>
    <w:basedOn w:val="DefaultParagraphFont"/>
    <w:uiPriority w:val="99"/>
    <w:semiHidden/>
    <w:unhideWhenUsed/>
    <w:qFormat/>
    <w:rsid w:val="0072282A"/>
    <w:rPr>
      <w:vertAlign w:val="superscript"/>
    </w:rPr>
  </w:style>
  <w:style w:type="paragraph" w:styleId="FootnoteText">
    <w:name w:val="footnote text"/>
    <w:basedOn w:val="Normal"/>
    <w:link w:val="FootnoteTextChar"/>
    <w:uiPriority w:val="99"/>
    <w:semiHidden/>
    <w:unhideWhenUsed/>
    <w:qFormat/>
    <w:rsid w:val="0072282A"/>
    <w:rPr>
      <w:sz w:val="20"/>
      <w:szCs w:val="20"/>
      <w:lang w:val="en-US"/>
    </w:rPr>
  </w:style>
  <w:style w:type="paragraph" w:styleId="Header">
    <w:name w:val="header"/>
    <w:basedOn w:val="Normal"/>
    <w:link w:val="HeaderChar"/>
    <w:uiPriority w:val="99"/>
    <w:unhideWhenUsed/>
    <w:qFormat/>
    <w:rsid w:val="0072282A"/>
    <w:pPr>
      <w:tabs>
        <w:tab w:val="center" w:pos="4680"/>
        <w:tab w:val="right" w:pos="9360"/>
      </w:tabs>
    </w:pPr>
    <w:rPr>
      <w:lang w:val="en-US"/>
    </w:rPr>
  </w:style>
  <w:style w:type="character" w:styleId="Hyperlink">
    <w:name w:val="Hyperlink"/>
    <w:basedOn w:val="DefaultParagraphFont"/>
    <w:uiPriority w:val="99"/>
    <w:unhideWhenUsed/>
    <w:qFormat/>
    <w:rsid w:val="0072282A"/>
    <w:rPr>
      <w:color w:val="0000FF" w:themeColor="hyperlink"/>
      <w:u w:val="single"/>
    </w:rPr>
  </w:style>
  <w:style w:type="paragraph" w:styleId="NormalWeb">
    <w:name w:val="Normal (Web)"/>
    <w:basedOn w:val="Normal"/>
    <w:uiPriority w:val="99"/>
    <w:semiHidden/>
    <w:unhideWhenUsed/>
    <w:qFormat/>
    <w:rsid w:val="0072282A"/>
    <w:pPr>
      <w:spacing w:before="100" w:beforeAutospacing="1" w:after="100" w:afterAutospacing="1"/>
    </w:pPr>
    <w:rPr>
      <w:rFonts w:cs="Times New Roman"/>
      <w:b w:val="0"/>
      <w:lang w:val="en-US"/>
    </w:rPr>
  </w:style>
  <w:style w:type="character" w:styleId="Strong">
    <w:name w:val="Strong"/>
    <w:basedOn w:val="DefaultParagraphFont"/>
    <w:qFormat/>
    <w:rsid w:val="0072282A"/>
    <w:rPr>
      <w:rFonts w:ascii="Times New Roman" w:hAnsi="Times New Roman"/>
      <w:b/>
      <w:bCs/>
      <w:sz w:val="24"/>
    </w:rPr>
  </w:style>
  <w:style w:type="table" w:styleId="TableGrid">
    <w:name w:val="Table Grid"/>
    <w:basedOn w:val="TableNormal"/>
    <w:uiPriority w:val="59"/>
    <w:qFormat/>
    <w:rsid w:val="007228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72282A"/>
    <w:pPr>
      <w:spacing w:after="100"/>
    </w:pPr>
    <w:rPr>
      <w:lang w:val="en-US"/>
    </w:rPr>
  </w:style>
  <w:style w:type="paragraph" w:styleId="TOC2">
    <w:name w:val="toc 2"/>
    <w:basedOn w:val="Normal"/>
    <w:next w:val="Normal"/>
    <w:autoRedefine/>
    <w:uiPriority w:val="39"/>
    <w:unhideWhenUsed/>
    <w:qFormat/>
    <w:rsid w:val="0072282A"/>
    <w:pPr>
      <w:spacing w:after="100"/>
      <w:ind w:left="240"/>
    </w:pPr>
    <w:rPr>
      <w:lang w:val="en-US"/>
    </w:rPr>
  </w:style>
  <w:style w:type="paragraph" w:styleId="TOC3">
    <w:name w:val="toc 3"/>
    <w:basedOn w:val="Normal"/>
    <w:next w:val="Normal"/>
    <w:autoRedefine/>
    <w:uiPriority w:val="39"/>
    <w:unhideWhenUsed/>
    <w:qFormat/>
    <w:rsid w:val="0072282A"/>
    <w:pPr>
      <w:spacing w:after="100"/>
      <w:ind w:left="480"/>
    </w:pPr>
    <w:rPr>
      <w:lang w:val="en-US"/>
    </w:rPr>
  </w:style>
  <w:style w:type="character" w:customStyle="1" w:styleId="Heading2Char">
    <w:name w:val="Heading 2 Char"/>
    <w:basedOn w:val="DefaultParagraphFont"/>
    <w:link w:val="Heading2"/>
    <w:uiPriority w:val="9"/>
    <w:rsid w:val="0072282A"/>
    <w:rPr>
      <w:rFonts w:ascii="Times New Roman" w:eastAsiaTheme="majorEastAsia" w:hAnsi="Times New Roman" w:cstheme="majorBidi"/>
      <w:b/>
      <w:bCs/>
      <w:sz w:val="28"/>
      <w:szCs w:val="26"/>
      <w:lang w:val="en-GB"/>
    </w:rPr>
  </w:style>
  <w:style w:type="character" w:customStyle="1" w:styleId="Heading1Char">
    <w:name w:val="Heading 1 Char"/>
    <w:basedOn w:val="DefaultParagraphFont"/>
    <w:link w:val="Heading1"/>
    <w:uiPriority w:val="9"/>
    <w:rsid w:val="0072282A"/>
    <w:rPr>
      <w:rFonts w:ascii="Times New Roman" w:eastAsiaTheme="majorEastAsia" w:hAnsi="Times New Roman" w:cstheme="majorBidi"/>
      <w:b/>
      <w:bCs/>
      <w:sz w:val="32"/>
      <w:szCs w:val="28"/>
      <w:lang w:val="en-GB"/>
    </w:rPr>
  </w:style>
  <w:style w:type="character" w:customStyle="1" w:styleId="BalloonTextChar">
    <w:name w:val="Balloon Text Char"/>
    <w:basedOn w:val="DefaultParagraphFont"/>
    <w:link w:val="BalloonText"/>
    <w:uiPriority w:val="99"/>
    <w:semiHidden/>
    <w:qFormat/>
    <w:rsid w:val="0072282A"/>
    <w:rPr>
      <w:rFonts w:ascii="Tahoma" w:hAnsi="Tahoma" w:cs="Tahoma"/>
      <w:b/>
      <w:sz w:val="16"/>
      <w:szCs w:val="16"/>
      <w:lang w:val="en-GB"/>
    </w:rPr>
  </w:style>
  <w:style w:type="paragraph" w:customStyle="1" w:styleId="ng-star-inserted">
    <w:name w:val="ng-star-inserted"/>
    <w:basedOn w:val="Normal"/>
    <w:qFormat/>
    <w:rsid w:val="0072282A"/>
    <w:pPr>
      <w:spacing w:before="100" w:beforeAutospacing="1" w:after="100" w:afterAutospacing="1"/>
    </w:pPr>
    <w:rPr>
      <w:rFonts w:cs="Times New Roman"/>
      <w:b w:val="0"/>
      <w:lang w:val="en-US"/>
    </w:rPr>
  </w:style>
  <w:style w:type="character" w:customStyle="1" w:styleId="ng-star-inserted1">
    <w:name w:val="ng-star-inserted1"/>
    <w:basedOn w:val="DefaultParagraphFont"/>
    <w:qFormat/>
    <w:rsid w:val="0072282A"/>
  </w:style>
  <w:style w:type="character" w:customStyle="1" w:styleId="inline-code">
    <w:name w:val="inline-code"/>
    <w:basedOn w:val="DefaultParagraphFont"/>
    <w:qFormat/>
    <w:rsid w:val="0072282A"/>
  </w:style>
  <w:style w:type="character" w:customStyle="1" w:styleId="Heading3Char">
    <w:name w:val="Heading 3 Char"/>
    <w:basedOn w:val="DefaultParagraphFont"/>
    <w:link w:val="Heading3"/>
    <w:uiPriority w:val="9"/>
    <w:qFormat/>
    <w:rsid w:val="0072282A"/>
    <w:rPr>
      <w:rFonts w:ascii="Times New Roman" w:eastAsiaTheme="majorEastAsia" w:hAnsi="Times New Roman" w:cstheme="majorBidi"/>
      <w:b/>
      <w:bCs/>
      <w:sz w:val="24"/>
      <w:szCs w:val="24"/>
      <w:lang w:val="en-GB"/>
    </w:rPr>
  </w:style>
  <w:style w:type="character" w:customStyle="1" w:styleId="Heading4Char">
    <w:name w:val="Heading 4 Char"/>
    <w:basedOn w:val="DefaultParagraphFont"/>
    <w:link w:val="Heading4"/>
    <w:uiPriority w:val="9"/>
    <w:qFormat/>
    <w:rsid w:val="0072282A"/>
    <w:rPr>
      <w:rFonts w:ascii="Times New Roman" w:eastAsiaTheme="majorEastAsia" w:hAnsi="Times New Roman" w:cstheme="majorBidi"/>
      <w:b/>
      <w:bCs/>
      <w:iCs/>
      <w:sz w:val="24"/>
      <w:szCs w:val="24"/>
    </w:rPr>
  </w:style>
  <w:style w:type="paragraph" w:styleId="ListParagraph">
    <w:name w:val="List Paragraph"/>
    <w:basedOn w:val="Normal"/>
    <w:uiPriority w:val="34"/>
    <w:qFormat/>
    <w:rsid w:val="0072282A"/>
    <w:pPr>
      <w:ind w:left="720"/>
      <w:contextualSpacing/>
    </w:pPr>
    <w:rPr>
      <w:lang w:val="en-US"/>
    </w:rPr>
  </w:style>
  <w:style w:type="character" w:styleId="PlaceholderText">
    <w:name w:val="Placeholder Text"/>
    <w:basedOn w:val="DefaultParagraphFont"/>
    <w:uiPriority w:val="99"/>
    <w:semiHidden/>
    <w:qFormat/>
    <w:rsid w:val="0072282A"/>
    <w:rPr>
      <w:color w:val="808080"/>
    </w:rPr>
  </w:style>
  <w:style w:type="character" w:customStyle="1" w:styleId="HeaderChar">
    <w:name w:val="Header Char"/>
    <w:basedOn w:val="DefaultParagraphFont"/>
    <w:link w:val="Header"/>
    <w:uiPriority w:val="99"/>
    <w:qFormat/>
    <w:rsid w:val="0072282A"/>
    <w:rPr>
      <w:rFonts w:ascii="Times New Roman" w:hAnsi="Times New Roman" w:cs="Angsana New"/>
      <w:b/>
      <w:sz w:val="24"/>
      <w:szCs w:val="24"/>
    </w:rPr>
  </w:style>
  <w:style w:type="character" w:customStyle="1" w:styleId="FooterChar">
    <w:name w:val="Footer Char"/>
    <w:basedOn w:val="DefaultParagraphFont"/>
    <w:link w:val="Footer"/>
    <w:uiPriority w:val="99"/>
    <w:qFormat/>
    <w:rsid w:val="0072282A"/>
    <w:rPr>
      <w:rFonts w:ascii="Times New Roman" w:hAnsi="Times New Roman" w:cs="Angsana New"/>
      <w:b/>
      <w:sz w:val="24"/>
      <w:szCs w:val="24"/>
    </w:rPr>
  </w:style>
  <w:style w:type="paragraph" w:customStyle="1" w:styleId="TOCHeading1">
    <w:name w:val="TOC Heading1"/>
    <w:basedOn w:val="Heading1"/>
    <w:next w:val="Normal"/>
    <w:uiPriority w:val="39"/>
    <w:unhideWhenUsed/>
    <w:qFormat/>
    <w:rsid w:val="0072282A"/>
    <w:pPr>
      <w:spacing w:line="276" w:lineRule="auto"/>
      <w:jc w:val="left"/>
      <w:outlineLvl w:val="9"/>
    </w:pPr>
    <w:rPr>
      <w:rFonts w:asciiTheme="majorHAnsi" w:hAnsiTheme="majorHAnsi"/>
      <w:color w:val="365F91" w:themeColor="accent1" w:themeShade="BF"/>
      <w:sz w:val="28"/>
      <w:lang w:val="en-US" w:eastAsia="ja-JP"/>
    </w:rPr>
  </w:style>
  <w:style w:type="character" w:customStyle="1" w:styleId="CommentTextChar">
    <w:name w:val="Comment Text Char"/>
    <w:basedOn w:val="DefaultParagraphFont"/>
    <w:link w:val="CommentText"/>
    <w:uiPriority w:val="99"/>
    <w:qFormat/>
    <w:rsid w:val="0072282A"/>
    <w:rPr>
      <w:rFonts w:ascii="Times New Roman" w:hAnsi="Times New Roman" w:cs="Angsana New"/>
      <w:b/>
      <w:sz w:val="20"/>
      <w:szCs w:val="20"/>
    </w:rPr>
  </w:style>
  <w:style w:type="character" w:customStyle="1" w:styleId="CommentSubjectChar">
    <w:name w:val="Comment Subject Char"/>
    <w:basedOn w:val="CommentTextChar"/>
    <w:link w:val="CommentSubject"/>
    <w:uiPriority w:val="99"/>
    <w:semiHidden/>
    <w:qFormat/>
    <w:rsid w:val="0072282A"/>
    <w:rPr>
      <w:rFonts w:ascii="Times New Roman" w:hAnsi="Times New Roman" w:cs="Angsana New"/>
      <w:b/>
      <w:bCs/>
      <w:sz w:val="20"/>
      <w:szCs w:val="20"/>
    </w:rPr>
  </w:style>
  <w:style w:type="character" w:customStyle="1" w:styleId="FootnoteTextChar">
    <w:name w:val="Footnote Text Char"/>
    <w:basedOn w:val="DefaultParagraphFont"/>
    <w:link w:val="FootnoteText"/>
    <w:uiPriority w:val="99"/>
    <w:semiHidden/>
    <w:qFormat/>
    <w:rsid w:val="0072282A"/>
    <w:rPr>
      <w:rFonts w:ascii="Times New Roman" w:hAnsi="Times New Roman" w:cs="Angsana New"/>
      <w:b/>
      <w:sz w:val="20"/>
      <w:szCs w:val="20"/>
    </w:rPr>
  </w:style>
  <w:style w:type="paragraph" w:customStyle="1" w:styleId="Revision1">
    <w:name w:val="Revision1"/>
    <w:hidden/>
    <w:uiPriority w:val="99"/>
    <w:semiHidden/>
    <w:qFormat/>
    <w:rsid w:val="0072282A"/>
    <w:rPr>
      <w:rFonts w:ascii="Times New Roman" w:hAnsi="Times New Roman" w:cs="Angsana New"/>
      <w:b/>
      <w:sz w:val="24"/>
      <w:szCs w:val="24"/>
      <w:lang w:val="en-GB"/>
    </w:rPr>
  </w:style>
  <w:style w:type="table" w:customStyle="1" w:styleId="TableGridLight1">
    <w:name w:val="Table Grid Light1"/>
    <w:basedOn w:val="TableNormal"/>
    <w:next w:val="TableGridLight"/>
    <w:uiPriority w:val="40"/>
    <w:rsid w:val="00CD7161"/>
    <w:rPr>
      <w:rFonts w:ascii="Calibri" w:eastAsia="Calibri" w:hAnsi="Calibri" w:cs="Times New Roman"/>
      <w:sz w:val="22"/>
      <w:szCs w:val="22"/>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D71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8754">
      <w:bodyDiv w:val="1"/>
      <w:marLeft w:val="0"/>
      <w:marRight w:val="0"/>
      <w:marTop w:val="0"/>
      <w:marBottom w:val="0"/>
      <w:divBdr>
        <w:top w:val="none" w:sz="0" w:space="0" w:color="auto"/>
        <w:left w:val="none" w:sz="0" w:space="0" w:color="auto"/>
        <w:bottom w:val="none" w:sz="0" w:space="0" w:color="auto"/>
        <w:right w:val="none" w:sz="0" w:space="0" w:color="auto"/>
      </w:divBdr>
      <w:divsChild>
        <w:div w:id="1799491635">
          <w:marLeft w:val="0"/>
          <w:marRight w:val="0"/>
          <w:marTop w:val="0"/>
          <w:marBottom w:val="0"/>
          <w:divBdr>
            <w:top w:val="none" w:sz="0" w:space="0" w:color="auto"/>
            <w:left w:val="none" w:sz="0" w:space="0" w:color="auto"/>
            <w:bottom w:val="none" w:sz="0" w:space="0" w:color="auto"/>
            <w:right w:val="none" w:sz="0" w:space="0" w:color="auto"/>
          </w:divBdr>
        </w:div>
      </w:divsChild>
    </w:div>
    <w:div w:id="100997263">
      <w:bodyDiv w:val="1"/>
      <w:marLeft w:val="0"/>
      <w:marRight w:val="0"/>
      <w:marTop w:val="0"/>
      <w:marBottom w:val="0"/>
      <w:divBdr>
        <w:top w:val="none" w:sz="0" w:space="0" w:color="auto"/>
        <w:left w:val="none" w:sz="0" w:space="0" w:color="auto"/>
        <w:bottom w:val="none" w:sz="0" w:space="0" w:color="auto"/>
        <w:right w:val="none" w:sz="0" w:space="0" w:color="auto"/>
      </w:divBdr>
    </w:div>
    <w:div w:id="401101518">
      <w:bodyDiv w:val="1"/>
      <w:marLeft w:val="0"/>
      <w:marRight w:val="0"/>
      <w:marTop w:val="0"/>
      <w:marBottom w:val="0"/>
      <w:divBdr>
        <w:top w:val="none" w:sz="0" w:space="0" w:color="auto"/>
        <w:left w:val="none" w:sz="0" w:space="0" w:color="auto"/>
        <w:bottom w:val="none" w:sz="0" w:space="0" w:color="auto"/>
        <w:right w:val="none" w:sz="0" w:space="0" w:color="auto"/>
      </w:divBdr>
      <w:divsChild>
        <w:div w:id="1428889820">
          <w:marLeft w:val="0"/>
          <w:marRight w:val="0"/>
          <w:marTop w:val="0"/>
          <w:marBottom w:val="0"/>
          <w:divBdr>
            <w:top w:val="none" w:sz="0" w:space="0" w:color="auto"/>
            <w:left w:val="none" w:sz="0" w:space="0" w:color="auto"/>
            <w:bottom w:val="none" w:sz="0" w:space="0" w:color="auto"/>
            <w:right w:val="none" w:sz="0" w:space="0" w:color="auto"/>
          </w:divBdr>
        </w:div>
      </w:divsChild>
    </w:div>
    <w:div w:id="472215455">
      <w:bodyDiv w:val="1"/>
      <w:marLeft w:val="0"/>
      <w:marRight w:val="0"/>
      <w:marTop w:val="0"/>
      <w:marBottom w:val="0"/>
      <w:divBdr>
        <w:top w:val="none" w:sz="0" w:space="0" w:color="auto"/>
        <w:left w:val="none" w:sz="0" w:space="0" w:color="auto"/>
        <w:bottom w:val="none" w:sz="0" w:space="0" w:color="auto"/>
        <w:right w:val="none" w:sz="0" w:space="0" w:color="auto"/>
      </w:divBdr>
    </w:div>
    <w:div w:id="870922933">
      <w:bodyDiv w:val="1"/>
      <w:marLeft w:val="0"/>
      <w:marRight w:val="0"/>
      <w:marTop w:val="0"/>
      <w:marBottom w:val="0"/>
      <w:divBdr>
        <w:top w:val="none" w:sz="0" w:space="0" w:color="auto"/>
        <w:left w:val="none" w:sz="0" w:space="0" w:color="auto"/>
        <w:bottom w:val="none" w:sz="0" w:space="0" w:color="auto"/>
        <w:right w:val="none" w:sz="0" w:space="0" w:color="auto"/>
      </w:divBdr>
    </w:div>
    <w:div w:id="1060009465">
      <w:bodyDiv w:val="1"/>
      <w:marLeft w:val="0"/>
      <w:marRight w:val="0"/>
      <w:marTop w:val="0"/>
      <w:marBottom w:val="0"/>
      <w:divBdr>
        <w:top w:val="none" w:sz="0" w:space="0" w:color="auto"/>
        <w:left w:val="none" w:sz="0" w:space="0" w:color="auto"/>
        <w:bottom w:val="none" w:sz="0" w:space="0" w:color="auto"/>
        <w:right w:val="none" w:sz="0" w:space="0" w:color="auto"/>
      </w:divBdr>
    </w:div>
    <w:div w:id="1511288651">
      <w:bodyDiv w:val="1"/>
      <w:marLeft w:val="0"/>
      <w:marRight w:val="0"/>
      <w:marTop w:val="0"/>
      <w:marBottom w:val="0"/>
      <w:divBdr>
        <w:top w:val="none" w:sz="0" w:space="0" w:color="auto"/>
        <w:left w:val="none" w:sz="0" w:space="0" w:color="auto"/>
        <w:bottom w:val="none" w:sz="0" w:space="0" w:color="auto"/>
        <w:right w:val="none" w:sz="0" w:space="0" w:color="auto"/>
      </w:divBdr>
      <w:divsChild>
        <w:div w:id="1476725513">
          <w:marLeft w:val="0"/>
          <w:marRight w:val="0"/>
          <w:marTop w:val="0"/>
          <w:marBottom w:val="0"/>
          <w:divBdr>
            <w:top w:val="none" w:sz="0" w:space="0" w:color="auto"/>
            <w:left w:val="none" w:sz="0" w:space="0" w:color="auto"/>
            <w:bottom w:val="none" w:sz="0" w:space="0" w:color="auto"/>
            <w:right w:val="none" w:sz="0" w:space="0" w:color="auto"/>
          </w:divBdr>
        </w:div>
      </w:divsChild>
    </w:div>
    <w:div w:id="1937857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google.com/url?sa=E&amp;q=https%3A%2F%2Fdoi.org%2F10.4060%2Fcc3751en" TargetMode="External"/><Relationship Id="rId21" Type="http://schemas.openxmlformats.org/officeDocument/2006/relationships/hyperlink" Target="https://www.google.com/url?sa=E&amp;q=https%3A%2F%2Fdoi.org%2F10.1016%2Fj.worlddev.2023.106368" TargetMode="External"/><Relationship Id="rId42" Type="http://schemas.openxmlformats.org/officeDocument/2006/relationships/hyperlink" Target="https://www.google.com/url?sa=E&amp;q=https%3A%2F%2Fdoi.org%2F10.13043%2FDYS.73.7" TargetMode="External"/><Relationship Id="rId47" Type="http://schemas.openxmlformats.org/officeDocument/2006/relationships/hyperlink" Target="https://www.google.com/url?sa=E&amp;q=https%3A%2F%2Flabour.gov.tt%2Fresources%2Farticles%2Fworld-employment-and-social-outlook-2022-trends-report" TargetMode="External"/><Relationship Id="rId63" Type="http://schemas.openxmlformats.org/officeDocument/2006/relationships/hyperlink" Target="https://www.google.com/url?sa=E&amp;q=https%3A%2F%2Fdoi.org%2F10.36609%2Fbjpa.v26i2.21" TargetMode="External"/><Relationship Id="rId68" Type="http://schemas.openxmlformats.org/officeDocument/2006/relationships/hyperlink" Target="https://www.google.com/url?sa=E&amp;q=https%3A%2F%2Fwww.portugal.com%2Fscience%2Fclimate-change-impact-on-portugal%2F" TargetMode="External"/><Relationship Id="rId84" Type="http://schemas.openxmlformats.org/officeDocument/2006/relationships/image" Target="media/image6.emf"/><Relationship Id="rId89" Type="http://schemas.openxmlformats.org/officeDocument/2006/relationships/image" Target="media/image11.emf"/><Relationship Id="rId16" Type="http://schemas.openxmlformats.org/officeDocument/2006/relationships/hyperlink" Target="https://www.google.com/url?sa=E&amp;q=https%3A%2F%2Fdoi.org%2F10.1016%2Fj.rdf.2014.05.004" TargetMode="External"/><Relationship Id="rId11" Type="http://schemas.openxmlformats.org/officeDocument/2006/relationships/footer" Target="footer2.xml"/><Relationship Id="rId32" Type="http://schemas.openxmlformats.org/officeDocument/2006/relationships/hyperlink" Target="https://www.google.com/url?sa=E&amp;q=https%3A%2F%2Fdoi.org%2F10.26668%2Fbusinessreview%2F2023.v8i1.417" TargetMode="External"/><Relationship Id="rId37" Type="http://schemas.openxmlformats.org/officeDocument/2006/relationships/hyperlink" Target="https://www.google.com/url?sa=E&amp;q=http%3A%2F%2Fwww.wipo.int%2Famc%2Fen%2Fmediation%2Frules%250Awww.fao.org%2Fpir" TargetMode="External"/><Relationship Id="rId53" Type="http://schemas.openxmlformats.org/officeDocument/2006/relationships/hyperlink" Target="https://www.google.com/url?sa=E&amp;q=https%3A%2F%2Fdoi.org%2F10.33545%2F26633140.2023.v5.i1a.81" TargetMode="External"/><Relationship Id="rId58" Type="http://schemas.openxmlformats.org/officeDocument/2006/relationships/hyperlink" Target="https://www.google.com/url?sa=E&amp;q=https%3A%2F%2Fdoi.org%2F10.5897%2FJEIF2020.1048" TargetMode="External"/><Relationship Id="rId74" Type="http://schemas.openxmlformats.org/officeDocument/2006/relationships/hyperlink" Target="https://www.google.com/url?sa=E&amp;q=https%3A%2F%2Fdoi.org%2F10.3389%2Ffsufs.2024.1376051" TargetMode="External"/><Relationship Id="rId79" Type="http://schemas.openxmlformats.org/officeDocument/2006/relationships/hyperlink" Target="https://www.google.com/url?sa=E&amp;q=https%3A%2F%2Fdoi.org%2F10.3390%2Fagriculture11030192" TargetMode="External"/><Relationship Id="rId5" Type="http://schemas.openxmlformats.org/officeDocument/2006/relationships/settings" Target="settings.xml"/><Relationship Id="rId90" Type="http://schemas.openxmlformats.org/officeDocument/2006/relationships/fontTable" Target="fontTable.xml"/><Relationship Id="rId14" Type="http://schemas.openxmlformats.org/officeDocument/2006/relationships/hyperlink" Target="https://www.google.com/url?sa=E&amp;q=https%3A%2F%2Fdoi.org%2F10.1016%2Fj.worlddev.2016.03.003" TargetMode="External"/><Relationship Id="rId22" Type="http://schemas.openxmlformats.org/officeDocument/2006/relationships/hyperlink" Target="https://www.google.com/url?sa=E&amp;q=https%3A%2F%2Fdoi.org%2F10.1080%2F23322039.2024.2308670" TargetMode="External"/><Relationship Id="rId27" Type="http://schemas.openxmlformats.org/officeDocument/2006/relationships/hyperlink" Target="https://www.google.com/url?sa=E&amp;q=http%3A%2F%2Fdocuments1.worldbank.org%2Fcurated%2Fen%2F210171468024611636%2Fpdf%2F699430PUB0Publ067869B09780821395318.pdf" TargetMode="External"/><Relationship Id="rId30" Type="http://schemas.openxmlformats.org/officeDocument/2006/relationships/hyperlink" Target="https://www.google.com/url?sa=E&amp;q=https%3A%2F%2Fdoi.org%2F10.1111%2Fajae.12242" TargetMode="External"/><Relationship Id="rId35" Type="http://schemas.openxmlformats.org/officeDocument/2006/relationships/hyperlink" Target="https://www.google.com/url?sa=E&amp;q=https%3A%2F%2Fdoi.org%2F10.1016%2Fj.rineng.2023.101724" TargetMode="External"/><Relationship Id="rId43" Type="http://schemas.openxmlformats.org/officeDocument/2006/relationships/hyperlink" Target="https://www.google.com/url?sa=E&amp;q=http%3A%2F%2Fwww.eba.se" TargetMode="External"/><Relationship Id="rId48" Type="http://schemas.openxmlformats.org/officeDocument/2006/relationships/hyperlink" Target="https://www.google.com/url?sa=E&amp;q=https%3A%2F%2Fdoi.org%2F10.3390%2Fsu14020677" TargetMode="External"/><Relationship Id="rId56" Type="http://schemas.openxmlformats.org/officeDocument/2006/relationships/hyperlink" Target="https://www.google.com/url?sa=E&amp;q=http%3A%2F%2Farxiv.org%2Fabs%2F2412.03879" TargetMode="External"/><Relationship Id="rId64" Type="http://schemas.openxmlformats.org/officeDocument/2006/relationships/hyperlink" Target="https://www.google.com/url?sa=E&amp;q=https%3A%2F%2Fdoi.org%2F10.1186%2Fs13731-020-00140-6" TargetMode="External"/><Relationship Id="rId69" Type="http://schemas.openxmlformats.org/officeDocument/2006/relationships/hyperlink" Target="https://www.google.com/url?sa=E&amp;q=https%3A%2F%2Fdoi.org%2F10.1057%2Fpalcomms.2017.95" TargetMode="External"/><Relationship Id="rId77" Type="http://schemas.openxmlformats.org/officeDocument/2006/relationships/hyperlink" Target="https://www.google.com/url?sa=E&amp;q=https%3A%2F%2Fdoi.org%2F10.1016%2Fj.heliyon.2023.e13105" TargetMode="External"/><Relationship Id="rId8" Type="http://schemas.openxmlformats.org/officeDocument/2006/relationships/endnotes" Target="endnotes.xml"/><Relationship Id="rId51" Type="http://schemas.openxmlformats.org/officeDocument/2006/relationships/hyperlink" Target="https://www.google.com/url?sa=E&amp;q=https%3A%2F%2Fdoi.org%2F10.1080%2F07488008808408783" TargetMode="External"/><Relationship Id="rId72" Type="http://schemas.openxmlformats.org/officeDocument/2006/relationships/hyperlink" Target="https://www.google.com/url?sa=E&amp;q=https%3A%2F%2Fdoi.org%2F10.1016%2Fj.jafr.2024.101316" TargetMode="External"/><Relationship Id="rId80" Type="http://schemas.openxmlformats.org/officeDocument/2006/relationships/hyperlink" Target="https://www.google.com/url?sa=E&amp;q=https%3A%2F%2Fdoi.org%2F10.1080%2F23322039.2022.2035042" TargetMode="External"/><Relationship Id="rId85" Type="http://schemas.openxmlformats.org/officeDocument/2006/relationships/image" Target="media/image7.emf"/><Relationship Id="rId3" Type="http://schemas.openxmlformats.org/officeDocument/2006/relationships/numbering" Target="numbering.xml"/><Relationship Id="rId12" Type="http://schemas.openxmlformats.org/officeDocument/2006/relationships/image" Target="media/image2.jpeg"/><Relationship Id="rId17" Type="http://schemas.openxmlformats.org/officeDocument/2006/relationships/hyperlink" Target="https://www.google.com/url?sa=E&amp;q=https%3A%2F%2Fdoi.org%2F10.1111%2F1477-8947.12306" TargetMode="External"/><Relationship Id="rId25" Type="http://schemas.openxmlformats.org/officeDocument/2006/relationships/hyperlink" Target="https://www.google.com/url?sa=E&amp;q=https%3A%2F%2Fdoi.org%2F10.1111%2Ftwec.13352" TargetMode="External"/><Relationship Id="rId33" Type="http://schemas.openxmlformats.org/officeDocument/2006/relationships/hyperlink" Target="https://www.google.com/url?sa=E&amp;q=https%3A%2F%2Fdoi.org%2F10.4337%2F9781788973939.trade.and.development" TargetMode="External"/><Relationship Id="rId38" Type="http://schemas.openxmlformats.org/officeDocument/2006/relationships/hyperlink" Target="https://www.google.com/url?sa=E&amp;q=https%3A%2F%2Fdoi.org%2F10.1007%2Fs40803-016-0028-8" TargetMode="External"/><Relationship Id="rId46" Type="http://schemas.openxmlformats.org/officeDocument/2006/relationships/hyperlink" Target="https://www.google.com/url?sa=E&amp;q=https%3A%2F%2Fdoi.org%2F10.1016%2Fj.jrurstud.2024.103201" TargetMode="External"/><Relationship Id="rId59" Type="http://schemas.openxmlformats.org/officeDocument/2006/relationships/hyperlink" Target="https://www.google.com/url?sa=E&amp;q=https%3A%2F%2Fdoi.org%2F10.53555%2Fkuey.v30i5.3273" TargetMode="External"/><Relationship Id="rId67" Type="http://schemas.openxmlformats.org/officeDocument/2006/relationships/hyperlink" Target="https://www.google.com/url?sa=E&amp;q=https%3A%2F%2Fdoi.org%2F10.2478%2Feoik-2021-0008" TargetMode="External"/><Relationship Id="rId20" Type="http://schemas.openxmlformats.org/officeDocument/2006/relationships/hyperlink" Target="https://www.google.com/url?sa=E&amp;q=https%3A%2F%2Fdoi.org%2F10.1108%2FJED-10-2022-0213" TargetMode="External"/><Relationship Id="rId41" Type="http://schemas.openxmlformats.org/officeDocument/2006/relationships/hyperlink" Target="https://www.google.com/url?sa=E&amp;q=https%3A%2F%2Fdoi.org%2F10.3390%2Fcli11100202" TargetMode="External"/><Relationship Id="rId54" Type="http://schemas.openxmlformats.org/officeDocument/2006/relationships/hyperlink" Target="https://www.google.com/url?sa=E&amp;q=https%3A%2F%2Fdoi.org%2F10.1016%2F0022-1996(79)90017-5" TargetMode="External"/><Relationship Id="rId62" Type="http://schemas.openxmlformats.org/officeDocument/2006/relationships/hyperlink" Target="https://www.google.com/url?sa=E&amp;q=https%3A%2F%2Fdoi.org%2F10.1177%2F014920639101700113" TargetMode="External"/><Relationship Id="rId70" Type="http://schemas.openxmlformats.org/officeDocument/2006/relationships/hyperlink" Target="https://www.google.com/url?sa=E&amp;q=https%3A%2F%2Fdoi.org%2F10.1186%2F1744-8603-5-1" TargetMode="External"/><Relationship Id="rId75" Type="http://schemas.openxmlformats.org/officeDocument/2006/relationships/hyperlink" Target="https://www.google.com/url?sa=E&amp;q=https%3A%2F%2Felibrary.worldbank.org%2Fdoi%2Fabs%2F10.1596%2F33652" TargetMode="External"/><Relationship Id="rId83" Type="http://schemas.openxmlformats.org/officeDocument/2006/relationships/image" Target="media/image5.emf"/><Relationship Id="rId88" Type="http://schemas.openxmlformats.org/officeDocument/2006/relationships/image" Target="media/image10.emf"/><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google.com/url?sa=E&amp;q=https%3A%2F%2Fdoi.org%2F10.1007%2Fs10668-023-03168-2" TargetMode="External"/><Relationship Id="rId23" Type="http://schemas.openxmlformats.org/officeDocument/2006/relationships/hyperlink" Target="https://www.google.com/url?sa=E&amp;q=https%3A%2F%2Fdoi.org%2F10.1007%2Fs12571-021-01173-9" TargetMode="External"/><Relationship Id="rId28" Type="http://schemas.openxmlformats.org/officeDocument/2006/relationships/hyperlink" Target="https://www.google.com/url?sa=E&amp;q=https%3A%2F%2Fdoi.org%2F10.13140%2FRG.2.2.31566.72006" TargetMode="External"/><Relationship Id="rId36" Type="http://schemas.openxmlformats.org/officeDocument/2006/relationships/hyperlink" Target="https://www.google.com/url?sa=E&amp;q=https%3A%2F%2Fdoi.org%2F10.51594%2Fijarss.v6i7.1267" TargetMode="External"/><Relationship Id="rId49" Type="http://schemas.openxmlformats.org/officeDocument/2006/relationships/hyperlink" Target="https://www.google.com/url?sa=E&amp;q=https%3A%2F%2Fdoi.org%2F10.4324%2F9781315512891-13" TargetMode="External"/><Relationship Id="rId57" Type="http://schemas.openxmlformats.org/officeDocument/2006/relationships/hyperlink" Target="https://www.google.com/url?sa=E&amp;q=https%3A%2F%2Fdoi.org%2F10.3390%2Fsu16156496" TargetMode="External"/><Relationship Id="rId10" Type="http://schemas.openxmlformats.org/officeDocument/2006/relationships/footer" Target="footer1.xml"/><Relationship Id="rId31" Type="http://schemas.openxmlformats.org/officeDocument/2006/relationships/hyperlink" Target="https://www.google.com/url?sa=E&amp;q=https%3A%2F%2Fdoi.org%2F10.30657%2Fpea.2021.27.10" TargetMode="External"/><Relationship Id="rId44" Type="http://schemas.openxmlformats.org/officeDocument/2006/relationships/hyperlink" Target="https://www.google.com/url?sa=E&amp;q=https%3A%2F%2Fdoi.org%2F10.2760%2F6546" TargetMode="External"/><Relationship Id="rId52" Type="http://schemas.openxmlformats.org/officeDocument/2006/relationships/hyperlink" Target="https://www.google.com/url?sa=E&amp;q=https%3A%2F%2Fdoi.org%2F10.3389%2Ffagro.2024.1370878" TargetMode="External"/><Relationship Id="rId60" Type="http://schemas.openxmlformats.org/officeDocument/2006/relationships/hyperlink" Target="https://www.google.com/url?sa=E&amp;q=https%3A%2F%2Fdoi.org%2F10.1007%2F978-3-031-45635-0" TargetMode="External"/><Relationship Id="rId65" Type="http://schemas.openxmlformats.org/officeDocument/2006/relationships/hyperlink" Target="https://www.google.com/url?sa=E&amp;q=http%3A%2F%2Foll.libertyfund.org%2Findex.php%3Foption%3Dcom_staticxt%26staticfile%3Dshow.php%3Ftitle%3D113%26Itemid%3D28" TargetMode="External"/><Relationship Id="rId73" Type="http://schemas.openxmlformats.org/officeDocument/2006/relationships/hyperlink" Target="https://www.google.com/url?sa=E&amp;q=https%3A%2F%2Fdoi.org%2F10.1017%2Fs1355770x22000134" TargetMode="External"/><Relationship Id="rId78" Type="http://schemas.openxmlformats.org/officeDocument/2006/relationships/hyperlink" Target="https://www.google.com/url?sa=E&amp;q=https%3A%2F%2Fdoi.org%2F10.13140%2FRG.2.2.24164.18569" TargetMode="External"/><Relationship Id="rId81" Type="http://schemas.openxmlformats.org/officeDocument/2006/relationships/image" Target="media/image3.emf"/><Relationship Id="rId86" Type="http://schemas.openxmlformats.org/officeDocument/2006/relationships/image" Target="media/image8.emf"/><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hyperlink" Target="https://www.google.com/url?sa=E&amp;q=https%3A%2F%2Fdoi.org%2F10.13140%2FRG.2.2.24164.18569" TargetMode="External"/><Relationship Id="rId39" Type="http://schemas.openxmlformats.org/officeDocument/2006/relationships/hyperlink" Target="https://www.google.com/url?sa=E&amp;q=http%3A%2F%2Fwww.cbb.gov.bh" TargetMode="External"/><Relationship Id="rId34" Type="http://schemas.openxmlformats.org/officeDocument/2006/relationships/hyperlink" Target="https://www.google.com/url?sa=E&amp;q=https%3A%2F%2Fdoi.org%2F10.2139%2Fssrn.3828886" TargetMode="External"/><Relationship Id="rId50" Type="http://schemas.openxmlformats.org/officeDocument/2006/relationships/hyperlink" Target="https://www.google.com/url?sa=E&amp;q=https%3A%2F%2Fdoi.org%2F10.11648%2Fj.hep.20190401.12" TargetMode="External"/><Relationship Id="rId55" Type="http://schemas.openxmlformats.org/officeDocument/2006/relationships/hyperlink" Target="https://www.google.com/url?sa=E&amp;q=https%3A%2F%2Fdoi.org%2F10.3390%2Fsu14138183" TargetMode="External"/><Relationship Id="rId76" Type="http://schemas.openxmlformats.org/officeDocument/2006/relationships/hyperlink" Target="https://www.google.com/url?sa=E&amp;q=https%3A%2F%2Fwww.wto.org%2Fenglish%2Fres_e%2Fstatis_e%2Fits2015_e%2Fits2015_e.pdf" TargetMode="External"/><Relationship Id="rId7" Type="http://schemas.openxmlformats.org/officeDocument/2006/relationships/footnotes" Target="footnotes.xml"/><Relationship Id="rId71" Type="http://schemas.openxmlformats.org/officeDocument/2006/relationships/hyperlink" Target="https://www.google.com/url?sa=E&amp;q=https%3A%2F%2Fdoi.org%2F10.3390%2Feconomies10100261" TargetMode="External"/><Relationship Id="rId2" Type="http://schemas.openxmlformats.org/officeDocument/2006/relationships/customXml" Target="../customXml/item2.xml"/><Relationship Id="rId29" Type="http://schemas.openxmlformats.org/officeDocument/2006/relationships/hyperlink" Target="https://www.google.com/url?sa=E&amp;q=https%3A%2F%2Fdoi.org%2F10.5380%2Fre.v39i69.67891" TargetMode="External"/><Relationship Id="rId24" Type="http://schemas.openxmlformats.org/officeDocument/2006/relationships/hyperlink" Target="https://www.google.com/url?sa=E&amp;q=https%3A%2F%2Fdoi.org%2F10.1016%2Fj.forpol.2024.103267" TargetMode="External"/><Relationship Id="rId40" Type="http://schemas.openxmlformats.org/officeDocument/2006/relationships/hyperlink" Target="https://www.google.com/url?sa=E&amp;q=https%3A%2F%2Fdoi.org%2F10.1080%2F23322039.2021.2009089" TargetMode="External"/><Relationship Id="rId45" Type="http://schemas.openxmlformats.org/officeDocument/2006/relationships/hyperlink" Target="https://www.google.com/url?sa=E&amp;q=https%3A%2F%2Fdoi.org%2F10.3390%2Fsu16198480" TargetMode="External"/><Relationship Id="rId66" Type="http://schemas.openxmlformats.org/officeDocument/2006/relationships/hyperlink" Target="https://www.google.com/url?sa=E&amp;q=https%3A%2F%2Fdoi.org%2F10.31234%2Fosf.io%2Fz7ja2" TargetMode="External"/><Relationship Id="rId87" Type="http://schemas.openxmlformats.org/officeDocument/2006/relationships/image" Target="media/image9.emf"/><Relationship Id="rId61" Type="http://schemas.openxmlformats.org/officeDocument/2006/relationships/hyperlink" Target="https://www.google.com/url?sa=E&amp;q=https%3A%2F%2Fdoi.org%2F10.2139%2Fssrn.4894392" TargetMode="External"/><Relationship Id="rId82" Type="http://schemas.openxmlformats.org/officeDocument/2006/relationships/image" Target="media/image4.emf"/><Relationship Id="rId19" Type="http://schemas.openxmlformats.org/officeDocument/2006/relationships/hyperlink" Target="https://www.google.com/url?sa=E&amp;q=https%3A%2F%2Fdoi.org%2F10.5539%2Fjas.v11n10p88"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Descriptive</a:t>
            </a:r>
            <a:r>
              <a:rPr lang="en-US" baseline="0"/>
              <a:t> analysis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percentStacked"/>
        <c:varyColors val="0"/>
        <c:ser>
          <c:idx val="0"/>
          <c:order val="0"/>
          <c:tx>
            <c:strRef>
              <c:f>Sheet1!$A$32</c:f>
              <c:strCache>
                <c:ptCount val="1"/>
                <c:pt idx="0">
                  <c:v>Year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Sheet1!$A$33:$A$62</c:f>
              <c:numCache>
                <c:formatCode>General</c:formatCode>
                <c:ptCount val="30"/>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pt idx="13">
                  <c:v>2006</c:v>
                </c:pt>
                <c:pt idx="14">
                  <c:v>2007</c:v>
                </c:pt>
                <c:pt idx="15">
                  <c:v>2008</c:v>
                </c:pt>
                <c:pt idx="16">
                  <c:v>2009</c:v>
                </c:pt>
                <c:pt idx="17">
                  <c:v>2010</c:v>
                </c:pt>
                <c:pt idx="18">
                  <c:v>2011</c:v>
                </c:pt>
                <c:pt idx="19">
                  <c:v>2012</c:v>
                </c:pt>
                <c:pt idx="20">
                  <c:v>2013</c:v>
                </c:pt>
                <c:pt idx="21">
                  <c:v>2014</c:v>
                </c:pt>
                <c:pt idx="22">
                  <c:v>2015</c:v>
                </c:pt>
                <c:pt idx="23">
                  <c:v>2016</c:v>
                </c:pt>
                <c:pt idx="24">
                  <c:v>2017</c:v>
                </c:pt>
                <c:pt idx="25">
                  <c:v>2018</c:v>
                </c:pt>
                <c:pt idx="26">
                  <c:v>2019</c:v>
                </c:pt>
                <c:pt idx="27">
                  <c:v>2020</c:v>
                </c:pt>
                <c:pt idx="28">
                  <c:v>2021</c:v>
                </c:pt>
                <c:pt idx="29">
                  <c:v>2022</c:v>
                </c:pt>
              </c:numCache>
            </c:numRef>
          </c:val>
          <c:smooth val="0"/>
          <c:extLst>
            <c:ext xmlns:c16="http://schemas.microsoft.com/office/drawing/2014/chart" uri="{C3380CC4-5D6E-409C-BE32-E72D297353CC}">
              <c16:uniqueId val="{00000000-EEE5-472F-B4DE-00991C520B40}"/>
            </c:ext>
          </c:extLst>
        </c:ser>
        <c:ser>
          <c:idx val="1"/>
          <c:order val="1"/>
          <c:tx>
            <c:strRef>
              <c:f>Sheet1!$B$32</c:f>
              <c:strCache>
                <c:ptCount val="1"/>
                <c:pt idx="0">
                  <c:v>Agriemployment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Sheet1!$B$33:$B$62</c:f>
              <c:numCache>
                <c:formatCode>General</c:formatCode>
                <c:ptCount val="30"/>
                <c:pt idx="0">
                  <c:v>61.044427323555048</c:v>
                </c:pt>
                <c:pt idx="1">
                  <c:v>63.019294227099145</c:v>
                </c:pt>
                <c:pt idx="2">
                  <c:v>64.822456146180102</c:v>
                </c:pt>
                <c:pt idx="3">
                  <c:v>66.079699355336217</c:v>
                </c:pt>
                <c:pt idx="4">
                  <c:v>67.809693699904955</c:v>
                </c:pt>
                <c:pt idx="5">
                  <c:v>69.957096251009759</c:v>
                </c:pt>
                <c:pt idx="6">
                  <c:v>71.531272042856671</c:v>
                </c:pt>
                <c:pt idx="7">
                  <c:v>74.013258767475932</c:v>
                </c:pt>
                <c:pt idx="8">
                  <c:v>76.481608772909851</c:v>
                </c:pt>
                <c:pt idx="9">
                  <c:v>79.690702595614511</c:v>
                </c:pt>
                <c:pt idx="10">
                  <c:v>83.430936247299471</c:v>
                </c:pt>
                <c:pt idx="11">
                  <c:v>85.824595795875609</c:v>
                </c:pt>
                <c:pt idx="12">
                  <c:v>89.073734502076306</c:v>
                </c:pt>
                <c:pt idx="13">
                  <c:v>91.210788375423718</c:v>
                </c:pt>
                <c:pt idx="14">
                  <c:v>93.236325727920459</c:v>
                </c:pt>
                <c:pt idx="15">
                  <c:v>95.430072357677986</c:v>
                </c:pt>
                <c:pt idx="16">
                  <c:v>97.902783344374228</c:v>
                </c:pt>
                <c:pt idx="17">
                  <c:v>100</c:v>
                </c:pt>
                <c:pt idx="18">
                  <c:v>102.38916012346422</c:v>
                </c:pt>
                <c:pt idx="19">
                  <c:v>105.19403251630695</c:v>
                </c:pt>
                <c:pt idx="20">
                  <c:v>107.59032249802543</c:v>
                </c:pt>
                <c:pt idx="21">
                  <c:v>107.76683840626208</c:v>
                </c:pt>
                <c:pt idx="22">
                  <c:v>107.75849716432384</c:v>
                </c:pt>
                <c:pt idx="23">
                  <c:v>107.77774085941788</c:v>
                </c:pt>
                <c:pt idx="24">
                  <c:v>107.55235427227336</c:v>
                </c:pt>
                <c:pt idx="25">
                  <c:v>107.529441815165</c:v>
                </c:pt>
                <c:pt idx="26">
                  <c:v>107.00124391798862</c:v>
                </c:pt>
                <c:pt idx="27">
                  <c:v>105.08227371871948</c:v>
                </c:pt>
                <c:pt idx="28">
                  <c:v>105.43302121167441</c:v>
                </c:pt>
                <c:pt idx="29">
                  <c:v>108.49647210460263</c:v>
                </c:pt>
              </c:numCache>
            </c:numRef>
          </c:val>
          <c:smooth val="0"/>
          <c:extLst>
            <c:ext xmlns:c16="http://schemas.microsoft.com/office/drawing/2014/chart" uri="{C3380CC4-5D6E-409C-BE32-E72D297353CC}">
              <c16:uniqueId val="{00000001-EEE5-472F-B4DE-00991C520B40}"/>
            </c:ext>
          </c:extLst>
        </c:ser>
        <c:ser>
          <c:idx val="2"/>
          <c:order val="2"/>
          <c:tx>
            <c:strRef>
              <c:f>Sheet1!$C$32</c:f>
              <c:strCache>
                <c:ptCount val="1"/>
                <c:pt idx="0">
                  <c:v>ConsumerPriceIndex</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Sheet1!$C$33:$C$62</c:f>
              <c:numCache>
                <c:formatCode>General</c:formatCode>
                <c:ptCount val="30"/>
                <c:pt idx="0">
                  <c:v>30.9041</c:v>
                </c:pt>
                <c:pt idx="1">
                  <c:v>33.250909729999997</c:v>
                </c:pt>
                <c:pt idx="2">
                  <c:v>36.583373539999997</c:v>
                </c:pt>
                <c:pt idx="3">
                  <c:v>33.479549149999997</c:v>
                </c:pt>
                <c:pt idx="4">
                  <c:v>34.281454519999997</c:v>
                </c:pt>
                <c:pt idx="5">
                  <c:v>34.588205559999999</c:v>
                </c:pt>
                <c:pt idx="6">
                  <c:v>37.335010140000001</c:v>
                </c:pt>
                <c:pt idx="7">
                  <c:v>37.58233894</c:v>
                </c:pt>
                <c:pt idx="8">
                  <c:v>34.486364289999997</c:v>
                </c:pt>
                <c:pt idx="9">
                  <c:v>34.719177969999997</c:v>
                </c:pt>
                <c:pt idx="10">
                  <c:v>39.466694060000002</c:v>
                </c:pt>
                <c:pt idx="11">
                  <c:v>40.77989719</c:v>
                </c:pt>
                <c:pt idx="12">
                  <c:v>44.845641209999997</c:v>
                </c:pt>
                <c:pt idx="13">
                  <c:v>50.36142023</c:v>
                </c:pt>
                <c:pt idx="14">
                  <c:v>59.043930940000003</c:v>
                </c:pt>
                <c:pt idx="15">
                  <c:v>85.233861910000002</c:v>
                </c:pt>
                <c:pt idx="16">
                  <c:v>92.464799369999994</c:v>
                </c:pt>
                <c:pt idx="17">
                  <c:v>100</c:v>
                </c:pt>
                <c:pt idx="18">
                  <c:v>133.24995989999999</c:v>
                </c:pt>
                <c:pt idx="19">
                  <c:v>164.697507</c:v>
                </c:pt>
                <c:pt idx="20">
                  <c:v>176.990565</c:v>
                </c:pt>
                <c:pt idx="21">
                  <c:v>189.1852495</c:v>
                </c:pt>
                <c:pt idx="22">
                  <c:v>207.28819600000003</c:v>
                </c:pt>
                <c:pt idx="23">
                  <c:v>221.0275341</c:v>
                </c:pt>
                <c:pt idx="24">
                  <c:v>244.6490009</c:v>
                </c:pt>
                <c:pt idx="25">
                  <c:v>278.49138440000002</c:v>
                </c:pt>
                <c:pt idx="26">
                  <c:v>322.5198479</c:v>
                </c:pt>
                <c:pt idx="27">
                  <c:v>388.17310680000003</c:v>
                </c:pt>
                <c:pt idx="28">
                  <c:v>492.35691389999994</c:v>
                </c:pt>
                <c:pt idx="29">
                  <c:v>659.21607970000002</c:v>
                </c:pt>
              </c:numCache>
            </c:numRef>
          </c:val>
          <c:smooth val="0"/>
          <c:extLst>
            <c:ext xmlns:c16="http://schemas.microsoft.com/office/drawing/2014/chart" uri="{C3380CC4-5D6E-409C-BE32-E72D297353CC}">
              <c16:uniqueId val="{00000002-EEE5-472F-B4DE-00991C520B40}"/>
            </c:ext>
          </c:extLst>
        </c:ser>
        <c:ser>
          <c:idx val="3"/>
          <c:order val="3"/>
          <c:tx>
            <c:strRef>
              <c:f>Sheet1!$D$32</c:f>
              <c:strCache>
                <c:ptCount val="1"/>
                <c:pt idx="0">
                  <c:v>Excahngerate</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Sheet1!$D$33:$D$62</c:f>
              <c:numCache>
                <c:formatCode>General</c:formatCode>
                <c:ptCount val="30"/>
                <c:pt idx="0">
                  <c:v>32.338759642678447</c:v>
                </c:pt>
                <c:pt idx="1">
                  <c:v>36.441511702723119</c:v>
                </c:pt>
                <c:pt idx="2">
                  <c:v>37.585597649297284</c:v>
                </c:pt>
                <c:pt idx="3">
                  <c:v>39.702065421723795</c:v>
                </c:pt>
                <c:pt idx="4">
                  <c:v>42.107895557222264</c:v>
                </c:pt>
                <c:pt idx="5">
                  <c:v>46.99771523733996</c:v>
                </c:pt>
                <c:pt idx="6">
                  <c:v>48.625058033427919</c:v>
                </c:pt>
                <c:pt idx="7">
                  <c:v>50.046622177322753</c:v>
                </c:pt>
                <c:pt idx="8">
                  <c:v>50.699068239443413</c:v>
                </c:pt>
                <c:pt idx="9">
                  <c:v>50.888031529558077</c:v>
                </c:pt>
                <c:pt idx="10">
                  <c:v>51.100467297384633</c:v>
                </c:pt>
                <c:pt idx="11">
                  <c:v>51.283069355243647</c:v>
                </c:pt>
                <c:pt idx="12">
                  <c:v>51.473457757984285</c:v>
                </c:pt>
                <c:pt idx="13">
                  <c:v>53.055389207369217</c:v>
                </c:pt>
                <c:pt idx="14">
                  <c:v>56.805807575648359</c:v>
                </c:pt>
                <c:pt idx="15">
                  <c:v>69.693131728420681</c:v>
                </c:pt>
                <c:pt idx="16">
                  <c:v>85.267751402594442</c:v>
                </c:pt>
                <c:pt idx="17">
                  <c:v>100</c:v>
                </c:pt>
                <c:pt idx="18">
                  <c:v>104.7667013355528</c:v>
                </c:pt>
                <c:pt idx="19">
                  <c:v>110.22178900106015</c:v>
                </c:pt>
                <c:pt idx="20">
                  <c:v>115.89755760502958</c:v>
                </c:pt>
                <c:pt idx="21">
                  <c:v>121.76207976761179</c:v>
                </c:pt>
                <c:pt idx="22">
                  <c:v>128.59492812645874</c:v>
                </c:pt>
                <c:pt idx="23">
                  <c:v>141.2260230080505</c:v>
                </c:pt>
                <c:pt idx="24">
                  <c:v>162.31149864229047</c:v>
                </c:pt>
                <c:pt idx="25">
                  <c:v>172.01823570407169</c:v>
                </c:pt>
                <c:pt idx="26">
                  <c:v>206.67908634413084</c:v>
                </c:pt>
                <c:pt idx="27">
                  <c:v>258.79160939737631</c:v>
                </c:pt>
                <c:pt idx="28">
                  <c:v>306.26382394692621</c:v>
                </c:pt>
                <c:pt idx="29">
                  <c:v>323.0973350225247</c:v>
                </c:pt>
              </c:numCache>
            </c:numRef>
          </c:val>
          <c:smooth val="0"/>
          <c:extLst>
            <c:ext xmlns:c16="http://schemas.microsoft.com/office/drawing/2014/chart" uri="{C3380CC4-5D6E-409C-BE32-E72D297353CC}">
              <c16:uniqueId val="{00000003-EEE5-472F-B4DE-00991C520B40}"/>
            </c:ext>
          </c:extLst>
        </c:ser>
        <c:ser>
          <c:idx val="4"/>
          <c:order val="4"/>
          <c:tx>
            <c:strRef>
              <c:f>Sheet1!$E$32</c:f>
              <c:strCache>
                <c:ptCount val="1"/>
                <c:pt idx="0">
                  <c:v>FDI</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Sheet1!$E$33:$E$62</c:f>
              <c:numCache>
                <c:formatCode>General</c:formatCode>
                <c:ptCount val="30"/>
                <c:pt idx="0">
                  <c:v>1.2140131807145336</c:v>
                </c:pt>
                <c:pt idx="1">
                  <c:v>5.969476240027749</c:v>
                </c:pt>
                <c:pt idx="2">
                  <c:v>4.9046132500867152</c:v>
                </c:pt>
                <c:pt idx="3">
                  <c:v>7.6066597294484906</c:v>
                </c:pt>
                <c:pt idx="4">
                  <c:v>100.06937218175511</c:v>
                </c:pt>
                <c:pt idx="5">
                  <c:v>90.426638917793966</c:v>
                </c:pt>
                <c:pt idx="6">
                  <c:v>24.273326396115159</c:v>
                </c:pt>
                <c:pt idx="7">
                  <c:v>46.687478321193204</c:v>
                </c:pt>
                <c:pt idx="8">
                  <c:v>121.19320152618801</c:v>
                </c:pt>
                <c:pt idx="9">
                  <c:v>88.449531737773157</c:v>
                </c:pt>
                <c:pt idx="10">
                  <c:v>161.29032258064515</c:v>
                </c:pt>
                <c:pt idx="11">
                  <c:v>189.07388137356921</c:v>
                </c:pt>
                <c:pt idx="12">
                  <c:v>91.952826916406522</c:v>
                </c:pt>
                <c:pt idx="13">
                  <c:v>189.14325355532432</c:v>
                </c:pt>
                <c:pt idx="14">
                  <c:v>77.003121748178984</c:v>
                </c:pt>
                <c:pt idx="15">
                  <c:v>37.634408602150536</c:v>
                </c:pt>
                <c:pt idx="16">
                  <c:v>76.829691293791186</c:v>
                </c:pt>
                <c:pt idx="17">
                  <c:v>100</c:v>
                </c:pt>
                <c:pt idx="18">
                  <c:v>218.03676725633022</c:v>
                </c:pt>
                <c:pt idx="19">
                  <c:v>96.635449184876862</c:v>
                </c:pt>
                <c:pt idx="20">
                  <c:v>466.18106139438089</c:v>
                </c:pt>
                <c:pt idx="21">
                  <c:v>643.42698577870271</c:v>
                </c:pt>
                <c:pt idx="22">
                  <c:v>911.20360735345139</c:v>
                </c:pt>
                <c:pt idx="23">
                  <c:v>1437.0447450572321</c:v>
                </c:pt>
                <c:pt idx="24">
                  <c:v>1393.3402705515089</c:v>
                </c:pt>
                <c:pt idx="25">
                  <c:v>1165.4526534859522</c:v>
                </c:pt>
                <c:pt idx="26">
                  <c:v>884.14845646895606</c:v>
                </c:pt>
                <c:pt idx="27">
                  <c:v>831.07873742629204</c:v>
                </c:pt>
                <c:pt idx="28">
                  <c:v>1477.2806104751994</c:v>
                </c:pt>
                <c:pt idx="29">
                  <c:v>1272.9795352063823</c:v>
                </c:pt>
              </c:numCache>
            </c:numRef>
          </c:val>
          <c:smooth val="0"/>
          <c:extLst>
            <c:ext xmlns:c16="http://schemas.microsoft.com/office/drawing/2014/chart" uri="{C3380CC4-5D6E-409C-BE32-E72D297353CC}">
              <c16:uniqueId val="{00000004-EEE5-472F-B4DE-00991C520B40}"/>
            </c:ext>
          </c:extLst>
        </c:ser>
        <c:ser>
          <c:idx val="5"/>
          <c:order val="5"/>
          <c:tx>
            <c:strRef>
              <c:f>Sheet1!$F$32</c:f>
              <c:strCache>
                <c:ptCount val="1"/>
                <c:pt idx="0">
                  <c:v>GDP</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Sheet1!$F$33:$F$62</c:f>
              <c:numCache>
                <c:formatCode>General</c:formatCode>
                <c:ptCount val="30"/>
                <c:pt idx="0">
                  <c:v>30.23687868802261</c:v>
                </c:pt>
                <c:pt idx="1">
                  <c:v>23.721709394693523</c:v>
                </c:pt>
                <c:pt idx="2">
                  <c:v>26.241933010141054</c:v>
                </c:pt>
                <c:pt idx="3">
                  <c:v>29.268647406923158</c:v>
                </c:pt>
                <c:pt idx="4">
                  <c:v>29.410040927000647</c:v>
                </c:pt>
                <c:pt idx="5">
                  <c:v>26.769994852619288</c:v>
                </c:pt>
                <c:pt idx="6">
                  <c:v>26.368105888498761</c:v>
                </c:pt>
                <c:pt idx="7">
                  <c:v>27.535268757487419</c:v>
                </c:pt>
                <c:pt idx="8">
                  <c:v>27.498442143598112</c:v>
                </c:pt>
                <c:pt idx="9">
                  <c:v>26.227248238460199</c:v>
                </c:pt>
                <c:pt idx="10">
                  <c:v>28.809219292710775</c:v>
                </c:pt>
                <c:pt idx="11">
                  <c:v>33.845320449842895</c:v>
                </c:pt>
                <c:pt idx="12">
                  <c:v>41.428563892045844</c:v>
                </c:pt>
                <c:pt idx="13">
                  <c:v>51.048870403395952</c:v>
                </c:pt>
                <c:pt idx="14">
                  <c:v>65.8373582251958</c:v>
                </c:pt>
                <c:pt idx="15">
                  <c:v>90.422603796252645</c:v>
                </c:pt>
                <c:pt idx="16">
                  <c:v>108.36378805935558</c:v>
                </c:pt>
                <c:pt idx="17">
                  <c:v>100</c:v>
                </c:pt>
                <c:pt idx="18">
                  <c:v>106.74479487040421</c:v>
                </c:pt>
                <c:pt idx="19">
                  <c:v>144.68839706007526</c:v>
                </c:pt>
                <c:pt idx="20">
                  <c:v>159.17889473003837</c:v>
                </c:pt>
                <c:pt idx="21">
                  <c:v>185.78411758873139</c:v>
                </c:pt>
                <c:pt idx="22">
                  <c:v>215.77397258807767</c:v>
                </c:pt>
                <c:pt idx="23">
                  <c:v>248.2036712767692</c:v>
                </c:pt>
                <c:pt idx="24">
                  <c:v>273.17250583613884</c:v>
                </c:pt>
                <c:pt idx="25">
                  <c:v>281.518577886998</c:v>
                </c:pt>
                <c:pt idx="26">
                  <c:v>320.41588845507016</c:v>
                </c:pt>
                <c:pt idx="27">
                  <c:v>359.65285792973634</c:v>
                </c:pt>
                <c:pt idx="28">
                  <c:v>371.69328516749096</c:v>
                </c:pt>
                <c:pt idx="29">
                  <c:v>423.51037551665638</c:v>
                </c:pt>
              </c:numCache>
            </c:numRef>
          </c:val>
          <c:smooth val="0"/>
          <c:extLst>
            <c:ext xmlns:c16="http://schemas.microsoft.com/office/drawing/2014/chart" uri="{C3380CC4-5D6E-409C-BE32-E72D297353CC}">
              <c16:uniqueId val="{00000005-EEE5-472F-B4DE-00991C520B40}"/>
            </c:ext>
          </c:extLst>
        </c:ser>
        <c:ser>
          <c:idx val="6"/>
          <c:order val="6"/>
          <c:tx>
            <c:strRef>
              <c:f>Sheet1!$G$32</c:f>
              <c:strCache>
                <c:ptCount val="1"/>
                <c:pt idx="0">
                  <c:v>Gross_nationalsavings</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val>
            <c:numRef>
              <c:f>Sheet1!$G$33:$G$62</c:f>
              <c:numCache>
                <c:formatCode>General</c:formatCode>
                <c:ptCount val="30"/>
                <c:pt idx="0">
                  <c:v>6.2950787739143088</c:v>
                </c:pt>
                <c:pt idx="1">
                  <c:v>7.1208146202136415</c:v>
                </c:pt>
                <c:pt idx="2">
                  <c:v>9.4856694515996924</c:v>
                </c:pt>
                <c:pt idx="3">
                  <c:v>12.373569399613054</c:v>
                </c:pt>
                <c:pt idx="4">
                  <c:v>14.235844254303235</c:v>
                </c:pt>
                <c:pt idx="5">
                  <c:v>14.598632554832088</c:v>
                </c:pt>
                <c:pt idx="6">
                  <c:v>15.995531849173625</c:v>
                </c:pt>
                <c:pt idx="7">
                  <c:v>19.189184011315948</c:v>
                </c:pt>
                <c:pt idx="8">
                  <c:v>22.254314759034497</c:v>
                </c:pt>
                <c:pt idx="9">
                  <c:v>17.088234708655463</c:v>
                </c:pt>
                <c:pt idx="10">
                  <c:v>20.123901696250147</c:v>
                </c:pt>
                <c:pt idx="11">
                  <c:v>34.981722821870804</c:v>
                </c:pt>
                <c:pt idx="12">
                  <c:v>33.782269012970175</c:v>
                </c:pt>
                <c:pt idx="13">
                  <c:v>27.878783261139876</c:v>
                </c:pt>
                <c:pt idx="14">
                  <c:v>44.642436532422522</c:v>
                </c:pt>
                <c:pt idx="15">
                  <c:v>70.589634438033528</c:v>
                </c:pt>
                <c:pt idx="16">
                  <c:v>72.029293530841258</c:v>
                </c:pt>
                <c:pt idx="17">
                  <c:v>100</c:v>
                </c:pt>
                <c:pt idx="18">
                  <c:v>146.57375083588389</c:v>
                </c:pt>
                <c:pt idx="19">
                  <c:v>190.25083478558136</c:v>
                </c:pt>
                <c:pt idx="20">
                  <c:v>190.21746682933141</c:v>
                </c:pt>
                <c:pt idx="21">
                  <c:v>240.16137718930653</c:v>
                </c:pt>
                <c:pt idx="22">
                  <c:v>288.94897048923178</c:v>
                </c:pt>
                <c:pt idx="23">
                  <c:v>320.70446759382457</c:v>
                </c:pt>
                <c:pt idx="24">
                  <c:v>347.42120028616586</c:v>
                </c:pt>
                <c:pt idx="25">
                  <c:v>388.2726911499139</c:v>
                </c:pt>
                <c:pt idx="26">
                  <c:v>407.40041856356237</c:v>
                </c:pt>
                <c:pt idx="27">
                  <c:v>421.49295746761686</c:v>
                </c:pt>
                <c:pt idx="28">
                  <c:v>398.71260055975262</c:v>
                </c:pt>
                <c:pt idx="29">
                  <c:v>384.25677744927674</c:v>
                </c:pt>
              </c:numCache>
            </c:numRef>
          </c:val>
          <c:smooth val="0"/>
          <c:extLst>
            <c:ext xmlns:c16="http://schemas.microsoft.com/office/drawing/2014/chart" uri="{C3380CC4-5D6E-409C-BE32-E72D297353CC}">
              <c16:uniqueId val="{00000006-EEE5-472F-B4DE-00991C520B40}"/>
            </c:ext>
          </c:extLst>
        </c:ser>
        <c:ser>
          <c:idx val="7"/>
          <c:order val="7"/>
          <c:tx>
            <c:strRef>
              <c:f>Sheet1!$H$32</c:f>
              <c:strCache>
                <c:ptCount val="1"/>
                <c:pt idx="0">
                  <c:v>Indirect_tax_revenue</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val>
            <c:numRef>
              <c:f>Sheet1!$H$33:$H$62</c:f>
              <c:numCache>
                <c:formatCode>General</c:formatCode>
                <c:ptCount val="30"/>
                <c:pt idx="0">
                  <c:v>12.702421897391803</c:v>
                </c:pt>
                <c:pt idx="1">
                  <c:v>13.825594726282603</c:v>
                </c:pt>
                <c:pt idx="2">
                  <c:v>15.389438234451132</c:v>
                </c:pt>
                <c:pt idx="3">
                  <c:v>18.862854686156492</c:v>
                </c:pt>
                <c:pt idx="4">
                  <c:v>26.651619375179138</c:v>
                </c:pt>
                <c:pt idx="5">
                  <c:v>28.419676124964173</c:v>
                </c:pt>
                <c:pt idx="6">
                  <c:v>27.966466036113502</c:v>
                </c:pt>
                <c:pt idx="7">
                  <c:v>23.634100028661507</c:v>
                </c:pt>
                <c:pt idx="8">
                  <c:v>19.301734021209516</c:v>
                </c:pt>
                <c:pt idx="9">
                  <c:v>22.347082294353683</c:v>
                </c:pt>
                <c:pt idx="10">
                  <c:v>25.034035540269418</c:v>
                </c:pt>
                <c:pt idx="11">
                  <c:v>29.123674405273718</c:v>
                </c:pt>
                <c:pt idx="12">
                  <c:v>32.552307251361427</c:v>
                </c:pt>
                <c:pt idx="13">
                  <c:v>41.67383204356549</c:v>
                </c:pt>
                <c:pt idx="14">
                  <c:v>47.601390083118375</c:v>
                </c:pt>
                <c:pt idx="15">
                  <c:v>82.967899111493253</c:v>
                </c:pt>
                <c:pt idx="16">
                  <c:v>93.142734307824597</c:v>
                </c:pt>
                <c:pt idx="17">
                  <c:v>100</c:v>
                </c:pt>
                <c:pt idx="18">
                  <c:v>215.83422900544568</c:v>
                </c:pt>
                <c:pt idx="19">
                  <c:v>340.03985829822295</c:v>
                </c:pt>
                <c:pt idx="20">
                  <c:v>344.7570050462167</c:v>
                </c:pt>
                <c:pt idx="21">
                  <c:v>782.94671458673679</c:v>
                </c:pt>
                <c:pt idx="22">
                  <c:v>898.54662661292627</c:v>
                </c:pt>
                <c:pt idx="23">
                  <c:v>1026.3980713202207</c:v>
                </c:pt>
                <c:pt idx="24">
                  <c:v>1122.2417790265836</c:v>
                </c:pt>
                <c:pt idx="25">
                  <c:v>1220.6110559992117</c:v>
                </c:pt>
                <c:pt idx="26">
                  <c:v>1451.5814144326812</c:v>
                </c:pt>
                <c:pt idx="27">
                  <c:v>1635.5808890950129</c:v>
                </c:pt>
                <c:pt idx="28">
                  <c:v>1598.64821018003</c:v>
                </c:pt>
                <c:pt idx="29">
                  <c:v>1962.1238177128116</c:v>
                </c:pt>
              </c:numCache>
            </c:numRef>
          </c:val>
          <c:smooth val="0"/>
          <c:extLst>
            <c:ext xmlns:c16="http://schemas.microsoft.com/office/drawing/2014/chart" uri="{C3380CC4-5D6E-409C-BE32-E72D297353CC}">
              <c16:uniqueId val="{00000007-EEE5-472F-B4DE-00991C520B40}"/>
            </c:ext>
          </c:extLst>
        </c:ser>
        <c:ser>
          <c:idx val="8"/>
          <c:order val="8"/>
          <c:tx>
            <c:strRef>
              <c:f>Sheet1!$I$32</c:f>
              <c:strCache>
                <c:ptCount val="1"/>
                <c:pt idx="0">
                  <c:v>corrpution control</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val>
            <c:numRef>
              <c:f>Sheet1!$I$33:$I$62</c:f>
              <c:numCache>
                <c:formatCode>General</c:formatCode>
                <c:ptCount val="30"/>
                <c:pt idx="0">
                  <c:v>140.46790732534541</c:v>
                </c:pt>
                <c:pt idx="1">
                  <c:v>138.3068625972632</c:v>
                </c:pt>
                <c:pt idx="2">
                  <c:v>136.14581786918095</c:v>
                </c:pt>
                <c:pt idx="3">
                  <c:v>134.06343310881763</c:v>
                </c:pt>
                <c:pt idx="4">
                  <c:v>131.82372841301648</c:v>
                </c:pt>
                <c:pt idx="5">
                  <c:v>130.12425192431022</c:v>
                </c:pt>
                <c:pt idx="6">
                  <c:v>130.38303192762834</c:v>
                </c:pt>
                <c:pt idx="7">
                  <c:v>130.63621340684912</c:v>
                </c:pt>
                <c:pt idx="8">
                  <c:v>117.41676355913488</c:v>
                </c:pt>
                <c:pt idx="9">
                  <c:v>103.4289113843527</c:v>
                </c:pt>
                <c:pt idx="10">
                  <c:v>112.00149898516234</c:v>
                </c:pt>
                <c:pt idx="11">
                  <c:v>109.13182173068212</c:v>
                </c:pt>
                <c:pt idx="12">
                  <c:v>111.29501120288752</c:v>
                </c:pt>
                <c:pt idx="13">
                  <c:v>93.660355861275818</c:v>
                </c:pt>
                <c:pt idx="14">
                  <c:v>91.078797019753679</c:v>
                </c:pt>
                <c:pt idx="15">
                  <c:v>96.007981649453839</c:v>
                </c:pt>
                <c:pt idx="16">
                  <c:v>101.52910054363981</c:v>
                </c:pt>
                <c:pt idx="17">
                  <c:v>100</c:v>
                </c:pt>
                <c:pt idx="18">
                  <c:v>96.220747204945695</c:v>
                </c:pt>
                <c:pt idx="19">
                  <c:v>87.678893265317996</c:v>
                </c:pt>
                <c:pt idx="20">
                  <c:v>72.281243140957926</c:v>
                </c:pt>
                <c:pt idx="21">
                  <c:v>64.567102771508246</c:v>
                </c:pt>
                <c:pt idx="22">
                  <c:v>68.594221384720228</c:v>
                </c:pt>
                <c:pt idx="23">
                  <c:v>63.691253538364123</c:v>
                </c:pt>
                <c:pt idx="24">
                  <c:v>83.894934673580877</c:v>
                </c:pt>
                <c:pt idx="25">
                  <c:v>72.800976057799531</c:v>
                </c:pt>
                <c:pt idx="26">
                  <c:v>62.598091816619593</c:v>
                </c:pt>
                <c:pt idx="27">
                  <c:v>56.139961213243659</c:v>
                </c:pt>
                <c:pt idx="28">
                  <c:v>60.800524713504586</c:v>
                </c:pt>
                <c:pt idx="29">
                  <c:v>62.419464755128615</c:v>
                </c:pt>
              </c:numCache>
            </c:numRef>
          </c:val>
          <c:smooth val="0"/>
          <c:extLst>
            <c:ext xmlns:c16="http://schemas.microsoft.com/office/drawing/2014/chart" uri="{C3380CC4-5D6E-409C-BE32-E72D297353CC}">
              <c16:uniqueId val="{00000008-EEE5-472F-B4DE-00991C520B40}"/>
            </c:ext>
          </c:extLst>
        </c:ser>
        <c:ser>
          <c:idx val="9"/>
          <c:order val="9"/>
          <c:tx>
            <c:strRef>
              <c:f>Sheet1!$J$32</c:f>
              <c:strCache>
                <c:ptCount val="1"/>
                <c:pt idx="0">
                  <c:v>Gornt_debt</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val>
            <c:numRef>
              <c:f>Sheet1!$J$33:$J$62</c:f>
              <c:numCache>
                <c:formatCode>General</c:formatCode>
                <c:ptCount val="30"/>
                <c:pt idx="0">
                  <c:v>54.823997111133735</c:v>
                </c:pt>
                <c:pt idx="1">
                  <c:v>54.288949842042491</c:v>
                </c:pt>
                <c:pt idx="2">
                  <c:v>53.645845435639714</c:v>
                </c:pt>
                <c:pt idx="3">
                  <c:v>52.244823203700783</c:v>
                </c:pt>
                <c:pt idx="4">
                  <c:v>50.512052007138976</c:v>
                </c:pt>
                <c:pt idx="5">
                  <c:v>51.633752852327454</c:v>
                </c:pt>
                <c:pt idx="6">
                  <c:v>55.811926734216833</c:v>
                </c:pt>
                <c:pt idx="7">
                  <c:v>65.376781868076989</c:v>
                </c:pt>
                <c:pt idx="8">
                  <c:v>67.863859388246482</c:v>
                </c:pt>
                <c:pt idx="9">
                  <c:v>71.402528586506975</c:v>
                </c:pt>
                <c:pt idx="10">
                  <c:v>75.74928627449566</c:v>
                </c:pt>
                <c:pt idx="11">
                  <c:v>88.487464683133467</c:v>
                </c:pt>
                <c:pt idx="12">
                  <c:v>82.191916437334683</c:v>
                </c:pt>
                <c:pt idx="13">
                  <c:v>103.08043537145475</c:v>
                </c:pt>
                <c:pt idx="14">
                  <c:v>92.996281759408049</c:v>
                </c:pt>
                <c:pt idx="15">
                  <c:v>128.53057940027458</c:v>
                </c:pt>
                <c:pt idx="16">
                  <c:v>82.325503784360436</c:v>
                </c:pt>
                <c:pt idx="17">
                  <c:v>100</c:v>
                </c:pt>
                <c:pt idx="18">
                  <c:v>120.62772239435853</c:v>
                </c:pt>
                <c:pt idx="19">
                  <c:v>144.40337370755364</c:v>
                </c:pt>
                <c:pt idx="20">
                  <c:v>178.02023202647658</c:v>
                </c:pt>
                <c:pt idx="21">
                  <c:v>208.00344485892862</c:v>
                </c:pt>
                <c:pt idx="22">
                  <c:v>277.64084281959845</c:v>
                </c:pt>
                <c:pt idx="23">
                  <c:v>326.04078265952097</c:v>
                </c:pt>
                <c:pt idx="24">
                  <c:v>382.91010419598996</c:v>
                </c:pt>
                <c:pt idx="25">
                  <c:v>417.2442878581968</c:v>
                </c:pt>
                <c:pt idx="26">
                  <c:v>444.42337763403066</c:v>
                </c:pt>
                <c:pt idx="27">
                  <c:v>489.71434075757213</c:v>
                </c:pt>
                <c:pt idx="28">
                  <c:v>506.81034797059164</c:v>
                </c:pt>
                <c:pt idx="29">
                  <c:v>503.95886759736328</c:v>
                </c:pt>
              </c:numCache>
            </c:numRef>
          </c:val>
          <c:smooth val="0"/>
          <c:extLst>
            <c:ext xmlns:c16="http://schemas.microsoft.com/office/drawing/2014/chart" uri="{C3380CC4-5D6E-409C-BE32-E72D297353CC}">
              <c16:uniqueId val="{00000009-EEE5-472F-B4DE-00991C520B40}"/>
            </c:ext>
          </c:extLst>
        </c:ser>
        <c:ser>
          <c:idx val="10"/>
          <c:order val="10"/>
          <c:tx>
            <c:strRef>
              <c:f>Sheet1!$K$32</c:f>
              <c:strCache>
                <c:ptCount val="1"/>
                <c:pt idx="0">
                  <c:v>Export_value</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val>
            <c:numRef>
              <c:f>Sheet1!$K$33:$K$62</c:f>
              <c:numCache>
                <c:formatCode>General</c:formatCode>
                <c:ptCount val="30"/>
                <c:pt idx="0">
                  <c:v>20.199574106656211</c:v>
                </c:pt>
                <c:pt idx="1">
                  <c:v>20.81655512147104</c:v>
                </c:pt>
                <c:pt idx="2">
                  <c:v>28.518995543192599</c:v>
                </c:pt>
                <c:pt idx="3">
                  <c:v>28.792590227312182</c:v>
                </c:pt>
                <c:pt idx="4">
                  <c:v>21.810782487940049</c:v>
                </c:pt>
                <c:pt idx="5">
                  <c:v>20.463453679277023</c:v>
                </c:pt>
                <c:pt idx="6">
                  <c:v>10.872352721409891</c:v>
                </c:pt>
                <c:pt idx="7">
                  <c:v>14.855477001259393</c:v>
                </c:pt>
                <c:pt idx="8">
                  <c:v>17.787511938514776</c:v>
                </c:pt>
                <c:pt idx="9">
                  <c:v>24.809608816749424</c:v>
                </c:pt>
                <c:pt idx="10">
                  <c:v>38.665429418643441</c:v>
                </c:pt>
                <c:pt idx="11">
                  <c:v>43.852727481835956</c:v>
                </c:pt>
                <c:pt idx="12">
                  <c:v>42.295880864159166</c:v>
                </c:pt>
                <c:pt idx="13">
                  <c:v>59.470412127888018</c:v>
                </c:pt>
                <c:pt idx="14">
                  <c:v>54.467129706025005</c:v>
                </c:pt>
                <c:pt idx="15">
                  <c:v>74.884293736396174</c:v>
                </c:pt>
                <c:pt idx="16">
                  <c:v>90.887654022020442</c:v>
                </c:pt>
                <c:pt idx="17">
                  <c:v>100</c:v>
                </c:pt>
                <c:pt idx="18">
                  <c:v>100.19430222997525</c:v>
                </c:pt>
                <c:pt idx="19">
                  <c:v>131.03470937886863</c:v>
                </c:pt>
                <c:pt idx="20">
                  <c:v>114.99706046442519</c:v>
                </c:pt>
                <c:pt idx="21">
                  <c:v>76.68273231796131</c:v>
                </c:pt>
                <c:pt idx="22">
                  <c:v>87.210912927598855</c:v>
                </c:pt>
                <c:pt idx="23">
                  <c:v>50.93704393444871</c:v>
                </c:pt>
                <c:pt idx="24">
                  <c:v>83.469237742350956</c:v>
                </c:pt>
                <c:pt idx="25">
                  <c:v>85.4706935803829</c:v>
                </c:pt>
                <c:pt idx="26">
                  <c:v>107.85745359784154</c:v>
                </c:pt>
                <c:pt idx="27">
                  <c:v>123.17339831028495</c:v>
                </c:pt>
                <c:pt idx="28">
                  <c:v>133.92931256299642</c:v>
                </c:pt>
                <c:pt idx="29">
                  <c:v>152.95900151512879</c:v>
                </c:pt>
              </c:numCache>
            </c:numRef>
          </c:val>
          <c:smooth val="0"/>
          <c:extLst>
            <c:ext xmlns:c16="http://schemas.microsoft.com/office/drawing/2014/chart" uri="{C3380CC4-5D6E-409C-BE32-E72D297353CC}">
              <c16:uniqueId val="{0000000A-EEE5-472F-B4DE-00991C520B40}"/>
            </c:ext>
          </c:extLst>
        </c:ser>
        <c:dLbls>
          <c:showLegendKey val="0"/>
          <c:showVal val="0"/>
          <c:showCatName val="0"/>
          <c:showSerName val="0"/>
          <c:showPercent val="0"/>
          <c:showBubbleSize val="0"/>
        </c:dLbls>
        <c:marker val="1"/>
        <c:smooth val="0"/>
        <c:axId val="499718792"/>
        <c:axId val="499719448"/>
      </c:lineChart>
      <c:catAx>
        <c:axId val="49971879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9719448"/>
        <c:crosses val="autoZero"/>
        <c:auto val="1"/>
        <c:lblAlgn val="ctr"/>
        <c:lblOffset val="100"/>
        <c:noMultiLvlLbl val="0"/>
      </c:catAx>
      <c:valAx>
        <c:axId val="4997194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9718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1343EE-71BF-4E81-BA35-25200831E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97</Pages>
  <Words>24770</Words>
  <Characters>149391</Characters>
  <Application>Microsoft Office Word</Application>
  <DocSecurity>0</DocSecurity>
  <Lines>2746</Lines>
  <Paragraphs>992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Dawit Lelisssa</dc:creator>
  <cp:lastModifiedBy>Dawit Lelisssa</cp:lastModifiedBy>
  <cp:revision>4</cp:revision>
  <dcterms:created xsi:type="dcterms:W3CDTF">2026-01-30T07:40:00Z</dcterms:created>
  <dcterms:modified xsi:type="dcterms:W3CDTF">2026-01-31T02:50:00Z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C27B72ABD4F34985983A7EE252A0E462_13</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12th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9th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Document_1">
    <vt:lpwstr>True</vt:lpwstr>
  </property>
  <property fmtid="{D5CDD505-2E9C-101B-9397-08002B2CF9AE}" pid="25" name="Mendeley Unique User Id_1">
    <vt:lpwstr>3930bdcd-ab40-31a1-9ab7-7f21c4eaee38</vt:lpwstr>
  </property>
  <property fmtid="{D5CDD505-2E9C-101B-9397-08002B2CF9AE}" pid="26" name="Mendeley Citation Style_1">
    <vt:lpwstr>http://www.zotero.org/styles/apa</vt:lpwstr>
  </property>
</Properties>
</file>